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96" w:rsidRPr="00D55696" w:rsidRDefault="00D55696" w:rsidP="00D55696">
      <w:pPr>
        <w:jc w:val="center"/>
        <w:rPr>
          <w:rFonts w:ascii="Arial" w:hAnsi="Arial" w:cs="Arial"/>
          <w:b/>
          <w:lang w:val="en-AU"/>
        </w:rPr>
      </w:pPr>
      <w:r w:rsidRPr="00D55696">
        <w:rPr>
          <w:rFonts w:ascii="Arial" w:hAnsi="Arial" w:cs="Arial"/>
          <w:b/>
          <w:iCs/>
        </w:rPr>
        <w:t>TURNING POINT’S HOW TO GUIDE FOR TELEHEALTH</w:t>
      </w:r>
      <w:r w:rsidRPr="00D55696">
        <w:rPr>
          <w:rFonts w:ascii="Arial" w:hAnsi="Arial" w:cs="Arial"/>
          <w:b/>
          <w:lang w:val="en-AU"/>
        </w:rPr>
        <w:t xml:space="preserve"> </w:t>
      </w:r>
      <w:r w:rsidRPr="00D55696">
        <w:rPr>
          <w:rFonts w:ascii="Arial" w:hAnsi="Arial" w:cs="Arial"/>
          <w:b/>
          <w:iCs/>
        </w:rPr>
        <w:t>PHONE + VIDEO CONSULTATIONS</w:t>
      </w:r>
    </w:p>
    <w:p w:rsidR="009C137A" w:rsidRPr="00D55696" w:rsidRDefault="009C137A">
      <w:pPr>
        <w:rPr>
          <w:rFonts w:ascii="Arial" w:hAnsi="Arial" w:cs="Arial"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i/>
          <w:iCs/>
        </w:rPr>
        <w:t>WHAT IS TELEHEALTH?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is the use of telecommunications and virtual technology to deliver health care outside of traditional health care services.  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The use of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can help health systems to cope better with growing health care demands, reduce barriers to treatment and facilitate continuity of care</w:t>
      </w:r>
      <w:r w:rsidRPr="00D55696">
        <w:rPr>
          <w:rFonts w:ascii="Arial" w:hAnsi="Arial" w:cs="Arial"/>
          <w:vertAlign w:val="superscript"/>
        </w:rPr>
        <w:t>1</w:t>
      </w:r>
      <w:r w:rsidRPr="00D55696">
        <w:rPr>
          <w:rFonts w:ascii="Arial" w:hAnsi="Arial" w:cs="Arial"/>
        </w:rPr>
        <w:t>.</w:t>
      </w:r>
    </w:p>
    <w:p w:rsidR="00D55696" w:rsidRPr="00D55696" w:rsidRDefault="00D55696">
      <w:pPr>
        <w:rPr>
          <w:rFonts w:ascii="Arial" w:hAnsi="Arial" w:cs="Arial"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i/>
          <w:iCs/>
        </w:rPr>
        <w:t>WHY USE TELEHEALTH?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There is strong evidence that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can effectively respond to the growing call for improved health care and versatility in treatment delivery. Studies have found that services delivered via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are equivalent to in-person services, particularly when used for mental health support and psychotherapy</w:t>
      </w:r>
      <w:r w:rsidRPr="00D55696">
        <w:rPr>
          <w:rFonts w:ascii="Arial" w:hAnsi="Arial" w:cs="Arial"/>
          <w:vertAlign w:val="superscript"/>
        </w:rPr>
        <w:t>2</w:t>
      </w:r>
      <w:r w:rsidRPr="00D55696">
        <w:rPr>
          <w:rFonts w:ascii="Arial" w:hAnsi="Arial" w:cs="Arial"/>
        </w:rPr>
        <w:t xml:space="preserve">. 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There is also strong support for the development of a therapeutic alliance that matches that of in-person therapy, during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consultations</w:t>
      </w:r>
      <w:r w:rsidRPr="00D55696">
        <w:rPr>
          <w:rFonts w:ascii="Arial" w:hAnsi="Arial" w:cs="Arial"/>
          <w:vertAlign w:val="superscript"/>
        </w:rPr>
        <w:t>3</w:t>
      </w:r>
      <w:r w:rsidRPr="00D55696">
        <w:rPr>
          <w:rFonts w:ascii="Arial" w:hAnsi="Arial" w:cs="Arial"/>
        </w:rPr>
        <w:t>.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More broadly there are potential and considerable long-term health and economic benefits that may be gained from the use of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>, still under exploration.</w:t>
      </w:r>
    </w:p>
    <w:p w:rsidR="00D55696" w:rsidRPr="00D55696" w:rsidRDefault="00D55696">
      <w:pPr>
        <w:rPr>
          <w:rFonts w:ascii="Arial" w:hAnsi="Arial" w:cs="Arial"/>
        </w:rPr>
      </w:pPr>
    </w:p>
    <w:p w:rsidR="00D55696" w:rsidRPr="00D55696" w:rsidRDefault="00D55696" w:rsidP="00D55696">
      <w:pPr>
        <w:rPr>
          <w:rFonts w:ascii="Arial" w:hAnsi="Arial" w:cs="Arial"/>
          <w:i/>
          <w:iCs/>
          <w:lang w:val="en-AU"/>
        </w:rPr>
      </w:pPr>
      <w:r w:rsidRPr="00D55696">
        <w:rPr>
          <w:rFonts w:ascii="Arial" w:hAnsi="Arial" w:cs="Arial"/>
          <w:i/>
          <w:iCs/>
          <w:lang w:val="en-AU"/>
        </w:rPr>
        <w:t>1. PREPARING FOR THE TELEHEALTH CONSULTATION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After receiving your referral contact the client or referrer to:</w:t>
      </w:r>
    </w:p>
    <w:p w:rsidR="00000000" w:rsidRPr="00D55696" w:rsidRDefault="00D55696" w:rsidP="00D55696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Arrange a suitable date and time for the appointment</w:t>
      </w:r>
    </w:p>
    <w:p w:rsidR="00000000" w:rsidRPr="00D55696" w:rsidRDefault="00D55696" w:rsidP="00D55696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Confirm all necessary contact and personal information fo</w:t>
      </w:r>
      <w:r w:rsidRPr="00D55696">
        <w:rPr>
          <w:rFonts w:ascii="Arial" w:hAnsi="Arial" w:cs="Arial"/>
        </w:rPr>
        <w:t>r the client and referrer (e.g. Medicare details, contact details)</w:t>
      </w:r>
    </w:p>
    <w:p w:rsidR="00000000" w:rsidRPr="00D55696" w:rsidRDefault="00D55696" w:rsidP="00D55696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Arrange for any required health record information to be sent to you with the client’s consent</w:t>
      </w:r>
    </w:p>
    <w:p w:rsidR="00000000" w:rsidRPr="00D55696" w:rsidRDefault="00D55696" w:rsidP="00D55696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Ask about past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experiences </w:t>
      </w:r>
      <w:r>
        <w:rPr>
          <w:rFonts w:ascii="Arial" w:hAnsi="Arial" w:cs="Arial"/>
        </w:rPr>
        <w:t xml:space="preserve">and any </w:t>
      </w:r>
      <w:proofErr w:type="spellStart"/>
      <w:r>
        <w:rPr>
          <w:rFonts w:ascii="Arial" w:hAnsi="Arial" w:cs="Arial"/>
        </w:rPr>
        <w:t>telehealth</w:t>
      </w:r>
      <w:proofErr w:type="spellEnd"/>
      <w:r>
        <w:rPr>
          <w:rFonts w:ascii="Arial" w:hAnsi="Arial" w:cs="Arial"/>
        </w:rPr>
        <w:t xml:space="preserve"> reservations</w:t>
      </w:r>
      <w:r w:rsidRPr="00D55696">
        <w:rPr>
          <w:rFonts w:ascii="Arial" w:hAnsi="Arial" w:cs="Arial"/>
        </w:rPr>
        <w:br/>
      </w: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>: Identifying and addressing any concerns may alleviate apprehensions about the appointment</w:t>
      </w:r>
    </w:p>
    <w:p w:rsidR="00000000" w:rsidRPr="00D55696" w:rsidRDefault="00D55696" w:rsidP="00D55696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Advise the use of a safe an</w:t>
      </w:r>
      <w:r w:rsidRPr="00D55696">
        <w:rPr>
          <w:rFonts w:ascii="Arial" w:hAnsi="Arial" w:cs="Arial"/>
        </w:rPr>
        <w:t>d priva</w:t>
      </w:r>
      <w:r>
        <w:rPr>
          <w:rFonts w:ascii="Arial" w:hAnsi="Arial" w:cs="Arial"/>
        </w:rPr>
        <w:t>te space during the appointment</w:t>
      </w:r>
      <w:r w:rsidRPr="00D55696">
        <w:rPr>
          <w:rFonts w:ascii="Arial" w:hAnsi="Arial" w:cs="Arial"/>
        </w:rPr>
        <w:br/>
      </w: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 xml:space="preserve">: A </w:t>
      </w:r>
      <w:r w:rsidRPr="00D55696">
        <w:rPr>
          <w:rFonts w:ascii="Arial" w:hAnsi="Arial" w:cs="Arial"/>
        </w:rPr>
        <w:t xml:space="preserve">parked car can be a suitable alternative if no other private space is available. Asking clients to sit in a comfy chair and have a glass of water on hand during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consultations can also help to mimic the ‘therapeutic space’ of a clinic room</w:t>
      </w:r>
    </w:p>
    <w:p w:rsidR="00D55696" w:rsidRDefault="00D55696" w:rsidP="00D55696">
      <w:pPr>
        <w:rPr>
          <w:rFonts w:ascii="Arial" w:hAnsi="Arial" w:cs="Arial"/>
          <w:b/>
          <w:bCs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b/>
          <w:bCs/>
        </w:rPr>
        <w:t>Enter the appointment into your existing scheduling system and book any resources for the consultation in advance (e.g. interpreter, laptop)</w:t>
      </w:r>
    </w:p>
    <w:p w:rsidR="00D55696" w:rsidRDefault="00D55696" w:rsidP="00D55696">
      <w:pPr>
        <w:rPr>
          <w:rFonts w:ascii="Arial" w:hAnsi="Arial" w:cs="Arial"/>
          <w:b/>
          <w:bCs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b/>
          <w:bCs/>
        </w:rPr>
        <w:t>Send the client the consultation details (e.g. date, time, web-link and meeting password) and any resources (e.g. factsheets) you would like to go through ahead of time</w:t>
      </w:r>
    </w:p>
    <w:p w:rsidR="00D55696" w:rsidRDefault="00D55696" w:rsidP="00D55696">
      <w:pPr>
        <w:rPr>
          <w:rFonts w:ascii="Arial" w:hAnsi="Arial" w:cs="Arial"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If possible you may also wish to consider a ‘test-run’ of the technology you and the client will be using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</w:p>
    <w:p w:rsidR="00D55696" w:rsidRPr="00D55696" w:rsidRDefault="00D55696" w:rsidP="00D55696">
      <w:pPr>
        <w:rPr>
          <w:rFonts w:ascii="Arial" w:hAnsi="Arial" w:cs="Arial"/>
        </w:rPr>
      </w:pPr>
      <w:r w:rsidRPr="00D55696">
        <w:rPr>
          <w:rFonts w:ascii="Arial" w:hAnsi="Arial" w:cs="Arial"/>
          <w:lang w:val="en-AU"/>
        </w:rPr>
        <w:t xml:space="preserve">2. </w:t>
      </w:r>
      <w:r w:rsidRPr="00D55696">
        <w:rPr>
          <w:rFonts w:ascii="Arial" w:hAnsi="Arial" w:cs="Arial"/>
          <w:i/>
          <w:iCs/>
        </w:rPr>
        <w:t>AT THE START OF EACH TELEHEALTH CONSULTATION</w:t>
      </w:r>
    </w:p>
    <w:p w:rsidR="00D55696" w:rsidRPr="00D55696" w:rsidRDefault="00D55696" w:rsidP="00D55696">
      <w:pPr>
        <w:rPr>
          <w:rFonts w:ascii="Arial" w:hAnsi="Arial" w:cs="Arial"/>
        </w:rPr>
      </w:pPr>
      <w:r w:rsidRPr="00D55696">
        <w:rPr>
          <w:rFonts w:ascii="Arial" w:hAnsi="Arial" w:cs="Arial"/>
          <w:b/>
          <w:bCs/>
        </w:rPr>
        <w:t>THINGS TO DO WITHOUT THE CLIENT:</w:t>
      </w:r>
    </w:p>
    <w:p w:rsidR="00000000" w:rsidRPr="00D55696" w:rsidRDefault="00D55696" w:rsidP="00D55696">
      <w:pPr>
        <w:numPr>
          <w:ilvl w:val="0"/>
          <w:numId w:val="3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Be in a private space free of distractions</w:t>
      </w:r>
    </w:p>
    <w:p w:rsidR="00000000" w:rsidRPr="00D55696" w:rsidRDefault="00D55696" w:rsidP="00D55696">
      <w:pPr>
        <w:numPr>
          <w:ilvl w:val="0"/>
          <w:numId w:val="3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Check that your technological device(s) are charged and that you have access to a charging point in case your device battery</w:t>
      </w:r>
      <w:r w:rsidRPr="00D55696">
        <w:rPr>
          <w:rFonts w:ascii="Arial" w:hAnsi="Arial" w:cs="Arial"/>
        </w:rPr>
        <w:t xml:space="preserve"> drains</w:t>
      </w:r>
    </w:p>
    <w:p w:rsidR="00000000" w:rsidRPr="00D55696" w:rsidRDefault="00D55696" w:rsidP="00D55696">
      <w:pPr>
        <w:numPr>
          <w:ilvl w:val="0"/>
          <w:numId w:val="3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Perform a test of your microphone and camera (if being used)</w:t>
      </w:r>
    </w:p>
    <w:p w:rsidR="00000000" w:rsidRPr="00D55696" w:rsidRDefault="00D55696" w:rsidP="00D55696">
      <w:pPr>
        <w:numPr>
          <w:ilvl w:val="0"/>
          <w:numId w:val="3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If using video conferencing technology consider wha</w:t>
      </w:r>
      <w:r w:rsidRPr="00D55696">
        <w:rPr>
          <w:rFonts w:ascii="Arial" w:hAnsi="Arial" w:cs="Arial"/>
        </w:rPr>
        <w:t>t is visible in your background and</w:t>
      </w:r>
      <w:r>
        <w:rPr>
          <w:rFonts w:ascii="Arial" w:hAnsi="Arial" w:cs="Arial"/>
        </w:rPr>
        <w:t xml:space="preserve"> make it as neutral as possible</w:t>
      </w:r>
      <w:r w:rsidRPr="00D55696">
        <w:rPr>
          <w:rFonts w:ascii="Arial" w:hAnsi="Arial" w:cs="Arial"/>
        </w:rPr>
        <w:br/>
      </w: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>: Some video conferencing applications provide the option of blurring or changing your background</w:t>
      </w:r>
    </w:p>
    <w:p w:rsidR="00D55696" w:rsidRDefault="00D55696" w:rsidP="00D55696">
      <w:pPr>
        <w:rPr>
          <w:rFonts w:ascii="Arial" w:hAnsi="Arial" w:cs="Arial"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If using video conferencing technology </w:t>
      </w:r>
      <w:r w:rsidRPr="00D55696">
        <w:rPr>
          <w:rFonts w:ascii="Arial" w:hAnsi="Arial" w:cs="Arial"/>
          <w:b/>
          <w:bCs/>
        </w:rPr>
        <w:t>enable the meeting link at least 10 minutes before your scheduled consultation</w:t>
      </w:r>
    </w:p>
    <w:p w:rsidR="00D55696" w:rsidRDefault="00D55696" w:rsidP="00D55696">
      <w:pPr>
        <w:rPr>
          <w:rFonts w:ascii="Arial" w:hAnsi="Arial" w:cs="Arial"/>
          <w:b/>
          <w:bCs/>
        </w:rPr>
      </w:pP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b/>
          <w:bCs/>
        </w:rPr>
        <w:t>THINGS TO DO WITH THE CLIENT:</w:t>
      </w:r>
    </w:p>
    <w:p w:rsidR="00000000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lastRenderedPageBreak/>
        <w:t>At the start of each consultation introduce yourself and check that you have the right client in attendance</w:t>
      </w:r>
    </w:p>
    <w:p w:rsidR="00000000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Obtain consent from the client to proceed with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and for any audio or video recording of the session (if being used)</w:t>
      </w:r>
    </w:p>
    <w:p w:rsidR="00000000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Ask if there is anyone else with the client – if the client has a support person present, obtain consent for </w:t>
      </w:r>
      <w:r w:rsidRPr="00D55696">
        <w:rPr>
          <w:rFonts w:ascii="Arial" w:hAnsi="Arial" w:cs="Arial"/>
        </w:rPr>
        <w:t>this person to be included</w:t>
      </w:r>
    </w:p>
    <w:p w:rsidR="00000000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Check that they are in a private, safe space and obtain the physical address of the client – this is important to know in case of an emergency</w:t>
      </w:r>
    </w:p>
    <w:p w:rsidR="00000000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Establish an expected time-frame for the consultation (e.g. half-hour appointment) and establish an agenda for the consultation</w:t>
      </w:r>
    </w:p>
    <w:p w:rsidR="00000000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Make </w:t>
      </w:r>
      <w:r w:rsidRPr="00D55696">
        <w:rPr>
          <w:rFonts w:ascii="Arial" w:hAnsi="Arial" w:cs="Arial"/>
        </w:rPr>
        <w:t>an agreement with the client about how communication will be re-established if the technological connection fails</w:t>
      </w:r>
    </w:p>
    <w:p w:rsidR="00D55696" w:rsidRPr="00D55696" w:rsidRDefault="00D55696" w:rsidP="00D55696">
      <w:pPr>
        <w:numPr>
          <w:ilvl w:val="0"/>
          <w:numId w:val="4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If you will be scribing during the consultation inform the client that you</w:t>
      </w:r>
      <w:r w:rsidRPr="00D55696">
        <w:rPr>
          <w:rFonts w:ascii="Arial" w:hAnsi="Arial" w:cs="Arial"/>
        </w:rPr>
        <w:t xml:space="preserve"> will be doing this, and explain that the</w:t>
      </w:r>
      <w:r>
        <w:rPr>
          <w:rFonts w:ascii="Arial" w:hAnsi="Arial" w:cs="Arial"/>
        </w:rPr>
        <w:t>y may hear/see you taking notes</w:t>
      </w:r>
      <w:bookmarkStart w:id="0" w:name="_GoBack"/>
      <w:bookmarkEnd w:id="0"/>
    </w:p>
    <w:p w:rsidR="00000000" w:rsidRPr="00D55696" w:rsidRDefault="00D55696" w:rsidP="00D55696">
      <w:pPr>
        <w:ind w:left="720"/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>: A statement such as ‘I am going to type/write some notes during the session so if I am slow to reply or if you hear some soft noises that might be why but I am still here and listening’ may help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</w:p>
    <w:p w:rsidR="00D55696" w:rsidRPr="00D55696" w:rsidRDefault="00D55696" w:rsidP="00D55696">
      <w:pPr>
        <w:rPr>
          <w:rFonts w:ascii="Arial" w:hAnsi="Arial" w:cs="Arial"/>
        </w:rPr>
      </w:pPr>
      <w:r w:rsidRPr="00D55696">
        <w:rPr>
          <w:rFonts w:ascii="Arial" w:hAnsi="Arial" w:cs="Arial"/>
          <w:lang w:val="en-AU"/>
        </w:rPr>
        <w:t xml:space="preserve">3. </w:t>
      </w:r>
      <w:r w:rsidRPr="00D55696">
        <w:rPr>
          <w:rFonts w:ascii="Arial" w:hAnsi="Arial" w:cs="Arial"/>
          <w:i/>
          <w:iCs/>
        </w:rPr>
        <w:t>DURING THE TELEHEALTH CONSULTATION</w:t>
      </w:r>
    </w:p>
    <w:p w:rsidR="00000000" w:rsidRPr="00D55696" w:rsidRDefault="00D55696" w:rsidP="00D55696">
      <w:pPr>
        <w:numPr>
          <w:ilvl w:val="0"/>
          <w:numId w:val="5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Be aware of your own voice and body language. Maintain a calm tone and consider providing encouragement or verba</w:t>
      </w:r>
      <w:r w:rsidRPr="00D55696">
        <w:rPr>
          <w:rFonts w:ascii="Arial" w:hAnsi="Arial" w:cs="Arial"/>
        </w:rPr>
        <w:t xml:space="preserve">l affirmations to compensate for the absence of usual </w:t>
      </w:r>
      <w:proofErr w:type="spellStart"/>
      <w:r w:rsidRPr="00D55696">
        <w:rPr>
          <w:rFonts w:ascii="Arial" w:hAnsi="Arial" w:cs="Arial"/>
        </w:rPr>
        <w:t>behavioural</w:t>
      </w:r>
      <w:proofErr w:type="spellEnd"/>
      <w:r w:rsidRPr="00D55696">
        <w:rPr>
          <w:rFonts w:ascii="Arial" w:hAnsi="Arial" w:cs="Arial"/>
        </w:rPr>
        <w:t xml:space="preserve"> cues (e.g. nodding)</w:t>
      </w:r>
    </w:p>
    <w:p w:rsidR="00000000" w:rsidRPr="00D55696" w:rsidRDefault="00D55696" w:rsidP="00D55696">
      <w:pPr>
        <w:numPr>
          <w:ilvl w:val="0"/>
          <w:numId w:val="5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Listen carefully and use plain language to assist communication. You may need to speak </w:t>
      </w:r>
      <w:r w:rsidRPr="00D55696">
        <w:rPr>
          <w:rFonts w:ascii="Arial" w:hAnsi="Arial" w:cs="Arial"/>
        </w:rPr>
        <w:t>more slowly if there is a time lag when using videoconferencing technology</w:t>
      </w:r>
    </w:p>
    <w:p w:rsidR="00000000" w:rsidRPr="00D55696" w:rsidRDefault="00D55696" w:rsidP="00D55696">
      <w:pPr>
        <w:numPr>
          <w:ilvl w:val="0"/>
          <w:numId w:val="5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Be mindful about what you are able to assess for and contain du</w:t>
      </w:r>
      <w:r>
        <w:rPr>
          <w:rFonts w:ascii="Arial" w:hAnsi="Arial" w:cs="Arial"/>
        </w:rPr>
        <w:t xml:space="preserve">ring a </w:t>
      </w:r>
      <w:proofErr w:type="spellStart"/>
      <w:r>
        <w:rPr>
          <w:rFonts w:ascii="Arial" w:hAnsi="Arial" w:cs="Arial"/>
        </w:rPr>
        <w:t>telehealth</w:t>
      </w:r>
      <w:proofErr w:type="spellEnd"/>
      <w:r>
        <w:rPr>
          <w:rFonts w:ascii="Arial" w:hAnsi="Arial" w:cs="Arial"/>
        </w:rPr>
        <w:t xml:space="preserve"> consultation </w:t>
      </w:r>
      <w:r w:rsidRPr="00D55696">
        <w:rPr>
          <w:rFonts w:ascii="Arial" w:hAnsi="Arial" w:cs="Arial"/>
        </w:rPr>
        <w:br/>
      </w: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 xml:space="preserve">: There is a risk that clients may leave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consultat</w:t>
      </w:r>
      <w:r w:rsidRPr="00D55696">
        <w:rPr>
          <w:rFonts w:ascii="Arial" w:hAnsi="Arial" w:cs="Arial"/>
        </w:rPr>
        <w:t xml:space="preserve">ions feeling </w:t>
      </w:r>
      <w:proofErr w:type="spellStart"/>
      <w:r w:rsidRPr="00D55696">
        <w:rPr>
          <w:rFonts w:ascii="Arial" w:hAnsi="Arial" w:cs="Arial"/>
        </w:rPr>
        <w:t>destabilised</w:t>
      </w:r>
      <w:proofErr w:type="spellEnd"/>
      <w:r w:rsidRPr="00D55696">
        <w:rPr>
          <w:rFonts w:ascii="Arial" w:hAnsi="Arial" w:cs="Arial"/>
        </w:rPr>
        <w:t xml:space="preserve"> if clinicians are unable to adequately monitor and contain client responses to difficult content. Therefore if venturing into difficult content consider whether the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consultation is the most appropriate time and place to</w:t>
      </w:r>
      <w:r w:rsidRPr="00D55696">
        <w:rPr>
          <w:rFonts w:ascii="Arial" w:hAnsi="Arial" w:cs="Arial"/>
        </w:rPr>
        <w:t xml:space="preserve"> discuss this</w:t>
      </w:r>
    </w:p>
    <w:p w:rsidR="00000000" w:rsidRPr="00D55696" w:rsidRDefault="00D55696" w:rsidP="00D55696">
      <w:pPr>
        <w:numPr>
          <w:ilvl w:val="0"/>
          <w:numId w:val="5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Check in with the client to identify any limitations and </w:t>
      </w:r>
      <w:proofErr w:type="spellStart"/>
      <w:r w:rsidRPr="00D55696">
        <w:rPr>
          <w:rFonts w:ascii="Arial" w:hAnsi="Arial" w:cs="Arial"/>
        </w:rPr>
        <w:t>minimise</w:t>
      </w:r>
      <w:proofErr w:type="spellEnd"/>
      <w:r w:rsidRPr="00D55696">
        <w:rPr>
          <w:rFonts w:ascii="Arial" w:hAnsi="Arial" w:cs="Arial"/>
        </w:rPr>
        <w:t xml:space="preserve"> your assumptions about how th</w:t>
      </w:r>
      <w:r>
        <w:rPr>
          <w:rFonts w:ascii="Arial" w:hAnsi="Arial" w:cs="Arial"/>
        </w:rPr>
        <w:t>ey are finding the consultation</w:t>
      </w:r>
      <w:r w:rsidRPr="00D55696">
        <w:rPr>
          <w:rFonts w:ascii="Arial" w:hAnsi="Arial" w:cs="Arial"/>
        </w:rPr>
        <w:br/>
      </w: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>: Examples of check-in comments include: ‘how are you going with this?</w:t>
      </w:r>
      <w:proofErr w:type="gramStart"/>
      <w:r w:rsidRPr="00D55696">
        <w:rPr>
          <w:rFonts w:ascii="Arial" w:hAnsi="Arial" w:cs="Arial"/>
        </w:rPr>
        <w:t>’,</w:t>
      </w:r>
      <w:proofErr w:type="gramEnd"/>
      <w:r w:rsidRPr="00D55696">
        <w:rPr>
          <w:rFonts w:ascii="Arial" w:hAnsi="Arial" w:cs="Arial"/>
        </w:rPr>
        <w:t xml:space="preserve"> ‘do you feel the</w:t>
      </w:r>
      <w:r w:rsidRPr="00D55696">
        <w:rPr>
          <w:rFonts w:ascii="Arial" w:hAnsi="Arial" w:cs="Arial"/>
        </w:rPr>
        <w:t>re are things you only want to say in person?’</w:t>
      </w:r>
    </w:p>
    <w:p w:rsidR="00000000" w:rsidRPr="00D55696" w:rsidRDefault="00D55696" w:rsidP="00D55696">
      <w:pPr>
        <w:numPr>
          <w:ilvl w:val="0"/>
          <w:numId w:val="5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Use the ‘teach back’ method of asking the client to state in their own words what has been said in the consultation to confirm understanding</w:t>
      </w:r>
    </w:p>
    <w:p w:rsidR="00000000" w:rsidRPr="00D55696" w:rsidRDefault="00D55696" w:rsidP="00D55696">
      <w:pPr>
        <w:numPr>
          <w:ilvl w:val="0"/>
          <w:numId w:val="5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Be aware that clients can have different responses to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. Some may find it harder to build rapport and engage using the phone due to a lack of visual cues. Others may prefer </w:t>
      </w:r>
      <w:proofErr w:type="spellStart"/>
      <w:r w:rsidRPr="00D55696">
        <w:rPr>
          <w:rFonts w:ascii="Arial" w:hAnsi="Arial" w:cs="Arial"/>
        </w:rPr>
        <w:t>telehe</w:t>
      </w:r>
      <w:r w:rsidRPr="00D55696">
        <w:rPr>
          <w:rFonts w:ascii="Arial" w:hAnsi="Arial" w:cs="Arial"/>
        </w:rPr>
        <w:t>alth</w:t>
      </w:r>
      <w:proofErr w:type="spellEnd"/>
      <w:r w:rsidRPr="00D55696">
        <w:rPr>
          <w:rFonts w:ascii="Arial" w:hAnsi="Arial" w:cs="Arial"/>
        </w:rPr>
        <w:t xml:space="preserve"> as they feel more open to talk about things when in their own space</w:t>
      </w:r>
    </w:p>
    <w:p w:rsidR="00D55696" w:rsidRPr="00D55696" w:rsidRDefault="00D55696">
      <w:pPr>
        <w:rPr>
          <w:rFonts w:ascii="Arial" w:hAnsi="Arial" w:cs="Arial"/>
        </w:rPr>
      </w:pPr>
    </w:p>
    <w:p w:rsidR="00D55696" w:rsidRPr="00D55696" w:rsidRDefault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4. </w:t>
      </w:r>
      <w:r w:rsidRPr="00D55696">
        <w:rPr>
          <w:rFonts w:ascii="Arial" w:hAnsi="Arial" w:cs="Arial"/>
          <w:i/>
          <w:iCs/>
        </w:rPr>
        <w:t>AT THE END OF EACH TELEHEALTH CONSULTATION</w:t>
      </w:r>
    </w:p>
    <w:p w:rsidR="00000000" w:rsidRPr="00D55696" w:rsidRDefault="00D55696" w:rsidP="00D55696">
      <w:pPr>
        <w:numPr>
          <w:ilvl w:val="0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Be mindful that the inability to physically examine a client (if necessary) may lead to bias and errors in diagnosi</w:t>
      </w:r>
      <w:r w:rsidRPr="00D55696">
        <w:rPr>
          <w:rFonts w:ascii="Arial" w:hAnsi="Arial" w:cs="Arial"/>
        </w:rPr>
        <w:t>s and treatment. If there is clinical information that can only be obtained face-to-face, ensure that face-to-face follow up is arranged for more comprehensive assessment</w:t>
      </w:r>
    </w:p>
    <w:p w:rsidR="00000000" w:rsidRPr="00D55696" w:rsidRDefault="00D55696" w:rsidP="00D55696">
      <w:pPr>
        <w:numPr>
          <w:ilvl w:val="0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Be mindful that c</w:t>
      </w:r>
      <w:r w:rsidRPr="00D55696">
        <w:rPr>
          <w:rFonts w:ascii="Arial" w:hAnsi="Arial" w:cs="Arial"/>
        </w:rPr>
        <w:t>lients being in their own homes during consultations can present unique challenges (e.g. inability to ‘wind down’ in transit between attendin</w:t>
      </w:r>
      <w:r>
        <w:rPr>
          <w:rFonts w:ascii="Arial" w:hAnsi="Arial" w:cs="Arial"/>
        </w:rPr>
        <w:t xml:space="preserve">g a clinic and returning home) </w:t>
      </w:r>
      <w:r w:rsidRPr="00D55696">
        <w:rPr>
          <w:rFonts w:ascii="Arial" w:hAnsi="Arial" w:cs="Arial"/>
        </w:rPr>
        <w:br/>
      </w:r>
      <w:r w:rsidRPr="00D55696">
        <w:rPr>
          <w:rFonts w:ascii="Arial" w:hAnsi="Arial" w:cs="Arial"/>
          <w:u w:val="single"/>
        </w:rPr>
        <w:t>Handy Tip</w:t>
      </w:r>
      <w:r w:rsidRPr="00D55696">
        <w:rPr>
          <w:rFonts w:ascii="Arial" w:hAnsi="Arial" w:cs="Arial"/>
        </w:rPr>
        <w:t>: Clients may be advised to think about using a ‘wind down’ ritual to replace being able to walk out of a clinic room and trav</w:t>
      </w:r>
      <w:r w:rsidRPr="00D55696">
        <w:rPr>
          <w:rFonts w:ascii="Arial" w:hAnsi="Arial" w:cs="Arial"/>
        </w:rPr>
        <w:t>el home when finishing a consultation. Strategies which could be suggested to clients to assist them to move out of the ‘therapeutic space’ at home can include having a cup of tea or going outside before returning to their daily life</w:t>
      </w:r>
    </w:p>
    <w:p w:rsidR="00000000" w:rsidRPr="00D55696" w:rsidRDefault="00D55696" w:rsidP="00D55696">
      <w:pPr>
        <w:numPr>
          <w:ilvl w:val="0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Establish an emergency plan for between sessions, if you are providing continuing care through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consultations to a client (e.g. advise the client to access crisis </w:t>
      </w:r>
      <w:proofErr w:type="spellStart"/>
      <w:r w:rsidRPr="00D55696">
        <w:rPr>
          <w:rFonts w:ascii="Arial" w:hAnsi="Arial" w:cs="Arial"/>
        </w:rPr>
        <w:t>counselling</w:t>
      </w:r>
      <w:proofErr w:type="spellEnd"/>
      <w:r w:rsidRPr="00D55696">
        <w:rPr>
          <w:rFonts w:ascii="Arial" w:hAnsi="Arial" w:cs="Arial"/>
        </w:rPr>
        <w:t xml:space="preserve"> from </w:t>
      </w:r>
      <w:proofErr w:type="spellStart"/>
      <w:r w:rsidRPr="00D55696">
        <w:rPr>
          <w:rFonts w:ascii="Arial" w:hAnsi="Arial" w:cs="Arial"/>
        </w:rPr>
        <w:t>Directline</w:t>
      </w:r>
      <w:proofErr w:type="spellEnd"/>
      <w:r w:rsidRPr="00D55696">
        <w:rPr>
          <w:rFonts w:ascii="Arial" w:hAnsi="Arial" w:cs="Arial"/>
        </w:rPr>
        <w:t>, Lifeline</w:t>
      </w:r>
      <w:r w:rsidRPr="00D55696">
        <w:rPr>
          <w:rFonts w:ascii="Arial" w:hAnsi="Arial" w:cs="Arial"/>
        </w:rPr>
        <w:t xml:space="preserve"> as needed)</w:t>
      </w:r>
    </w:p>
    <w:p w:rsidR="00000000" w:rsidRPr="00D55696" w:rsidRDefault="00D55696" w:rsidP="00D55696">
      <w:pPr>
        <w:numPr>
          <w:ilvl w:val="0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When you have ended the consultation make sure you have your microphone and camera turned off</w:t>
      </w:r>
    </w:p>
    <w:p w:rsidR="00000000" w:rsidRPr="00D55696" w:rsidRDefault="00D55696" w:rsidP="00D55696">
      <w:pPr>
        <w:numPr>
          <w:ilvl w:val="0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Contemporaneou</w:t>
      </w:r>
      <w:r w:rsidRPr="00D55696">
        <w:rPr>
          <w:rFonts w:ascii="Arial" w:hAnsi="Arial" w:cs="Arial"/>
        </w:rPr>
        <w:t>sly document your consultation, including: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The date and time taken to conduct the consultation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Consent obtained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The names and roles of people who participated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Client health record identification number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Service(s) provided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Assessment details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Clinical impression of presentation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Intervention provided or recommended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Risks identified and risk management plan (where relevant)</w:t>
      </w:r>
    </w:p>
    <w:p w:rsidR="00000000" w:rsidRPr="00D55696" w:rsidRDefault="00D55696" w:rsidP="00D55696">
      <w:pPr>
        <w:numPr>
          <w:ilvl w:val="1"/>
          <w:numId w:val="6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>Follow up plan (wher</w:t>
      </w:r>
      <w:r w:rsidRPr="00D55696">
        <w:rPr>
          <w:rFonts w:ascii="Arial" w:hAnsi="Arial" w:cs="Arial"/>
        </w:rPr>
        <w:t>e relevant)</w:t>
      </w:r>
    </w:p>
    <w:p w:rsidR="00D55696" w:rsidRPr="00D55696" w:rsidRDefault="00D55696">
      <w:pPr>
        <w:rPr>
          <w:rFonts w:ascii="Arial" w:hAnsi="Arial" w:cs="Arial"/>
        </w:rPr>
      </w:pPr>
    </w:p>
    <w:p w:rsidR="00D55696" w:rsidRPr="00D55696" w:rsidRDefault="00D55696">
      <w:pPr>
        <w:rPr>
          <w:rFonts w:ascii="Arial" w:hAnsi="Arial" w:cs="Arial"/>
        </w:rPr>
      </w:pPr>
      <w:r w:rsidRPr="00D55696">
        <w:rPr>
          <w:rFonts w:ascii="Arial" w:hAnsi="Arial" w:cs="Arial"/>
        </w:rPr>
        <w:t>ACKNOWLEDGEMENTS:</w:t>
      </w:r>
    </w:p>
    <w:p w:rsidR="00D55696" w:rsidRPr="00D55696" w:rsidRDefault="00D55696" w:rsidP="00D55696">
      <w:pPr>
        <w:rPr>
          <w:rFonts w:ascii="Arial" w:hAnsi="Arial" w:cs="Arial"/>
        </w:rPr>
      </w:pPr>
      <w:r w:rsidRPr="00D55696">
        <w:rPr>
          <w:rFonts w:ascii="Arial" w:hAnsi="Arial" w:cs="Arial"/>
        </w:rPr>
        <w:t xml:space="preserve">This resource has been developed by Turning Point clinicians with experience in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and is backed by the existing evidence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 </w:t>
      </w:r>
    </w:p>
    <w:p w:rsidR="00D55696" w:rsidRPr="00D55696" w:rsidRDefault="00D55696" w:rsidP="00D55696">
      <w:pPr>
        <w:rPr>
          <w:rFonts w:ascii="Arial" w:hAnsi="Arial" w:cs="Arial"/>
          <w:lang w:val="en-AU"/>
        </w:rPr>
      </w:pPr>
      <w:r w:rsidRPr="00D55696">
        <w:rPr>
          <w:rFonts w:ascii="Arial" w:hAnsi="Arial" w:cs="Arial"/>
        </w:rPr>
        <w:t xml:space="preserve">It is hoped that this resource will assist other clinicians and services to provide the best possible </w:t>
      </w:r>
      <w:proofErr w:type="spellStart"/>
      <w:r w:rsidRPr="00D55696">
        <w:rPr>
          <w:rFonts w:ascii="Arial" w:hAnsi="Arial" w:cs="Arial"/>
        </w:rPr>
        <w:t>telehealth</w:t>
      </w:r>
      <w:proofErr w:type="spellEnd"/>
      <w:r w:rsidRPr="00D55696">
        <w:rPr>
          <w:rFonts w:ascii="Arial" w:hAnsi="Arial" w:cs="Arial"/>
        </w:rPr>
        <w:t xml:space="preserve"> support to clients now and into the future</w:t>
      </w:r>
    </w:p>
    <w:p w:rsidR="00D55696" w:rsidRPr="00D55696" w:rsidRDefault="00D55696">
      <w:pPr>
        <w:rPr>
          <w:rFonts w:ascii="Arial" w:hAnsi="Arial" w:cs="Arial"/>
        </w:rPr>
      </w:pPr>
    </w:p>
    <w:p w:rsidR="00D55696" w:rsidRPr="00D55696" w:rsidRDefault="00D55696">
      <w:pPr>
        <w:rPr>
          <w:rFonts w:ascii="Arial" w:hAnsi="Arial" w:cs="Arial"/>
        </w:rPr>
      </w:pPr>
      <w:r w:rsidRPr="00D55696">
        <w:rPr>
          <w:rFonts w:ascii="Arial" w:hAnsi="Arial" w:cs="Arial"/>
        </w:rPr>
        <w:t>REFERENCES:</w:t>
      </w:r>
    </w:p>
    <w:p w:rsidR="00000000" w:rsidRPr="00D55696" w:rsidRDefault="00D55696" w:rsidP="00D55696">
      <w:pPr>
        <w:numPr>
          <w:ilvl w:val="0"/>
          <w:numId w:val="7"/>
        </w:numPr>
        <w:rPr>
          <w:rFonts w:ascii="Arial" w:hAnsi="Arial" w:cs="Arial"/>
          <w:lang w:val="en-AU"/>
        </w:rPr>
      </w:pPr>
      <w:proofErr w:type="spellStart"/>
      <w:r w:rsidRPr="00D55696">
        <w:rPr>
          <w:rFonts w:ascii="Arial" w:hAnsi="Arial" w:cs="Arial"/>
          <w:lang w:val="en-AU"/>
        </w:rPr>
        <w:t>Stroetmann</w:t>
      </w:r>
      <w:proofErr w:type="spellEnd"/>
      <w:r w:rsidRPr="00D55696">
        <w:rPr>
          <w:rFonts w:ascii="Arial" w:hAnsi="Arial" w:cs="Arial"/>
          <w:lang w:val="en-AU"/>
        </w:rPr>
        <w:t xml:space="preserve">, K.A, </w:t>
      </w:r>
      <w:proofErr w:type="spellStart"/>
      <w:r w:rsidRPr="00D55696">
        <w:rPr>
          <w:rFonts w:ascii="Arial" w:hAnsi="Arial" w:cs="Arial"/>
          <w:lang w:val="en-AU"/>
        </w:rPr>
        <w:t>Kubitschke</w:t>
      </w:r>
      <w:proofErr w:type="spellEnd"/>
      <w:r w:rsidRPr="00D55696">
        <w:rPr>
          <w:rFonts w:ascii="Arial" w:hAnsi="Arial" w:cs="Arial"/>
          <w:lang w:val="en-AU"/>
        </w:rPr>
        <w:t xml:space="preserve">, L., Robinson, S., </w:t>
      </w:r>
      <w:proofErr w:type="spellStart"/>
      <w:r w:rsidRPr="00D55696">
        <w:rPr>
          <w:rFonts w:ascii="Arial" w:hAnsi="Arial" w:cs="Arial"/>
          <w:lang w:val="en-AU"/>
        </w:rPr>
        <w:t>Stroetmann</w:t>
      </w:r>
      <w:proofErr w:type="spellEnd"/>
      <w:r w:rsidRPr="00D55696">
        <w:rPr>
          <w:rFonts w:ascii="Arial" w:hAnsi="Arial" w:cs="Arial"/>
          <w:lang w:val="en-AU"/>
        </w:rPr>
        <w:t xml:space="preserve">, V., Cullen, K., and </w:t>
      </w:r>
      <w:proofErr w:type="spellStart"/>
      <w:r w:rsidRPr="00D55696">
        <w:rPr>
          <w:rFonts w:ascii="Arial" w:hAnsi="Arial" w:cs="Arial"/>
          <w:lang w:val="en-AU"/>
        </w:rPr>
        <w:t>McDaid</w:t>
      </w:r>
      <w:proofErr w:type="spellEnd"/>
      <w:r w:rsidRPr="00D55696">
        <w:rPr>
          <w:rFonts w:ascii="Arial" w:hAnsi="Arial" w:cs="Arial"/>
          <w:lang w:val="en-AU"/>
        </w:rPr>
        <w:t xml:space="preserve">, D., </w:t>
      </w:r>
      <w:r w:rsidRPr="00D55696">
        <w:rPr>
          <w:rFonts w:ascii="Arial" w:hAnsi="Arial" w:cs="Arial"/>
          <w:i/>
          <w:iCs/>
          <w:lang w:val="en-AU"/>
        </w:rPr>
        <w:t xml:space="preserve">How can </w:t>
      </w:r>
      <w:proofErr w:type="spellStart"/>
      <w:r w:rsidRPr="00D55696">
        <w:rPr>
          <w:rFonts w:ascii="Arial" w:hAnsi="Arial" w:cs="Arial"/>
          <w:i/>
          <w:iCs/>
          <w:lang w:val="en-AU"/>
        </w:rPr>
        <w:t>telehealth</w:t>
      </w:r>
      <w:proofErr w:type="spellEnd"/>
      <w:r w:rsidRPr="00D55696">
        <w:rPr>
          <w:rFonts w:ascii="Arial" w:hAnsi="Arial" w:cs="Arial"/>
          <w:i/>
          <w:iCs/>
          <w:lang w:val="en-AU"/>
        </w:rPr>
        <w:t xml:space="preserve"> help in the provision of integrated care</w:t>
      </w:r>
      <w:proofErr w:type="gramStart"/>
      <w:r w:rsidRPr="00D55696">
        <w:rPr>
          <w:rFonts w:ascii="Arial" w:hAnsi="Arial" w:cs="Arial"/>
          <w:i/>
          <w:iCs/>
          <w:lang w:val="en-AU"/>
        </w:rPr>
        <w:t>?</w:t>
      </w:r>
      <w:r w:rsidRPr="00D55696">
        <w:rPr>
          <w:rFonts w:ascii="Arial" w:hAnsi="Arial" w:cs="Arial"/>
          <w:lang w:val="en-AU"/>
        </w:rPr>
        <w:t>,</w:t>
      </w:r>
      <w:proofErr w:type="gramEnd"/>
      <w:r w:rsidRPr="00D55696">
        <w:rPr>
          <w:rFonts w:ascii="Arial" w:hAnsi="Arial" w:cs="Arial"/>
          <w:lang w:val="en-AU"/>
        </w:rPr>
        <w:t xml:space="preserve"> World Health Organization, 2010.</w:t>
      </w:r>
    </w:p>
    <w:p w:rsidR="00000000" w:rsidRPr="00D55696" w:rsidRDefault="00D55696" w:rsidP="00D55696">
      <w:pPr>
        <w:numPr>
          <w:ilvl w:val="0"/>
          <w:numId w:val="7"/>
        </w:numPr>
        <w:rPr>
          <w:rFonts w:ascii="Arial" w:hAnsi="Arial" w:cs="Arial"/>
          <w:lang w:val="en-AU"/>
        </w:rPr>
      </w:pPr>
      <w:proofErr w:type="spellStart"/>
      <w:r w:rsidRPr="00D55696">
        <w:rPr>
          <w:rFonts w:ascii="Arial" w:hAnsi="Arial" w:cs="Arial"/>
          <w:lang w:val="en-AU"/>
        </w:rPr>
        <w:t>Shigekawa</w:t>
      </w:r>
      <w:proofErr w:type="spellEnd"/>
      <w:r w:rsidRPr="00D55696">
        <w:rPr>
          <w:rFonts w:ascii="Arial" w:hAnsi="Arial" w:cs="Arial"/>
          <w:lang w:val="en-AU"/>
        </w:rPr>
        <w:t xml:space="preserve">, E., Fix, M., Corbett, G., Roby, D.H., and Coffman, J., </w:t>
      </w:r>
      <w:r w:rsidRPr="00D55696">
        <w:rPr>
          <w:rFonts w:ascii="Arial" w:hAnsi="Arial" w:cs="Arial"/>
          <w:i/>
          <w:iCs/>
          <w:lang w:val="en-AU"/>
        </w:rPr>
        <w:t xml:space="preserve">The Current State of </w:t>
      </w:r>
      <w:proofErr w:type="spellStart"/>
      <w:r w:rsidRPr="00D55696">
        <w:rPr>
          <w:rFonts w:ascii="Arial" w:hAnsi="Arial" w:cs="Arial"/>
          <w:i/>
          <w:iCs/>
          <w:lang w:val="en-AU"/>
        </w:rPr>
        <w:t>Telehealth</w:t>
      </w:r>
      <w:proofErr w:type="spellEnd"/>
      <w:r w:rsidRPr="00D55696">
        <w:rPr>
          <w:rFonts w:ascii="Arial" w:hAnsi="Arial" w:cs="Arial"/>
          <w:i/>
          <w:iCs/>
          <w:lang w:val="en-AU"/>
        </w:rPr>
        <w:t xml:space="preserve"> Evidence: A Rapid Review, </w:t>
      </w:r>
      <w:r w:rsidRPr="00D55696">
        <w:rPr>
          <w:rFonts w:ascii="Arial" w:hAnsi="Arial" w:cs="Arial"/>
          <w:lang w:val="en-AU"/>
        </w:rPr>
        <w:t>Health Affai</w:t>
      </w:r>
      <w:r w:rsidRPr="00D55696">
        <w:rPr>
          <w:rFonts w:ascii="Arial" w:hAnsi="Arial" w:cs="Arial"/>
          <w:lang w:val="en-AU"/>
        </w:rPr>
        <w:t xml:space="preserve">rs 37, </w:t>
      </w:r>
      <w:proofErr w:type="gramStart"/>
      <w:r w:rsidRPr="00D55696">
        <w:rPr>
          <w:rFonts w:ascii="Arial" w:hAnsi="Arial" w:cs="Arial"/>
          <w:lang w:val="en-AU"/>
        </w:rPr>
        <w:t>N0.12</w:t>
      </w:r>
      <w:proofErr w:type="gramEnd"/>
      <w:r w:rsidRPr="00D55696">
        <w:rPr>
          <w:rFonts w:ascii="Arial" w:hAnsi="Arial" w:cs="Arial"/>
          <w:lang w:val="en-AU"/>
        </w:rPr>
        <w:t>, 2018.</w:t>
      </w:r>
    </w:p>
    <w:p w:rsidR="00000000" w:rsidRPr="00D55696" w:rsidRDefault="00D55696" w:rsidP="00D55696">
      <w:pPr>
        <w:numPr>
          <w:ilvl w:val="0"/>
          <w:numId w:val="7"/>
        </w:numPr>
        <w:rPr>
          <w:rFonts w:ascii="Arial" w:hAnsi="Arial" w:cs="Arial"/>
          <w:lang w:val="en-AU"/>
        </w:rPr>
      </w:pPr>
      <w:r w:rsidRPr="00D55696">
        <w:rPr>
          <w:rFonts w:ascii="Arial" w:hAnsi="Arial" w:cs="Arial"/>
          <w:lang w:val="en-AU"/>
        </w:rPr>
        <w:t xml:space="preserve">Simpson, S.G., and Reid, C.L., </w:t>
      </w:r>
      <w:r w:rsidRPr="00D55696">
        <w:rPr>
          <w:rFonts w:ascii="Arial" w:hAnsi="Arial" w:cs="Arial"/>
          <w:i/>
          <w:iCs/>
          <w:lang w:val="en-AU"/>
        </w:rPr>
        <w:t xml:space="preserve">Therapeutic Alliance in Videoconferencing Psychotherapy: a review. </w:t>
      </w:r>
      <w:r w:rsidRPr="00D55696">
        <w:rPr>
          <w:rFonts w:ascii="Arial" w:hAnsi="Arial" w:cs="Arial"/>
          <w:lang w:val="en-AU"/>
        </w:rPr>
        <w:t>Australian Journal of Rural Health, 2014, 22(6), 280-99.</w:t>
      </w:r>
    </w:p>
    <w:p w:rsidR="00D55696" w:rsidRPr="00D55696" w:rsidRDefault="00D55696">
      <w:pPr>
        <w:rPr>
          <w:rFonts w:ascii="Arial" w:hAnsi="Arial" w:cs="Arial"/>
        </w:rPr>
      </w:pPr>
    </w:p>
    <w:sectPr w:rsidR="00D55696" w:rsidRPr="00D55696" w:rsidSect="001614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E98"/>
    <w:multiLevelType w:val="hybridMultilevel"/>
    <w:tmpl w:val="DAB01EF0"/>
    <w:lvl w:ilvl="0" w:tplc="3A4A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A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0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E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C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2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2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25FEF"/>
    <w:multiLevelType w:val="hybridMultilevel"/>
    <w:tmpl w:val="286AC5F2"/>
    <w:lvl w:ilvl="0" w:tplc="8C54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0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E2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21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EA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A9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04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C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8C7BC6"/>
    <w:multiLevelType w:val="hybridMultilevel"/>
    <w:tmpl w:val="3AC02756"/>
    <w:lvl w:ilvl="0" w:tplc="913C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4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A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E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A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C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CB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2D1B18"/>
    <w:multiLevelType w:val="hybridMultilevel"/>
    <w:tmpl w:val="3F3C3A32"/>
    <w:lvl w:ilvl="0" w:tplc="108E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F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40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E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25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A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61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26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60B15"/>
    <w:multiLevelType w:val="hybridMultilevel"/>
    <w:tmpl w:val="49C6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145F"/>
    <w:multiLevelType w:val="hybridMultilevel"/>
    <w:tmpl w:val="587ADD92"/>
    <w:lvl w:ilvl="0" w:tplc="E7CC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6A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2B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0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6B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707261"/>
    <w:multiLevelType w:val="hybridMultilevel"/>
    <w:tmpl w:val="6E2A98A8"/>
    <w:lvl w:ilvl="0" w:tplc="11A8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CC178">
      <w:start w:val="-1640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6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E4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B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8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E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96"/>
    <w:rsid w:val="00161481"/>
    <w:rsid w:val="009C137A"/>
    <w:rsid w:val="00D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8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dot" w:eastAsiaTheme="minorEastAsia" w:hAnsi="Didot" w:cs="Dido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696"/>
    <w:pPr>
      <w:spacing w:before="100" w:beforeAutospacing="1" w:after="100" w:afterAutospacing="1"/>
    </w:pPr>
    <w:rPr>
      <w:rFonts w:ascii="Times" w:hAnsi="Times" w:cs="Times New Roman"/>
      <w:lang w:val="en-AU"/>
    </w:rPr>
  </w:style>
  <w:style w:type="paragraph" w:styleId="ListParagraph">
    <w:name w:val="List Paragraph"/>
    <w:basedOn w:val="Normal"/>
    <w:uiPriority w:val="34"/>
    <w:qFormat/>
    <w:rsid w:val="00D5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dot" w:eastAsiaTheme="minorEastAsia" w:hAnsi="Didot" w:cs="Dido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696"/>
    <w:pPr>
      <w:spacing w:before="100" w:beforeAutospacing="1" w:after="100" w:afterAutospacing="1"/>
    </w:pPr>
    <w:rPr>
      <w:rFonts w:ascii="Times" w:hAnsi="Times" w:cs="Times New Roman"/>
      <w:lang w:val="en-AU"/>
    </w:rPr>
  </w:style>
  <w:style w:type="paragraph" w:styleId="ListParagraph">
    <w:name w:val="List Paragraph"/>
    <w:basedOn w:val="Normal"/>
    <w:uiPriority w:val="34"/>
    <w:qFormat/>
    <w:rsid w:val="00D5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4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8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0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6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1208</Words>
  <Characters>6889</Characters>
  <Application>Microsoft Macintosh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Phan</dc:creator>
  <cp:keywords/>
  <dc:description/>
  <cp:lastModifiedBy>Vicky Phan</cp:lastModifiedBy>
  <cp:revision>1</cp:revision>
  <dcterms:created xsi:type="dcterms:W3CDTF">2020-04-15T07:37:00Z</dcterms:created>
  <dcterms:modified xsi:type="dcterms:W3CDTF">2020-04-15T07:42:00Z</dcterms:modified>
</cp:coreProperties>
</file>