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0pt;margin-top:1.096983pt;width:593.1pt;height:840.85pt;mso-position-horizontal-relative:page;mso-position-vertical-relative:page;z-index:-88888" type="#_x0000_t202" filled="false" stroked="false">
            <v:textbox inset="0,0,0,0">
              <w:txbxContent>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29"/>
                    </w:rPr>
                  </w:pPr>
                </w:p>
                <w:p>
                  <w:pPr>
                    <w:pStyle w:val="BodyText"/>
                    <w:spacing w:before="1"/>
                    <w:ind w:right="1393"/>
                    <w:jc w:val="right"/>
                    <w:rPr>
                      <w:rFonts w:ascii="Times New Roman"/>
                    </w:rPr>
                  </w:pPr>
                  <w:r>
                    <w:rPr>
                      <w:rFonts w:ascii="Times New Roman"/>
                    </w:rPr>
                    <w:t>1</w:t>
                  </w:r>
                </w:p>
              </w:txbxContent>
            </v:textbox>
            <w10:wrap type="none"/>
          </v:shape>
        </w:pict>
      </w:r>
      <w:r>
        <w:rPr/>
        <w:pict>
          <v:group style="position:absolute;margin-left:0pt;margin-top:1.096983pt;width:593.1pt;height:840.85pt;mso-position-horizontal-relative:page;mso-position-vertical-relative:page;z-index:-88864" coordorigin="0,22" coordsize="11862,16817">
            <v:shape style="position:absolute;left:0;top:22;width:11862;height:16816" type="#_x0000_t75" alt="A close up of a logo  Description automatically generated " stroked="false">
              <v:imagedata r:id="rId5" o:title=""/>
            </v:shape>
            <v:shape style="position:absolute;left:4556;top:15750;width:3230;height:552" type="#_x0000_t75" alt="A black sign with white text  Description automatically generated " stroked="false">
              <v:imagedata r:id="rId6" o:title=""/>
            </v:shape>
            <v:shape style="position:absolute;left:493;top:15753;width:3645;height:475" type="#_x0000_t75" alt="A close up of a stool  Description automatically generated " stroked="false">
              <v:imagedata r:id="rId7"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3"/>
        </w:rPr>
      </w:pPr>
    </w:p>
    <w:p>
      <w:pPr>
        <w:spacing w:line="216" w:lineRule="auto" w:before="41"/>
        <w:ind w:left="4298" w:right="114" w:firstLine="385"/>
        <w:jc w:val="both"/>
        <w:rPr>
          <w:b/>
          <w:sz w:val="56"/>
        </w:rPr>
      </w:pPr>
      <w:r>
        <w:rPr>
          <w:b/>
          <w:color w:val="6C1D6C"/>
          <w:spacing w:val="-4"/>
          <w:sz w:val="56"/>
        </w:rPr>
        <w:t>Overdose prevention information </w:t>
      </w:r>
      <w:r>
        <w:rPr>
          <w:b/>
          <w:color w:val="6C1D6C"/>
          <w:spacing w:val="-3"/>
          <w:sz w:val="56"/>
        </w:rPr>
        <w:t>for </w:t>
      </w:r>
      <w:r>
        <w:rPr>
          <w:b/>
          <w:color w:val="6C1D6C"/>
          <w:spacing w:val="-4"/>
          <w:sz w:val="56"/>
        </w:rPr>
        <w:t>people prescribed opioids </w:t>
      </w:r>
      <w:r>
        <w:rPr>
          <w:b/>
          <w:color w:val="6C1D6C"/>
          <w:spacing w:val="-3"/>
          <w:sz w:val="56"/>
        </w:rPr>
        <w:t>for</w:t>
      </w:r>
    </w:p>
    <w:p>
      <w:pPr>
        <w:spacing w:line="630" w:lineRule="exact" w:before="0"/>
        <w:ind w:left="0" w:right="118" w:firstLine="0"/>
        <w:jc w:val="right"/>
        <w:rPr>
          <w:b/>
          <w:sz w:val="56"/>
        </w:rPr>
      </w:pPr>
      <w:r>
        <w:rPr>
          <w:b/>
          <w:color w:val="6C1D6C"/>
          <w:sz w:val="56"/>
        </w:rPr>
        <w:t>chronic pain</w:t>
      </w:r>
    </w:p>
    <w:p>
      <w:pPr>
        <w:spacing w:line="526" w:lineRule="exact" w:before="460"/>
        <w:ind w:left="5342" w:right="116" w:hanging="144"/>
        <w:jc w:val="right"/>
        <w:rPr>
          <w:sz w:val="48"/>
        </w:rPr>
      </w:pPr>
      <w:r>
        <w:rPr>
          <w:color w:val="6C1D6C"/>
          <w:sz w:val="48"/>
        </w:rPr>
        <w:t>Enhancing community pharmacists’ capacity</w:t>
      </w:r>
    </w:p>
    <w:p>
      <w:pPr>
        <w:spacing w:line="552" w:lineRule="exact" w:before="0"/>
        <w:ind w:left="0" w:right="116" w:firstLine="0"/>
        <w:jc w:val="right"/>
        <w:rPr>
          <w:sz w:val="48"/>
        </w:rPr>
      </w:pPr>
      <w:r>
        <w:rPr>
          <w:color w:val="6C1D6C"/>
          <w:sz w:val="48"/>
        </w:rPr>
        <w:t>to respond</w:t>
      </w:r>
    </w:p>
    <w:p>
      <w:pPr>
        <w:pStyle w:val="BodyText"/>
        <w:spacing w:before="10"/>
        <w:rPr>
          <w:sz w:val="69"/>
        </w:rPr>
      </w:pPr>
    </w:p>
    <w:p>
      <w:pPr>
        <w:spacing w:line="300" w:lineRule="auto" w:before="0"/>
        <w:ind w:left="7312" w:right="116" w:firstLine="417"/>
        <w:jc w:val="right"/>
        <w:rPr>
          <w:sz w:val="32"/>
        </w:rPr>
      </w:pPr>
      <w:r>
        <w:rPr>
          <w:color w:val="525355"/>
          <w:sz w:val="32"/>
        </w:rPr>
        <w:t>Isabelle Volpe</w:t>
      </w:r>
      <w:r>
        <w:rPr>
          <w:color w:val="525355"/>
          <w:w w:val="100"/>
          <w:sz w:val="32"/>
        </w:rPr>
        <w:t> </w:t>
      </w:r>
      <w:r>
        <w:rPr>
          <w:color w:val="525355"/>
          <w:sz w:val="32"/>
        </w:rPr>
        <w:t>Suzanne Nielsen</w:t>
      </w:r>
      <w:r>
        <w:rPr>
          <w:color w:val="525355"/>
          <w:w w:val="100"/>
          <w:sz w:val="32"/>
        </w:rPr>
        <w:t> </w:t>
      </w:r>
      <w:r>
        <w:rPr>
          <w:color w:val="525355"/>
          <w:sz w:val="32"/>
        </w:rPr>
        <w:t>Victoria Manning</w:t>
      </w:r>
      <w:r>
        <w:rPr>
          <w:color w:val="525355"/>
          <w:w w:val="100"/>
          <w:sz w:val="32"/>
        </w:rPr>
        <w:t> </w:t>
      </w:r>
      <w:r>
        <w:rPr>
          <w:color w:val="525355"/>
          <w:sz w:val="32"/>
        </w:rPr>
        <w:t>Michael Savic</w:t>
      </w:r>
      <w:r>
        <w:rPr>
          <w:color w:val="525355"/>
          <w:w w:val="100"/>
          <w:sz w:val="32"/>
        </w:rPr>
        <w:t> </w:t>
      </w:r>
      <w:r>
        <w:rPr>
          <w:color w:val="525355"/>
          <w:sz w:val="32"/>
        </w:rPr>
        <w:t>Jarrod McMaugh</w:t>
      </w:r>
    </w:p>
    <w:p>
      <w:pPr>
        <w:pStyle w:val="BodyText"/>
        <w:rPr>
          <w:sz w:val="40"/>
        </w:rPr>
      </w:pPr>
    </w:p>
    <w:p>
      <w:pPr>
        <w:spacing w:before="0"/>
        <w:ind w:left="0" w:right="119" w:firstLine="0"/>
        <w:jc w:val="right"/>
        <w:rPr>
          <w:sz w:val="28"/>
        </w:rPr>
      </w:pPr>
      <w:r>
        <w:rPr>
          <w:color w:val="525355"/>
          <w:sz w:val="28"/>
        </w:rPr>
        <w:t>June 2020</w:t>
      </w:r>
    </w:p>
    <w:p>
      <w:pPr>
        <w:spacing w:after="0"/>
        <w:jc w:val="right"/>
        <w:rPr>
          <w:sz w:val="28"/>
        </w:rPr>
        <w:sectPr>
          <w:type w:val="continuous"/>
          <w:pgSz w:w="11910" w:h="16840"/>
          <w:pgMar w:top="1580" w:bottom="280" w:left="1680" w:right="560"/>
        </w:sectPr>
      </w:pPr>
    </w:p>
    <w:p>
      <w:pPr>
        <w:spacing w:before="17"/>
        <w:ind w:left="100" w:right="0" w:firstLine="0"/>
        <w:jc w:val="left"/>
        <w:rPr>
          <w:b/>
          <w:sz w:val="28"/>
        </w:rPr>
      </w:pPr>
      <w:r>
        <w:rPr>
          <w:b/>
          <w:color w:val="6C1D6C"/>
          <w:sz w:val="28"/>
        </w:rPr>
        <w:t>Contents</w:t>
      </w:r>
    </w:p>
    <w:sdt>
      <w:sdtPr>
        <w:docPartObj>
          <w:docPartGallery w:val="Table of Contents"/>
          <w:docPartUnique/>
        </w:docPartObj>
      </w:sdtPr>
      <w:sdtEndPr/>
      <w:sdtContent>
        <w:p>
          <w:pPr>
            <w:pStyle w:val="TOC1"/>
            <w:tabs>
              <w:tab w:pos="9115" w:val="right" w:leader="dot"/>
            </w:tabs>
            <w:spacing w:before="0"/>
            <w:ind w:firstLine="0"/>
          </w:pPr>
          <w:hyperlink w:history="true" w:anchor="_bookmark0">
            <w:r>
              <w:rPr/>
              <w:t>Executive</w:t>
            </w:r>
            <w:r>
              <w:rPr>
                <w:spacing w:val="-1"/>
              </w:rPr>
              <w:t> </w:t>
            </w:r>
            <w:r>
              <w:rPr/>
              <w:t>Summary</w:t>
              <w:tab/>
              <w:t>3</w:t>
            </w:r>
          </w:hyperlink>
        </w:p>
        <w:p>
          <w:pPr>
            <w:pStyle w:val="TOC1"/>
            <w:numPr>
              <w:ilvl w:val="0"/>
              <w:numId w:val="1"/>
            </w:numPr>
            <w:tabs>
              <w:tab w:pos="336" w:val="left" w:leader="none"/>
              <w:tab w:pos="9115" w:val="right" w:leader="dot"/>
            </w:tabs>
            <w:spacing w:line="240" w:lineRule="auto" w:before="100" w:after="0"/>
            <w:ind w:left="335" w:right="0" w:hanging="235"/>
            <w:jc w:val="left"/>
          </w:pPr>
          <w:hyperlink w:history="true" w:anchor="_bookmark1">
            <w:r>
              <w:rPr/>
              <w:t>Aims</w:t>
            </w:r>
            <w:r>
              <w:rPr>
                <w:spacing w:val="-1"/>
              </w:rPr>
              <w:t> </w:t>
            </w:r>
            <w:r>
              <w:rPr/>
              <w:t>and</w:t>
            </w:r>
            <w:r>
              <w:rPr>
                <w:spacing w:val="-1"/>
              </w:rPr>
              <w:t> </w:t>
            </w:r>
            <w:r>
              <w:rPr/>
              <w:t>method</w:t>
              <w:tab/>
              <w:t>6</w:t>
            </w:r>
          </w:hyperlink>
        </w:p>
        <w:p>
          <w:pPr>
            <w:pStyle w:val="TOC1"/>
            <w:numPr>
              <w:ilvl w:val="0"/>
              <w:numId w:val="1"/>
            </w:numPr>
            <w:tabs>
              <w:tab w:pos="336" w:val="left" w:leader="none"/>
              <w:tab w:pos="9115" w:val="right" w:leader="dot"/>
            </w:tabs>
            <w:spacing w:line="240" w:lineRule="auto" w:before="100" w:after="0"/>
            <w:ind w:left="335" w:right="0" w:hanging="235"/>
            <w:jc w:val="left"/>
          </w:pPr>
          <w:hyperlink w:history="true" w:anchor="_bookmark2">
            <w:r>
              <w:rPr/>
              <w:t>Review of current pharmacist</w:t>
            </w:r>
            <w:r>
              <w:rPr>
                <w:spacing w:val="-4"/>
              </w:rPr>
              <w:t> </w:t>
            </w:r>
            <w:r>
              <w:rPr/>
              <w:t>training</w:t>
            </w:r>
            <w:r>
              <w:rPr>
                <w:spacing w:val="-2"/>
              </w:rPr>
              <w:t> </w:t>
            </w:r>
            <w:r>
              <w:rPr/>
              <w:t>materials</w:t>
              <w:tab/>
              <w:t>8</w:t>
            </w:r>
          </w:hyperlink>
        </w:p>
        <w:p>
          <w:pPr>
            <w:pStyle w:val="TOC1"/>
            <w:numPr>
              <w:ilvl w:val="0"/>
              <w:numId w:val="1"/>
            </w:numPr>
            <w:tabs>
              <w:tab w:pos="336" w:val="left" w:leader="none"/>
              <w:tab w:pos="9115" w:val="right" w:leader="dot"/>
            </w:tabs>
            <w:spacing w:line="240" w:lineRule="auto" w:before="98" w:after="0"/>
            <w:ind w:left="335" w:right="0" w:hanging="235"/>
            <w:jc w:val="left"/>
          </w:pPr>
          <w:hyperlink w:history="true" w:anchor="_bookmark3">
            <w:r>
              <w:rPr/>
              <w:t>Consultation with</w:t>
            </w:r>
            <w:r>
              <w:rPr>
                <w:spacing w:val="-3"/>
              </w:rPr>
              <w:t> </w:t>
            </w:r>
            <w:r>
              <w:rPr/>
              <w:t>Victorian</w:t>
            </w:r>
            <w:r>
              <w:rPr>
                <w:spacing w:val="-2"/>
              </w:rPr>
              <w:t> </w:t>
            </w:r>
            <w:r>
              <w:rPr/>
              <w:t>patients</w:t>
              <w:tab/>
              <w:t>9</w:t>
            </w:r>
          </w:hyperlink>
        </w:p>
        <w:p>
          <w:pPr>
            <w:pStyle w:val="TOC1"/>
            <w:numPr>
              <w:ilvl w:val="0"/>
              <w:numId w:val="2"/>
            </w:numPr>
            <w:tabs>
              <w:tab w:pos="336" w:val="left" w:leader="none"/>
              <w:tab w:pos="9114" w:val="right" w:leader="dot"/>
            </w:tabs>
            <w:spacing w:line="240" w:lineRule="auto" w:before="100" w:after="0"/>
            <w:ind w:left="335" w:right="0" w:hanging="235"/>
            <w:jc w:val="left"/>
          </w:pPr>
          <w:hyperlink w:history="true" w:anchor="_bookmark4">
            <w:r>
              <w:rPr/>
              <w:t>Consultation with</w:t>
            </w:r>
            <w:r>
              <w:rPr>
                <w:spacing w:val="-3"/>
              </w:rPr>
              <w:t> </w:t>
            </w:r>
            <w:r>
              <w:rPr/>
              <w:t>Victorian</w:t>
            </w:r>
            <w:r>
              <w:rPr>
                <w:spacing w:val="-2"/>
              </w:rPr>
              <w:t> </w:t>
            </w:r>
            <w:r>
              <w:rPr/>
              <w:t>pharmacists</w:t>
              <w:tab/>
              <w:t>12</w:t>
            </w:r>
          </w:hyperlink>
        </w:p>
        <w:p>
          <w:pPr>
            <w:pStyle w:val="TOC1"/>
            <w:numPr>
              <w:ilvl w:val="0"/>
              <w:numId w:val="2"/>
            </w:numPr>
            <w:tabs>
              <w:tab w:pos="336" w:val="left" w:leader="none"/>
              <w:tab w:pos="9114" w:val="right" w:leader="dot"/>
            </w:tabs>
            <w:spacing w:line="240" w:lineRule="auto" w:before="99" w:after="0"/>
            <w:ind w:left="335" w:right="0" w:hanging="235"/>
            <w:jc w:val="left"/>
          </w:pPr>
          <w:hyperlink w:history="true" w:anchor="_bookmark5">
            <w:r>
              <w:rPr/>
              <w:t>Developing the materials and obtaining</w:t>
            </w:r>
            <w:r>
              <w:rPr>
                <w:spacing w:val="-6"/>
              </w:rPr>
              <w:t> </w:t>
            </w:r>
            <w:r>
              <w:rPr/>
              <w:t>further</w:t>
            </w:r>
            <w:r>
              <w:rPr>
                <w:spacing w:val="-3"/>
              </w:rPr>
              <w:t> </w:t>
            </w:r>
            <w:r>
              <w:rPr/>
              <w:t>feedback</w:t>
              <w:tab/>
              <w:t>18</w:t>
            </w:r>
          </w:hyperlink>
        </w:p>
        <w:p>
          <w:pPr>
            <w:pStyle w:val="TOC1"/>
            <w:numPr>
              <w:ilvl w:val="0"/>
              <w:numId w:val="2"/>
            </w:numPr>
            <w:tabs>
              <w:tab w:pos="336" w:val="left" w:leader="none"/>
              <w:tab w:pos="9114" w:val="right" w:leader="dot"/>
            </w:tabs>
            <w:spacing w:line="240" w:lineRule="auto" w:before="100" w:after="0"/>
            <w:ind w:left="335" w:right="0" w:hanging="235"/>
            <w:jc w:val="left"/>
          </w:pPr>
          <w:hyperlink w:history="true" w:anchor="_bookmark6">
            <w:r>
              <w:rPr/>
              <w:t>Conclusion and</w:t>
            </w:r>
            <w:r>
              <w:rPr>
                <w:spacing w:val="-3"/>
              </w:rPr>
              <w:t> </w:t>
            </w:r>
            <w:r>
              <w:rPr/>
              <w:t>next</w:t>
            </w:r>
            <w:r>
              <w:rPr>
                <w:spacing w:val="-2"/>
              </w:rPr>
              <w:t> </w:t>
            </w:r>
            <w:r>
              <w:rPr/>
              <w:t>steps</w:t>
              <w:tab/>
              <w:t>24</w:t>
            </w:r>
          </w:hyperlink>
        </w:p>
        <w:p>
          <w:pPr>
            <w:pStyle w:val="TOC1"/>
            <w:tabs>
              <w:tab w:pos="9114" w:val="right" w:leader="dot"/>
            </w:tabs>
            <w:spacing w:before="99"/>
            <w:ind w:firstLine="0"/>
          </w:pPr>
          <w:hyperlink w:history="true" w:anchor="_bookmark7">
            <w:r>
              <w:rPr/>
              <w:t>Reference</w:t>
            </w:r>
            <w:r>
              <w:rPr>
                <w:spacing w:val="-1"/>
              </w:rPr>
              <w:t> </w:t>
            </w:r>
            <w:r>
              <w:rPr/>
              <w:t>list</w:t>
              <w:tab/>
              <w:t>25</w:t>
            </w:r>
          </w:hyperlink>
        </w:p>
        <w:p>
          <w:pPr>
            <w:pStyle w:val="TOC1"/>
            <w:tabs>
              <w:tab w:pos="9114" w:val="right" w:leader="dot"/>
            </w:tabs>
            <w:ind w:right="110" w:firstLine="0"/>
          </w:pPr>
          <w:hyperlink w:history="true" w:anchor="_bookmark8">
            <w:r>
              <w:rPr/>
              <w:t>Appendix 1: Review of pharmacist training materials/information/guidelines on overdose</w:t>
            </w:r>
          </w:hyperlink>
          <w:r>
            <w:rPr/>
            <w:t> </w:t>
          </w:r>
          <w:hyperlink w:history="true" w:anchor="_bookmark8">
            <w:r>
              <w:rPr/>
              <w:t>prevention (naloxone provision) for people prescribed opioids for</w:t>
            </w:r>
            <w:r>
              <w:rPr>
                <w:spacing w:val="-11"/>
              </w:rPr>
              <w:t> </w:t>
            </w:r>
            <w:r>
              <w:rPr/>
              <w:t>chronic</w:t>
            </w:r>
            <w:r>
              <w:rPr>
                <w:spacing w:val="-2"/>
              </w:rPr>
              <w:t> </w:t>
            </w:r>
            <w:r>
              <w:rPr/>
              <w:t>pain</w:t>
              <w:tab/>
              <w:t>26</w:t>
            </w:r>
          </w:hyperlink>
        </w:p>
        <w:p>
          <w:pPr>
            <w:pStyle w:val="TOC1"/>
            <w:tabs>
              <w:tab w:pos="9114" w:val="right" w:leader="dot"/>
            </w:tabs>
            <w:spacing w:before="99"/>
            <w:ind w:firstLine="0"/>
          </w:pPr>
          <w:hyperlink w:history="true" w:anchor="_bookmark9">
            <w:r>
              <w:rPr/>
              <w:t>Appendix 2:</w:t>
            </w:r>
            <w:r>
              <w:rPr>
                <w:spacing w:val="-2"/>
              </w:rPr>
              <w:t> </w:t>
            </w:r>
            <w:r>
              <w:rPr/>
              <w:t>Pharmacist</w:t>
            </w:r>
            <w:r>
              <w:rPr>
                <w:spacing w:val="-3"/>
              </w:rPr>
              <w:t> </w:t>
            </w:r>
            <w:r>
              <w:rPr/>
              <w:t>poster</w:t>
              <w:tab/>
              <w:t>32</w:t>
            </w:r>
          </w:hyperlink>
        </w:p>
        <w:p>
          <w:pPr>
            <w:pStyle w:val="TOC1"/>
            <w:tabs>
              <w:tab w:pos="9114" w:val="right" w:leader="dot"/>
            </w:tabs>
            <w:ind w:firstLine="0"/>
          </w:pPr>
          <w:hyperlink w:history="true" w:anchor="_bookmark10">
            <w:r>
              <w:rPr/>
              <w:t>Appendix 3: Patient</w:t>
            </w:r>
            <w:r>
              <w:rPr>
                <w:spacing w:val="-3"/>
              </w:rPr>
              <w:t> </w:t>
            </w:r>
            <w:r>
              <w:rPr/>
              <w:t>leaflet</w:t>
            </w:r>
            <w:r>
              <w:rPr>
                <w:spacing w:val="-2"/>
              </w:rPr>
              <w:t> </w:t>
            </w:r>
            <w:r>
              <w:rPr/>
              <w:t>(double-sided)</w:t>
              <w:tab/>
              <w:t>33</w:t>
            </w:r>
          </w:hyperlink>
        </w:p>
        <w:p>
          <w:pPr>
            <w:pStyle w:val="TOC1"/>
            <w:tabs>
              <w:tab w:pos="9114" w:val="right" w:leader="dot"/>
            </w:tabs>
            <w:spacing w:before="99"/>
            <w:ind w:firstLine="0"/>
          </w:pPr>
          <w:hyperlink w:history="true" w:anchor="_bookmark11">
            <w:r>
              <w:rPr/>
              <w:t>Appendix 4: Pharmacist training animation:</w:t>
            </w:r>
            <w:r>
              <w:rPr>
                <w:spacing w:val="-6"/>
              </w:rPr>
              <w:t> </w:t>
            </w:r>
            <w:r>
              <w:rPr/>
              <w:t>illustration</w:t>
            </w:r>
            <w:r>
              <w:rPr>
                <w:spacing w:val="-2"/>
              </w:rPr>
              <w:t> </w:t>
            </w:r>
            <w:r>
              <w:rPr/>
              <w:t>example</w:t>
              <w:tab/>
              <w:t>35</w:t>
            </w:r>
          </w:hyperlink>
        </w:p>
      </w:sdtContent>
    </w:sdt>
    <w:p>
      <w:pPr>
        <w:spacing w:after="0"/>
        <w:sectPr>
          <w:footerReference w:type="default" r:id="rId8"/>
          <w:pgSz w:w="11910" w:h="16840"/>
          <w:pgMar w:footer="1297" w:header="0" w:top="1500" w:bottom="1480" w:left="1340" w:right="1340"/>
          <w:pgNumType w:start="2"/>
        </w:sectPr>
      </w:pPr>
    </w:p>
    <w:p>
      <w:pPr>
        <w:pStyle w:val="Heading1"/>
        <w:ind w:left="120"/>
      </w:pPr>
      <w:bookmarkStart w:name="Executive Summary" w:id="1"/>
      <w:bookmarkEnd w:id="1"/>
      <w:r>
        <w:rPr>
          <w:b w:val="0"/>
        </w:rPr>
      </w:r>
      <w:bookmarkStart w:name="_bookmark0" w:id="2"/>
      <w:bookmarkEnd w:id="2"/>
      <w:r>
        <w:rPr>
          <w:b w:val="0"/>
        </w:rPr>
      </w:r>
      <w:r>
        <w:rPr>
          <w:color w:val="6C1D6C"/>
        </w:rPr>
        <w:t>Executive Summary</w:t>
      </w:r>
    </w:p>
    <w:p>
      <w:pPr>
        <w:pStyle w:val="BodyText"/>
        <w:spacing w:before="11"/>
        <w:rPr>
          <w:b/>
          <w:sz w:val="21"/>
        </w:rPr>
      </w:pPr>
    </w:p>
    <w:p>
      <w:pPr>
        <w:pStyle w:val="Heading2"/>
        <w:spacing w:before="1"/>
        <w:ind w:left="120"/>
      </w:pPr>
      <w:r>
        <w:rPr/>
        <w:t>Background</w:t>
      </w:r>
    </w:p>
    <w:p>
      <w:pPr>
        <w:pStyle w:val="BodyText"/>
        <w:spacing w:before="11"/>
        <w:rPr>
          <w:b/>
          <w:sz w:val="23"/>
        </w:rPr>
      </w:pPr>
    </w:p>
    <w:p>
      <w:pPr>
        <w:pStyle w:val="BodyText"/>
        <w:spacing w:before="1"/>
        <w:ind w:left="119" w:right="301"/>
      </w:pPr>
      <w:r>
        <w:rPr/>
        <w:t>Current overdose prevention educational materials have been designed as harm reduction approaches for people who use heroin or other illicit opioids. However, pharmaceutical opioids are more likely than heroin to be involved in opioid deaths and opioid hospitalisations in Australia as well as other countries. As such, there is a need to develop educational materials specifically for people prescribed opioids that can be made available through dispensing pharmacies.</w:t>
      </w:r>
    </w:p>
    <w:p>
      <w:pPr>
        <w:pStyle w:val="BodyText"/>
        <w:spacing w:before="11"/>
        <w:rPr>
          <w:sz w:val="23"/>
        </w:rPr>
      </w:pPr>
    </w:p>
    <w:p>
      <w:pPr>
        <w:pStyle w:val="Heading2"/>
        <w:spacing w:before="1"/>
      </w:pPr>
      <w:r>
        <w:rPr/>
        <w:t>Aim</w:t>
      </w:r>
    </w:p>
    <w:p>
      <w:pPr>
        <w:pStyle w:val="BodyText"/>
        <w:spacing w:before="11"/>
        <w:rPr>
          <w:b/>
          <w:sz w:val="23"/>
        </w:rPr>
      </w:pPr>
    </w:p>
    <w:p>
      <w:pPr>
        <w:pStyle w:val="BodyText"/>
        <w:spacing w:before="1"/>
        <w:ind w:left="119" w:right="117"/>
        <w:jc w:val="both"/>
      </w:pPr>
      <w:r>
        <w:rPr/>
        <w:t>This</w:t>
      </w:r>
      <w:r>
        <w:rPr>
          <w:spacing w:val="-10"/>
        </w:rPr>
        <w:t> </w:t>
      </w:r>
      <w:r>
        <w:rPr/>
        <w:t>project</w:t>
      </w:r>
      <w:r>
        <w:rPr>
          <w:spacing w:val="-10"/>
        </w:rPr>
        <w:t> </w:t>
      </w:r>
      <w:r>
        <w:rPr/>
        <w:t>was</w:t>
      </w:r>
      <w:r>
        <w:rPr>
          <w:spacing w:val="-10"/>
        </w:rPr>
        <w:t> </w:t>
      </w:r>
      <w:r>
        <w:rPr/>
        <w:t>funded</w:t>
      </w:r>
      <w:r>
        <w:rPr>
          <w:spacing w:val="-10"/>
        </w:rPr>
        <w:t> </w:t>
      </w:r>
      <w:r>
        <w:rPr/>
        <w:t>by</w:t>
      </w:r>
      <w:r>
        <w:rPr>
          <w:spacing w:val="-9"/>
        </w:rPr>
        <w:t> </w:t>
      </w:r>
      <w:r>
        <w:rPr/>
        <w:t>the</w:t>
      </w:r>
      <w:r>
        <w:rPr>
          <w:spacing w:val="-9"/>
        </w:rPr>
        <w:t> </w:t>
      </w:r>
      <w:r>
        <w:rPr/>
        <w:t>Department</w:t>
      </w:r>
      <w:r>
        <w:rPr>
          <w:spacing w:val="-10"/>
        </w:rPr>
        <w:t> </w:t>
      </w:r>
      <w:r>
        <w:rPr/>
        <w:t>of</w:t>
      </w:r>
      <w:r>
        <w:rPr>
          <w:spacing w:val="-10"/>
        </w:rPr>
        <w:t> </w:t>
      </w:r>
      <w:r>
        <w:rPr/>
        <w:t>Health</w:t>
      </w:r>
      <w:r>
        <w:rPr>
          <w:spacing w:val="-10"/>
        </w:rPr>
        <w:t> </w:t>
      </w:r>
      <w:r>
        <w:rPr/>
        <w:t>and</w:t>
      </w:r>
      <w:r>
        <w:rPr>
          <w:spacing w:val="-10"/>
        </w:rPr>
        <w:t> </w:t>
      </w:r>
      <w:r>
        <w:rPr/>
        <w:t>Human</w:t>
      </w:r>
      <w:r>
        <w:rPr>
          <w:spacing w:val="-10"/>
        </w:rPr>
        <w:t> </w:t>
      </w:r>
      <w:r>
        <w:rPr/>
        <w:t>Services</w:t>
      </w:r>
      <w:r>
        <w:rPr>
          <w:spacing w:val="-10"/>
        </w:rPr>
        <w:t> </w:t>
      </w:r>
      <w:r>
        <w:rPr/>
        <w:t>(DHHS)</w:t>
      </w:r>
      <w:r>
        <w:rPr>
          <w:spacing w:val="-10"/>
        </w:rPr>
        <w:t> </w:t>
      </w:r>
      <w:r>
        <w:rPr/>
        <w:t>to</w:t>
      </w:r>
      <w:r>
        <w:rPr>
          <w:spacing w:val="-11"/>
        </w:rPr>
        <w:t> </w:t>
      </w:r>
      <w:r>
        <w:rPr/>
        <w:t>enhance the capacity of pharmacists to provide overdose prevention and naloxone information to people who are prescribed opioids for chronic pain, by</w:t>
      </w:r>
      <w:r>
        <w:rPr>
          <w:spacing w:val="-30"/>
        </w:rPr>
        <w:t> </w:t>
      </w:r>
      <w:r>
        <w:rPr/>
        <w:t>developing:</w:t>
      </w:r>
    </w:p>
    <w:p>
      <w:pPr>
        <w:pStyle w:val="BodyText"/>
      </w:pPr>
    </w:p>
    <w:p>
      <w:pPr>
        <w:pStyle w:val="ListParagraph"/>
        <w:numPr>
          <w:ilvl w:val="1"/>
          <w:numId w:val="2"/>
        </w:numPr>
        <w:tabs>
          <w:tab w:pos="839" w:val="left" w:leader="none"/>
          <w:tab w:pos="840" w:val="left" w:leader="none"/>
        </w:tabs>
        <w:spacing w:line="240" w:lineRule="auto" w:before="0" w:after="0"/>
        <w:ind w:left="840" w:right="0" w:hanging="360"/>
        <w:jc w:val="left"/>
        <w:rPr>
          <w:sz w:val="24"/>
        </w:rPr>
      </w:pPr>
      <w:r>
        <w:rPr>
          <w:sz w:val="24"/>
        </w:rPr>
        <w:t>Educational materials for pharmacists (a poster and brief training</w:t>
      </w:r>
      <w:r>
        <w:rPr>
          <w:spacing w:val="-33"/>
          <w:sz w:val="24"/>
        </w:rPr>
        <w:t> </w:t>
      </w:r>
      <w:r>
        <w:rPr>
          <w:sz w:val="24"/>
        </w:rPr>
        <w:t>animation)</w:t>
      </w:r>
    </w:p>
    <w:p>
      <w:pPr>
        <w:pStyle w:val="ListParagraph"/>
        <w:numPr>
          <w:ilvl w:val="1"/>
          <w:numId w:val="2"/>
        </w:numPr>
        <w:tabs>
          <w:tab w:pos="839" w:val="left" w:leader="none"/>
          <w:tab w:pos="840" w:val="left" w:leader="none"/>
        </w:tabs>
        <w:spacing w:line="240" w:lineRule="auto" w:before="0" w:after="0"/>
        <w:ind w:left="840" w:right="0" w:hanging="360"/>
        <w:jc w:val="left"/>
        <w:rPr>
          <w:sz w:val="24"/>
        </w:rPr>
      </w:pPr>
      <w:r>
        <w:rPr>
          <w:sz w:val="24"/>
        </w:rPr>
        <w:t>Information materials for patients (a</w:t>
      </w:r>
      <w:r>
        <w:rPr>
          <w:spacing w:val="-18"/>
          <w:sz w:val="24"/>
        </w:rPr>
        <w:t> </w:t>
      </w:r>
      <w:r>
        <w:rPr>
          <w:sz w:val="24"/>
        </w:rPr>
        <w:t>leaflet)</w:t>
      </w:r>
    </w:p>
    <w:p>
      <w:pPr>
        <w:pStyle w:val="BodyText"/>
        <w:spacing w:before="11"/>
        <w:rPr>
          <w:sz w:val="23"/>
        </w:rPr>
      </w:pPr>
    </w:p>
    <w:p>
      <w:pPr>
        <w:pStyle w:val="Heading2"/>
      </w:pPr>
      <w:r>
        <w:rPr/>
        <w:t>Method</w:t>
      </w:r>
    </w:p>
    <w:p>
      <w:pPr>
        <w:pStyle w:val="BodyText"/>
        <w:rPr>
          <w:b/>
        </w:rPr>
      </w:pPr>
    </w:p>
    <w:p>
      <w:pPr>
        <w:pStyle w:val="BodyText"/>
        <w:ind w:left="119" w:right="116"/>
        <w:jc w:val="both"/>
      </w:pPr>
      <w:r>
        <w:rPr/>
        <w:t>We conducted a review of existing pharmacist training materials, information and guidelines on overdose prevention (naloxone provision) for people prescribed opioids for chronic pain. Following</w:t>
      </w:r>
      <w:r>
        <w:rPr>
          <w:spacing w:val="-6"/>
        </w:rPr>
        <w:t> </w:t>
      </w:r>
      <w:r>
        <w:rPr/>
        <w:t>this,</w:t>
      </w:r>
      <w:r>
        <w:rPr>
          <w:spacing w:val="-6"/>
        </w:rPr>
        <w:t> </w:t>
      </w:r>
      <w:r>
        <w:rPr/>
        <w:t>we</w:t>
      </w:r>
      <w:r>
        <w:rPr>
          <w:spacing w:val="-6"/>
        </w:rPr>
        <w:t> </w:t>
      </w:r>
      <w:r>
        <w:rPr/>
        <w:t>drew</w:t>
      </w:r>
      <w:r>
        <w:rPr>
          <w:spacing w:val="-7"/>
        </w:rPr>
        <w:t> </w:t>
      </w:r>
      <w:r>
        <w:rPr/>
        <w:t>on</w:t>
      </w:r>
      <w:r>
        <w:rPr>
          <w:spacing w:val="-6"/>
        </w:rPr>
        <w:t> </w:t>
      </w:r>
      <w:r>
        <w:rPr/>
        <w:t>a</w:t>
      </w:r>
      <w:r>
        <w:rPr>
          <w:spacing w:val="-6"/>
        </w:rPr>
        <w:t> </w:t>
      </w:r>
      <w:r>
        <w:rPr/>
        <w:t>co-design</w:t>
      </w:r>
      <w:r>
        <w:rPr>
          <w:spacing w:val="-6"/>
        </w:rPr>
        <w:t> </w:t>
      </w:r>
      <w:r>
        <w:rPr/>
        <w:t>approach,</w:t>
      </w:r>
      <w:r>
        <w:rPr>
          <w:spacing w:val="-6"/>
        </w:rPr>
        <w:t> </w:t>
      </w:r>
      <w:r>
        <w:rPr/>
        <w:t>consulting</w:t>
      </w:r>
      <w:r>
        <w:rPr>
          <w:spacing w:val="-6"/>
        </w:rPr>
        <w:t> </w:t>
      </w:r>
      <w:r>
        <w:rPr/>
        <w:t>with</w:t>
      </w:r>
      <w:r>
        <w:rPr>
          <w:spacing w:val="-6"/>
        </w:rPr>
        <w:t> </w:t>
      </w:r>
      <w:r>
        <w:rPr/>
        <w:t>patients</w:t>
      </w:r>
      <w:r>
        <w:rPr>
          <w:spacing w:val="-6"/>
        </w:rPr>
        <w:t> </w:t>
      </w:r>
      <w:r>
        <w:rPr/>
        <w:t>prescribed</w:t>
      </w:r>
      <w:r>
        <w:rPr>
          <w:spacing w:val="-7"/>
        </w:rPr>
        <w:t> </w:t>
      </w:r>
      <w:r>
        <w:rPr/>
        <w:t>opioids for chronic pain (n=14) and pharmacists who dispense opioids for chronic pain (n=9) via qualitative interviews and focus groups. Based on insights from the review and consultation, we</w:t>
      </w:r>
      <w:r>
        <w:rPr>
          <w:spacing w:val="-8"/>
        </w:rPr>
        <w:t> </w:t>
      </w:r>
      <w:r>
        <w:rPr/>
        <w:t>developed</w:t>
      </w:r>
      <w:r>
        <w:rPr>
          <w:spacing w:val="-9"/>
        </w:rPr>
        <w:t> </w:t>
      </w:r>
      <w:r>
        <w:rPr/>
        <w:t>draft</w:t>
      </w:r>
      <w:r>
        <w:rPr>
          <w:spacing w:val="-9"/>
        </w:rPr>
        <w:t> </w:t>
      </w:r>
      <w:r>
        <w:rPr/>
        <w:t>information</w:t>
      </w:r>
      <w:r>
        <w:rPr>
          <w:spacing w:val="-9"/>
        </w:rPr>
        <w:t> </w:t>
      </w:r>
      <w:r>
        <w:rPr/>
        <w:t>materials.</w:t>
      </w:r>
      <w:r>
        <w:rPr>
          <w:spacing w:val="-9"/>
        </w:rPr>
        <w:t> </w:t>
      </w:r>
      <w:r>
        <w:rPr/>
        <w:t>The</w:t>
      </w:r>
      <w:r>
        <w:rPr>
          <w:spacing w:val="-8"/>
        </w:rPr>
        <w:t> </w:t>
      </w:r>
      <w:r>
        <w:rPr/>
        <w:t>draft</w:t>
      </w:r>
      <w:r>
        <w:rPr>
          <w:spacing w:val="-8"/>
        </w:rPr>
        <w:t> </w:t>
      </w:r>
      <w:r>
        <w:rPr/>
        <w:t>materials</w:t>
      </w:r>
      <w:r>
        <w:rPr>
          <w:spacing w:val="-9"/>
        </w:rPr>
        <w:t> </w:t>
      </w:r>
      <w:r>
        <w:rPr/>
        <w:t>were</w:t>
      </w:r>
      <w:r>
        <w:rPr>
          <w:spacing w:val="-8"/>
        </w:rPr>
        <w:t> </w:t>
      </w:r>
      <w:r>
        <w:rPr/>
        <w:t>shared</w:t>
      </w:r>
      <w:r>
        <w:rPr>
          <w:spacing w:val="-9"/>
        </w:rPr>
        <w:t> </w:t>
      </w:r>
      <w:r>
        <w:rPr/>
        <w:t>with</w:t>
      </w:r>
      <w:r>
        <w:rPr>
          <w:spacing w:val="-9"/>
        </w:rPr>
        <w:t> </w:t>
      </w:r>
      <w:r>
        <w:rPr/>
        <w:t>patients</w:t>
      </w:r>
      <w:r>
        <w:rPr>
          <w:spacing w:val="-9"/>
        </w:rPr>
        <w:t> </w:t>
      </w:r>
      <w:r>
        <w:rPr/>
        <w:t>and pharmacists and further refined based on their</w:t>
      </w:r>
      <w:r>
        <w:rPr>
          <w:spacing w:val="-21"/>
        </w:rPr>
        <w:t> </w:t>
      </w:r>
      <w:r>
        <w:rPr/>
        <w:t>feedback.</w:t>
      </w:r>
    </w:p>
    <w:p>
      <w:pPr>
        <w:pStyle w:val="BodyText"/>
        <w:spacing w:before="11"/>
        <w:rPr>
          <w:sz w:val="23"/>
        </w:rPr>
      </w:pPr>
    </w:p>
    <w:p>
      <w:pPr>
        <w:pStyle w:val="Heading2"/>
      </w:pPr>
      <w:r>
        <w:rPr/>
        <w:t>Review of current pharmacist training materials</w:t>
      </w:r>
    </w:p>
    <w:p>
      <w:pPr>
        <w:pStyle w:val="BodyText"/>
        <w:spacing w:before="11"/>
        <w:rPr>
          <w:b/>
          <w:sz w:val="23"/>
        </w:rPr>
      </w:pPr>
    </w:p>
    <w:p>
      <w:pPr>
        <w:pStyle w:val="BodyText"/>
        <w:ind w:left="119" w:right="2"/>
      </w:pPr>
      <w:r>
        <w:rPr/>
        <w:t>We identified 25 pharmacist training materials. The five main content areas covered by pharmacist training materials included risk factors for opioid overdose (80%), common signs of opioid overdose (72%), naloxone formulations and administration (64%), having a conversation about overdose prevention/naloxone (72%), and appropriate language (72%). Only 6 of these were from Australia, and </w:t>
      </w:r>
      <w:r>
        <w:rPr>
          <w:i/>
        </w:rPr>
        <w:t>only one specifically focused on people prescribed </w:t>
      </w:r>
      <w:r>
        <w:rPr>
          <w:i/>
        </w:rPr>
        <w:t>opioids for chronic pain </w:t>
      </w:r>
      <w:r>
        <w:rPr/>
        <w:t>(which was both in an article format and paywalled). The review demonstrated that there is a lack of Australian training materials to help pharmacists engage in conversations about overdose prevention with people prescribed opioids for chronic pain.</w:t>
      </w:r>
    </w:p>
    <w:p>
      <w:pPr>
        <w:pStyle w:val="BodyText"/>
        <w:spacing w:before="11"/>
        <w:rPr>
          <w:sz w:val="23"/>
        </w:rPr>
      </w:pPr>
    </w:p>
    <w:p>
      <w:pPr>
        <w:pStyle w:val="Heading2"/>
      </w:pPr>
      <w:r>
        <w:rPr/>
        <w:t>Consultation with Victorian patients and pharmacists</w:t>
      </w:r>
    </w:p>
    <w:p>
      <w:pPr>
        <w:pStyle w:val="BodyText"/>
        <w:rPr>
          <w:b/>
        </w:rPr>
      </w:pPr>
    </w:p>
    <w:p>
      <w:pPr>
        <w:pStyle w:val="BodyText"/>
        <w:ind w:left="119" w:right="116"/>
        <w:jc w:val="both"/>
      </w:pPr>
      <w:r>
        <w:rPr/>
        <w:t>A total of 14 patients who are prescribed opioids for chronic pain, and 9 pharmacists participated in focus groups and interviews. Participants held diverse views about the meaning and definition of ‘overdose’, suggesting that that there is not a clear or uniform</w:t>
      </w:r>
    </w:p>
    <w:p>
      <w:pPr>
        <w:spacing w:after="0"/>
        <w:jc w:val="both"/>
        <w:sectPr>
          <w:pgSz w:w="11910" w:h="16840"/>
          <w:pgMar w:header="0" w:footer="1297" w:top="1500" w:bottom="1520" w:left="1320" w:right="1320"/>
        </w:sectPr>
      </w:pPr>
    </w:p>
    <w:p>
      <w:pPr>
        <w:spacing w:before="37"/>
        <w:ind w:left="119" w:right="117" w:firstLine="0"/>
        <w:jc w:val="both"/>
        <w:rPr>
          <w:sz w:val="24"/>
        </w:rPr>
      </w:pPr>
      <w:r>
        <w:rPr>
          <w:sz w:val="24"/>
        </w:rPr>
        <w:t>understanding</w:t>
      </w:r>
      <w:r>
        <w:rPr>
          <w:spacing w:val="-10"/>
          <w:sz w:val="24"/>
        </w:rPr>
        <w:t> </w:t>
      </w:r>
      <w:r>
        <w:rPr>
          <w:sz w:val="24"/>
        </w:rPr>
        <w:t>of</w:t>
      </w:r>
      <w:r>
        <w:rPr>
          <w:spacing w:val="-10"/>
          <w:sz w:val="24"/>
        </w:rPr>
        <w:t> </w:t>
      </w:r>
      <w:r>
        <w:rPr>
          <w:sz w:val="24"/>
        </w:rPr>
        <w:t>what</w:t>
      </w:r>
      <w:r>
        <w:rPr>
          <w:spacing w:val="-9"/>
          <w:sz w:val="24"/>
        </w:rPr>
        <w:t> </w:t>
      </w:r>
      <w:r>
        <w:rPr>
          <w:sz w:val="24"/>
        </w:rPr>
        <w:t>prescription</w:t>
      </w:r>
      <w:r>
        <w:rPr>
          <w:spacing w:val="-10"/>
          <w:sz w:val="24"/>
        </w:rPr>
        <w:t> </w:t>
      </w:r>
      <w:r>
        <w:rPr>
          <w:sz w:val="24"/>
        </w:rPr>
        <w:t>opioid</w:t>
      </w:r>
      <w:r>
        <w:rPr>
          <w:spacing w:val="-10"/>
          <w:sz w:val="24"/>
        </w:rPr>
        <w:t> </w:t>
      </w:r>
      <w:r>
        <w:rPr>
          <w:sz w:val="24"/>
        </w:rPr>
        <w:t>overdose</w:t>
      </w:r>
      <w:r>
        <w:rPr>
          <w:spacing w:val="-9"/>
          <w:sz w:val="24"/>
        </w:rPr>
        <w:t> </w:t>
      </w:r>
      <w:r>
        <w:rPr>
          <w:sz w:val="24"/>
        </w:rPr>
        <w:t>is</w:t>
      </w:r>
      <w:r>
        <w:rPr>
          <w:spacing w:val="-10"/>
          <w:sz w:val="24"/>
        </w:rPr>
        <w:t> </w:t>
      </w:r>
      <w:r>
        <w:rPr>
          <w:sz w:val="24"/>
        </w:rPr>
        <w:t>among</w:t>
      </w:r>
      <w:r>
        <w:rPr>
          <w:spacing w:val="-9"/>
          <w:sz w:val="24"/>
        </w:rPr>
        <w:t> </w:t>
      </w:r>
      <w:r>
        <w:rPr>
          <w:sz w:val="24"/>
        </w:rPr>
        <w:t>both</w:t>
      </w:r>
      <w:r>
        <w:rPr>
          <w:spacing w:val="-10"/>
          <w:sz w:val="24"/>
        </w:rPr>
        <w:t> </w:t>
      </w:r>
      <w:r>
        <w:rPr>
          <w:sz w:val="24"/>
        </w:rPr>
        <w:t>patients</w:t>
      </w:r>
      <w:r>
        <w:rPr>
          <w:spacing w:val="-10"/>
          <w:sz w:val="24"/>
        </w:rPr>
        <w:t> </w:t>
      </w:r>
      <w:r>
        <w:rPr>
          <w:sz w:val="24"/>
        </w:rPr>
        <w:t>and</w:t>
      </w:r>
      <w:r>
        <w:rPr>
          <w:spacing w:val="-10"/>
          <w:sz w:val="24"/>
        </w:rPr>
        <w:t> </w:t>
      </w:r>
      <w:r>
        <w:rPr>
          <w:sz w:val="24"/>
        </w:rPr>
        <w:t>pharmacists. Most patients were not aware that naloxone could be useful to them, and </w:t>
      </w:r>
      <w:r>
        <w:rPr>
          <w:i/>
          <w:sz w:val="24"/>
        </w:rPr>
        <w:t>most pharmacists </w:t>
      </w:r>
      <w:r>
        <w:rPr>
          <w:i/>
          <w:sz w:val="24"/>
        </w:rPr>
        <w:t>had never offered naloxone to a chronic pain patient</w:t>
      </w:r>
      <w:r>
        <w:rPr>
          <w:sz w:val="24"/>
        </w:rPr>
        <w:t>. </w:t>
      </w:r>
      <w:r>
        <w:rPr>
          <w:i/>
          <w:sz w:val="24"/>
        </w:rPr>
        <w:t>Pharmacists indicated that discussing </w:t>
      </w:r>
      <w:r>
        <w:rPr>
          <w:i/>
          <w:sz w:val="24"/>
        </w:rPr>
        <w:t>overdose with chronic pain patients was considered to be a low priority </w:t>
      </w:r>
      <w:r>
        <w:rPr>
          <w:sz w:val="24"/>
        </w:rPr>
        <w:t>(compared to addiction potential or other side effects). Although most pharmacists were aware of what naloxone</w:t>
      </w:r>
      <w:r>
        <w:rPr>
          <w:spacing w:val="-3"/>
          <w:sz w:val="24"/>
        </w:rPr>
        <w:t> </w:t>
      </w:r>
      <w:r>
        <w:rPr>
          <w:sz w:val="24"/>
        </w:rPr>
        <w:t>is</w:t>
      </w:r>
      <w:r>
        <w:rPr>
          <w:spacing w:val="-3"/>
          <w:sz w:val="24"/>
        </w:rPr>
        <w:t> </w:t>
      </w:r>
      <w:r>
        <w:rPr>
          <w:sz w:val="24"/>
        </w:rPr>
        <w:t>and</w:t>
      </w:r>
      <w:r>
        <w:rPr>
          <w:spacing w:val="-4"/>
          <w:sz w:val="24"/>
        </w:rPr>
        <w:t> </w:t>
      </w:r>
      <w:r>
        <w:rPr>
          <w:sz w:val="24"/>
        </w:rPr>
        <w:t>how</w:t>
      </w:r>
      <w:r>
        <w:rPr>
          <w:spacing w:val="-4"/>
          <w:sz w:val="24"/>
        </w:rPr>
        <w:t> </w:t>
      </w:r>
      <w:r>
        <w:rPr>
          <w:sz w:val="24"/>
        </w:rPr>
        <w:t>it</w:t>
      </w:r>
      <w:r>
        <w:rPr>
          <w:spacing w:val="-3"/>
          <w:sz w:val="24"/>
        </w:rPr>
        <w:t> </w:t>
      </w:r>
      <w:r>
        <w:rPr>
          <w:sz w:val="24"/>
        </w:rPr>
        <w:t>works,</w:t>
      </w:r>
      <w:r>
        <w:rPr>
          <w:spacing w:val="-4"/>
          <w:sz w:val="24"/>
        </w:rPr>
        <w:t> </w:t>
      </w:r>
      <w:r>
        <w:rPr>
          <w:sz w:val="24"/>
        </w:rPr>
        <w:t>the</w:t>
      </w:r>
      <w:r>
        <w:rPr>
          <w:spacing w:val="-3"/>
          <w:sz w:val="24"/>
        </w:rPr>
        <w:t> </w:t>
      </w:r>
      <w:r>
        <w:rPr>
          <w:i/>
          <w:sz w:val="24"/>
        </w:rPr>
        <w:t>major</w:t>
      </w:r>
      <w:r>
        <w:rPr>
          <w:i/>
          <w:spacing w:val="-3"/>
          <w:sz w:val="24"/>
        </w:rPr>
        <w:t> </w:t>
      </w:r>
      <w:r>
        <w:rPr>
          <w:i/>
          <w:sz w:val="24"/>
        </w:rPr>
        <w:t>barrier</w:t>
      </w:r>
      <w:r>
        <w:rPr>
          <w:i/>
          <w:spacing w:val="-3"/>
          <w:sz w:val="24"/>
        </w:rPr>
        <w:t> </w:t>
      </w:r>
      <w:r>
        <w:rPr>
          <w:i/>
          <w:sz w:val="24"/>
        </w:rPr>
        <w:t>to</w:t>
      </w:r>
      <w:r>
        <w:rPr>
          <w:i/>
          <w:spacing w:val="-4"/>
          <w:sz w:val="24"/>
        </w:rPr>
        <w:t> </w:t>
      </w:r>
      <w:r>
        <w:rPr>
          <w:i/>
          <w:sz w:val="24"/>
        </w:rPr>
        <w:t>discussing</w:t>
      </w:r>
      <w:r>
        <w:rPr>
          <w:i/>
          <w:spacing w:val="-4"/>
          <w:sz w:val="24"/>
        </w:rPr>
        <w:t> </w:t>
      </w:r>
      <w:r>
        <w:rPr>
          <w:i/>
          <w:sz w:val="24"/>
        </w:rPr>
        <w:t>overdose</w:t>
      </w:r>
      <w:r>
        <w:rPr>
          <w:i/>
          <w:spacing w:val="-5"/>
          <w:sz w:val="24"/>
        </w:rPr>
        <w:t> </w:t>
      </w:r>
      <w:r>
        <w:rPr>
          <w:i/>
          <w:sz w:val="24"/>
        </w:rPr>
        <w:t>and</w:t>
      </w:r>
      <w:r>
        <w:rPr>
          <w:i/>
          <w:spacing w:val="-4"/>
          <w:sz w:val="24"/>
        </w:rPr>
        <w:t> </w:t>
      </w:r>
      <w:r>
        <w:rPr>
          <w:i/>
          <w:sz w:val="24"/>
        </w:rPr>
        <w:t>naloxone</w:t>
      </w:r>
      <w:r>
        <w:rPr>
          <w:i/>
          <w:spacing w:val="-3"/>
          <w:sz w:val="24"/>
        </w:rPr>
        <w:t> </w:t>
      </w:r>
      <w:r>
        <w:rPr>
          <w:i/>
          <w:sz w:val="24"/>
        </w:rPr>
        <w:t>was</w:t>
      </w:r>
      <w:r>
        <w:rPr>
          <w:i/>
          <w:spacing w:val="-4"/>
          <w:sz w:val="24"/>
        </w:rPr>
        <w:t> </w:t>
      </w:r>
      <w:r>
        <w:rPr>
          <w:i/>
          <w:sz w:val="24"/>
        </w:rPr>
        <w:t>not </w:t>
      </w:r>
      <w:r>
        <w:rPr>
          <w:i/>
          <w:sz w:val="24"/>
        </w:rPr>
        <w:t>having the tools and training to do so</w:t>
      </w:r>
      <w:r>
        <w:rPr>
          <w:sz w:val="24"/>
        </w:rPr>
        <w:t>. However, patients expressed a desire to know about risks, how to avoid them, and how to respond to</w:t>
      </w:r>
      <w:r>
        <w:rPr>
          <w:spacing w:val="-19"/>
          <w:sz w:val="24"/>
        </w:rPr>
        <w:t> </w:t>
      </w:r>
      <w:r>
        <w:rPr>
          <w:sz w:val="24"/>
        </w:rPr>
        <w:t>them.</w:t>
      </w:r>
    </w:p>
    <w:p>
      <w:pPr>
        <w:pStyle w:val="BodyText"/>
        <w:spacing w:before="11"/>
        <w:rPr>
          <w:sz w:val="23"/>
        </w:rPr>
      </w:pPr>
    </w:p>
    <w:p>
      <w:pPr>
        <w:pStyle w:val="Heading2"/>
      </w:pPr>
      <w:r>
        <w:rPr/>
        <w:t>Developing the materials and obtaining further feedback</w:t>
      </w:r>
    </w:p>
    <w:p>
      <w:pPr>
        <w:pStyle w:val="BodyText"/>
        <w:spacing w:before="11"/>
        <w:rPr>
          <w:b/>
          <w:sz w:val="23"/>
        </w:rPr>
      </w:pPr>
    </w:p>
    <w:p>
      <w:pPr>
        <w:pStyle w:val="BodyText"/>
        <w:ind w:left="119" w:right="118"/>
        <w:jc w:val="both"/>
      </w:pPr>
      <w:r>
        <w:rPr/>
        <w:t>Based on the input received from patients and pharmacists, we developed a one-page educational poster for pharmacists and a complimentary two-page leaflet for patients. We also</w:t>
      </w:r>
      <w:r>
        <w:rPr>
          <w:spacing w:val="-8"/>
        </w:rPr>
        <w:t> </w:t>
      </w:r>
      <w:r>
        <w:rPr/>
        <w:t>developed</w:t>
      </w:r>
      <w:r>
        <w:rPr>
          <w:spacing w:val="-8"/>
        </w:rPr>
        <w:t> </w:t>
      </w:r>
      <w:r>
        <w:rPr/>
        <w:t>a</w:t>
      </w:r>
      <w:r>
        <w:rPr>
          <w:spacing w:val="-7"/>
        </w:rPr>
        <w:t> </w:t>
      </w:r>
      <w:r>
        <w:rPr/>
        <w:t>five-minute</w:t>
      </w:r>
      <w:r>
        <w:rPr>
          <w:spacing w:val="-7"/>
        </w:rPr>
        <w:t> </w:t>
      </w:r>
      <w:r>
        <w:rPr/>
        <w:t>training</w:t>
      </w:r>
      <w:r>
        <w:rPr>
          <w:spacing w:val="-8"/>
        </w:rPr>
        <w:t> </w:t>
      </w:r>
      <w:r>
        <w:rPr/>
        <w:t>animation</w:t>
      </w:r>
      <w:r>
        <w:rPr>
          <w:spacing w:val="-6"/>
        </w:rPr>
        <w:t> </w:t>
      </w:r>
      <w:r>
        <w:rPr/>
        <w:t>for</w:t>
      </w:r>
      <w:r>
        <w:rPr>
          <w:spacing w:val="-7"/>
        </w:rPr>
        <w:t> </w:t>
      </w:r>
      <w:r>
        <w:rPr/>
        <w:t>pharmacists,</w:t>
      </w:r>
      <w:r>
        <w:rPr>
          <w:spacing w:val="-7"/>
        </w:rPr>
        <w:t> </w:t>
      </w:r>
      <w:r>
        <w:rPr/>
        <w:t>to</w:t>
      </w:r>
      <w:r>
        <w:rPr>
          <w:spacing w:val="-7"/>
        </w:rPr>
        <w:t> </w:t>
      </w:r>
      <w:r>
        <w:rPr/>
        <w:t>accompany</w:t>
      </w:r>
      <w:r>
        <w:rPr>
          <w:spacing w:val="-7"/>
        </w:rPr>
        <w:t> </w:t>
      </w:r>
      <w:r>
        <w:rPr/>
        <w:t>the</w:t>
      </w:r>
      <w:r>
        <w:rPr>
          <w:spacing w:val="-7"/>
        </w:rPr>
        <w:t> </w:t>
      </w:r>
      <w:r>
        <w:rPr/>
        <w:t>launch</w:t>
      </w:r>
      <w:r>
        <w:rPr>
          <w:spacing w:val="-8"/>
        </w:rPr>
        <w:t> </w:t>
      </w:r>
      <w:r>
        <w:rPr/>
        <w:t>of the materials. Content areas include: why opioid safety is important, how to talk about naloxone, which patients are most at risk, and key counselling points (‘prepare, prevent, respond’).</w:t>
      </w:r>
    </w:p>
    <w:p>
      <w:pPr>
        <w:pStyle w:val="BodyText"/>
        <w:spacing w:before="11"/>
        <w:rPr>
          <w:sz w:val="23"/>
        </w:rPr>
      </w:pPr>
    </w:p>
    <w:p>
      <w:pPr>
        <w:pStyle w:val="BodyText"/>
        <w:ind w:left="119" w:right="116"/>
        <w:jc w:val="both"/>
      </w:pPr>
      <w:r>
        <w:rPr/>
        <w:t>Rather than including prescriptive information, the pharmacist poster contains conversation prompts to stimulate discussion as a routine part of prescription opioid dispensing. ‘Key counselling points’ and tips for sensitively approaching overdose and naloxone are provided and are designed to optimise flexibility and a tailored discussion depending on the patient, and the relationship between the patient and pharmacist. The key counselling points on this page</w:t>
      </w:r>
      <w:r>
        <w:rPr>
          <w:spacing w:val="-5"/>
        </w:rPr>
        <w:t> </w:t>
      </w:r>
      <w:r>
        <w:rPr/>
        <w:t>follow</w:t>
      </w:r>
      <w:r>
        <w:rPr>
          <w:spacing w:val="-4"/>
        </w:rPr>
        <w:t> </w:t>
      </w:r>
      <w:r>
        <w:rPr/>
        <w:t>a</w:t>
      </w:r>
      <w:r>
        <w:rPr>
          <w:spacing w:val="-5"/>
        </w:rPr>
        <w:t> </w:t>
      </w:r>
      <w:r>
        <w:rPr/>
        <w:t>‘prepare,</w:t>
      </w:r>
      <w:r>
        <w:rPr>
          <w:spacing w:val="-5"/>
        </w:rPr>
        <w:t> </w:t>
      </w:r>
      <w:r>
        <w:rPr/>
        <w:t>prevent,</w:t>
      </w:r>
      <w:r>
        <w:rPr>
          <w:spacing w:val="-5"/>
        </w:rPr>
        <w:t> </w:t>
      </w:r>
      <w:r>
        <w:rPr/>
        <w:t>respond’</w:t>
      </w:r>
      <w:r>
        <w:rPr>
          <w:spacing w:val="-5"/>
        </w:rPr>
        <w:t> </w:t>
      </w:r>
      <w:r>
        <w:rPr/>
        <w:t>format,</w:t>
      </w:r>
      <w:r>
        <w:rPr>
          <w:spacing w:val="-5"/>
        </w:rPr>
        <w:t> </w:t>
      </w:r>
      <w:r>
        <w:rPr/>
        <w:t>which</w:t>
      </w:r>
      <w:r>
        <w:rPr>
          <w:spacing w:val="-5"/>
        </w:rPr>
        <w:t> </w:t>
      </w:r>
      <w:r>
        <w:rPr/>
        <w:t>is</w:t>
      </w:r>
      <w:r>
        <w:rPr>
          <w:spacing w:val="-5"/>
        </w:rPr>
        <w:t> </w:t>
      </w:r>
      <w:r>
        <w:rPr/>
        <w:t>mirrored</w:t>
      </w:r>
      <w:r>
        <w:rPr>
          <w:spacing w:val="-5"/>
        </w:rPr>
        <w:t> </w:t>
      </w:r>
      <w:r>
        <w:rPr/>
        <w:t>in</w:t>
      </w:r>
      <w:r>
        <w:rPr>
          <w:spacing w:val="-5"/>
        </w:rPr>
        <w:t> </w:t>
      </w:r>
      <w:r>
        <w:rPr/>
        <w:t>the</w:t>
      </w:r>
      <w:r>
        <w:rPr>
          <w:spacing w:val="-5"/>
        </w:rPr>
        <w:t> </w:t>
      </w:r>
      <w:r>
        <w:rPr/>
        <w:t>patient</w:t>
      </w:r>
      <w:r>
        <w:rPr>
          <w:spacing w:val="-5"/>
        </w:rPr>
        <w:t> </w:t>
      </w:r>
      <w:r>
        <w:rPr/>
        <w:t>leaflet</w:t>
      </w:r>
      <w:r>
        <w:rPr>
          <w:spacing w:val="-5"/>
        </w:rPr>
        <w:t> </w:t>
      </w:r>
      <w:r>
        <w:rPr/>
        <w:t>and pharmacist training</w:t>
      </w:r>
      <w:r>
        <w:rPr>
          <w:spacing w:val="-13"/>
        </w:rPr>
        <w:t> </w:t>
      </w:r>
      <w:r>
        <w:rPr/>
        <w:t>animation.</w:t>
      </w:r>
    </w:p>
    <w:p>
      <w:pPr>
        <w:pStyle w:val="BodyText"/>
      </w:pPr>
    </w:p>
    <w:p>
      <w:pPr>
        <w:pStyle w:val="BodyText"/>
        <w:ind w:left="119" w:right="118"/>
        <w:jc w:val="both"/>
      </w:pPr>
      <w:r>
        <w:rPr/>
        <w:t>The</w:t>
      </w:r>
      <w:r>
        <w:rPr>
          <w:spacing w:val="-11"/>
        </w:rPr>
        <w:t> </w:t>
      </w:r>
      <w:r>
        <w:rPr/>
        <w:t>patient</w:t>
      </w:r>
      <w:r>
        <w:rPr>
          <w:spacing w:val="-11"/>
        </w:rPr>
        <w:t> </w:t>
      </w:r>
      <w:r>
        <w:rPr/>
        <w:t>leaflet</w:t>
      </w:r>
      <w:r>
        <w:rPr>
          <w:spacing w:val="-11"/>
        </w:rPr>
        <w:t> </w:t>
      </w:r>
      <w:r>
        <w:rPr/>
        <w:t>is</w:t>
      </w:r>
      <w:r>
        <w:rPr>
          <w:spacing w:val="-11"/>
        </w:rPr>
        <w:t> </w:t>
      </w:r>
      <w:r>
        <w:rPr/>
        <w:t>titled</w:t>
      </w:r>
      <w:r>
        <w:rPr>
          <w:spacing w:val="-11"/>
        </w:rPr>
        <w:t> </w:t>
      </w:r>
      <w:r>
        <w:rPr/>
        <w:t>‘maximising</w:t>
      </w:r>
      <w:r>
        <w:rPr>
          <w:spacing w:val="-11"/>
        </w:rPr>
        <w:t> </w:t>
      </w:r>
      <w:r>
        <w:rPr/>
        <w:t>opioid</w:t>
      </w:r>
      <w:r>
        <w:rPr>
          <w:spacing w:val="-10"/>
        </w:rPr>
        <w:t> </w:t>
      </w:r>
      <w:r>
        <w:rPr/>
        <w:t>safety’,</w:t>
      </w:r>
      <w:r>
        <w:rPr>
          <w:spacing w:val="-11"/>
        </w:rPr>
        <w:t> </w:t>
      </w:r>
      <w:r>
        <w:rPr/>
        <w:t>to</w:t>
      </w:r>
      <w:r>
        <w:rPr>
          <w:spacing w:val="-12"/>
        </w:rPr>
        <w:t> </w:t>
      </w:r>
      <w:r>
        <w:rPr/>
        <w:t>emphasise</w:t>
      </w:r>
      <w:r>
        <w:rPr>
          <w:spacing w:val="-11"/>
        </w:rPr>
        <w:t> </w:t>
      </w:r>
      <w:r>
        <w:rPr/>
        <w:t>naloxone</w:t>
      </w:r>
      <w:r>
        <w:rPr>
          <w:spacing w:val="-11"/>
        </w:rPr>
        <w:t> </w:t>
      </w:r>
      <w:r>
        <w:rPr/>
        <w:t>as</w:t>
      </w:r>
      <w:r>
        <w:rPr>
          <w:spacing w:val="-11"/>
        </w:rPr>
        <w:t> </w:t>
      </w:r>
      <w:r>
        <w:rPr/>
        <w:t>a</w:t>
      </w:r>
      <w:r>
        <w:rPr>
          <w:spacing w:val="-11"/>
        </w:rPr>
        <w:t> </w:t>
      </w:r>
      <w:r>
        <w:rPr/>
        <w:t>strategy</w:t>
      </w:r>
      <w:r>
        <w:rPr>
          <w:spacing w:val="-11"/>
        </w:rPr>
        <w:t> </w:t>
      </w:r>
      <w:r>
        <w:rPr/>
        <w:t>for safety, rather than opioids as inherently risky. The second page of the leaflet includes an ‘opioid safety plan’. This is designed to be a quick-reference resource with essential information presented in a clear an appealing way, which patients can keep with their medicines or in a prominent</w:t>
      </w:r>
      <w:r>
        <w:rPr>
          <w:spacing w:val="-12"/>
        </w:rPr>
        <w:t> </w:t>
      </w:r>
      <w:r>
        <w:rPr/>
        <w:t>place.</w:t>
      </w:r>
    </w:p>
    <w:p>
      <w:pPr>
        <w:pStyle w:val="BodyText"/>
        <w:spacing w:before="11"/>
        <w:rPr>
          <w:sz w:val="23"/>
        </w:rPr>
      </w:pPr>
    </w:p>
    <w:p>
      <w:pPr>
        <w:pStyle w:val="BodyText"/>
        <w:ind w:left="119" w:right="118"/>
        <w:jc w:val="both"/>
      </w:pPr>
      <w:r>
        <w:rPr/>
        <w:t>The draft materials were circulated to patients, pharmacists, and the Pharmaceutical Society of Australia Harm Reduction Committee for further feedback prior to finalisation. Feedback received was positive and reiterated that the materials covered desired content areas, was relevant, and was designed in a way that appealed to both patients and pharmacists.</w:t>
      </w:r>
    </w:p>
    <w:p>
      <w:pPr>
        <w:pStyle w:val="BodyText"/>
        <w:spacing w:before="11"/>
        <w:rPr>
          <w:sz w:val="23"/>
        </w:rPr>
      </w:pPr>
    </w:p>
    <w:p>
      <w:pPr>
        <w:pStyle w:val="Heading2"/>
      </w:pPr>
      <w:r>
        <w:rPr/>
        <w:t>Conclusions and next steps</w:t>
      </w:r>
    </w:p>
    <w:p>
      <w:pPr>
        <w:pStyle w:val="BodyText"/>
        <w:spacing w:before="11"/>
        <w:rPr>
          <w:b/>
          <w:sz w:val="23"/>
        </w:rPr>
      </w:pPr>
    </w:p>
    <w:p>
      <w:pPr>
        <w:pStyle w:val="BodyText"/>
        <w:ind w:left="119" w:right="117"/>
        <w:jc w:val="both"/>
      </w:pPr>
      <w:r>
        <w:rPr/>
        <w:t>This project has developed a new set of materials to educate patients and pharmacists on overdose and naloxone for people prescribed opioids for chronic pain, based on a review of existing materials, and with feedback from patients and pharmacists. The materials include most of the features and content areas requested by patients and pharmacists, and reflects the need for comprehensive but concise and engaging materials, which are appropriate for the particular contexts and sensitivities of this patient group.</w:t>
      </w:r>
    </w:p>
    <w:p>
      <w:pPr>
        <w:spacing w:after="0"/>
        <w:jc w:val="both"/>
        <w:sectPr>
          <w:pgSz w:w="11910" w:h="16840"/>
          <w:pgMar w:header="0" w:footer="1297" w:top="1480" w:bottom="1520" w:left="1320" w:right="1320"/>
        </w:sectPr>
      </w:pPr>
    </w:p>
    <w:p>
      <w:pPr>
        <w:pStyle w:val="BodyText"/>
        <w:spacing w:before="37"/>
        <w:ind w:left="119" w:right="116"/>
        <w:jc w:val="both"/>
      </w:pPr>
      <w:r>
        <w:rPr/>
        <w:t>There could be an opportunity in the future to develop a brief training package to facilitate use of these materials, and to evaluate the impact of these materials on naloxone uptake in patients prescribed opioids for chronic pain. Similarly, inviting further feedback on the materials</w:t>
      </w:r>
      <w:r>
        <w:rPr>
          <w:spacing w:val="-8"/>
        </w:rPr>
        <w:t> </w:t>
      </w:r>
      <w:r>
        <w:rPr/>
        <w:t>once</w:t>
      </w:r>
      <w:r>
        <w:rPr>
          <w:spacing w:val="-7"/>
        </w:rPr>
        <w:t> </w:t>
      </w:r>
      <w:r>
        <w:rPr/>
        <w:t>pharmacists</w:t>
      </w:r>
      <w:r>
        <w:rPr>
          <w:spacing w:val="-8"/>
        </w:rPr>
        <w:t> </w:t>
      </w:r>
      <w:r>
        <w:rPr/>
        <w:t>have</w:t>
      </w:r>
      <w:r>
        <w:rPr>
          <w:spacing w:val="-7"/>
        </w:rPr>
        <w:t> </w:t>
      </w:r>
      <w:r>
        <w:rPr/>
        <w:t>had</w:t>
      </w:r>
      <w:r>
        <w:rPr>
          <w:spacing w:val="-8"/>
        </w:rPr>
        <w:t> </w:t>
      </w:r>
      <w:r>
        <w:rPr/>
        <w:t>an</w:t>
      </w:r>
      <w:r>
        <w:rPr>
          <w:spacing w:val="-8"/>
        </w:rPr>
        <w:t> </w:t>
      </w:r>
      <w:r>
        <w:rPr/>
        <w:t>opportunity</w:t>
      </w:r>
      <w:r>
        <w:rPr>
          <w:spacing w:val="-7"/>
        </w:rPr>
        <w:t> </w:t>
      </w:r>
      <w:r>
        <w:rPr/>
        <w:t>to</w:t>
      </w:r>
      <w:r>
        <w:rPr>
          <w:spacing w:val="-8"/>
        </w:rPr>
        <w:t> </w:t>
      </w:r>
      <w:r>
        <w:rPr/>
        <w:t>use</w:t>
      </w:r>
      <w:r>
        <w:rPr>
          <w:spacing w:val="-7"/>
        </w:rPr>
        <w:t> </w:t>
      </w:r>
      <w:r>
        <w:rPr/>
        <w:t>it</w:t>
      </w:r>
      <w:r>
        <w:rPr>
          <w:spacing w:val="-8"/>
        </w:rPr>
        <w:t> </w:t>
      </w:r>
      <w:r>
        <w:rPr/>
        <w:t>in</w:t>
      </w:r>
      <w:r>
        <w:rPr>
          <w:spacing w:val="-8"/>
        </w:rPr>
        <w:t> </w:t>
      </w:r>
      <w:r>
        <w:rPr/>
        <w:t>practice</w:t>
      </w:r>
      <w:r>
        <w:rPr>
          <w:spacing w:val="-8"/>
        </w:rPr>
        <w:t> </w:t>
      </w:r>
      <w:r>
        <w:rPr/>
        <w:t>would</w:t>
      </w:r>
      <w:r>
        <w:rPr>
          <w:spacing w:val="-8"/>
        </w:rPr>
        <w:t> </w:t>
      </w:r>
      <w:r>
        <w:rPr/>
        <w:t>also</w:t>
      </w:r>
      <w:r>
        <w:rPr>
          <w:spacing w:val="-8"/>
        </w:rPr>
        <w:t> </w:t>
      </w:r>
      <w:r>
        <w:rPr/>
        <w:t>be</w:t>
      </w:r>
      <w:r>
        <w:rPr>
          <w:spacing w:val="-7"/>
        </w:rPr>
        <w:t> </w:t>
      </w:r>
      <w:r>
        <w:rPr/>
        <w:t>useful and could inform future refinements to the</w:t>
      </w:r>
      <w:r>
        <w:rPr>
          <w:spacing w:val="-21"/>
        </w:rPr>
        <w:t> </w:t>
      </w:r>
      <w:r>
        <w:rPr/>
        <w:t>materials.</w:t>
      </w:r>
    </w:p>
    <w:p>
      <w:pPr>
        <w:spacing w:after="0"/>
        <w:jc w:val="both"/>
        <w:sectPr>
          <w:pgSz w:w="11910" w:h="16840"/>
          <w:pgMar w:header="0" w:footer="1297" w:top="1480" w:bottom="1520" w:left="1320" w:right="1320"/>
        </w:sectPr>
      </w:pPr>
    </w:p>
    <w:p>
      <w:pPr>
        <w:pStyle w:val="BodyText"/>
        <w:rPr>
          <w:sz w:val="20"/>
        </w:rPr>
      </w:pPr>
    </w:p>
    <w:p>
      <w:pPr>
        <w:pStyle w:val="Heading1"/>
        <w:numPr>
          <w:ilvl w:val="0"/>
          <w:numId w:val="3"/>
        </w:numPr>
        <w:tabs>
          <w:tab w:pos="380" w:val="left" w:leader="none"/>
        </w:tabs>
        <w:spacing w:line="240" w:lineRule="auto" w:before="173" w:after="0"/>
        <w:ind w:left="379" w:right="0" w:hanging="279"/>
        <w:jc w:val="both"/>
      </w:pPr>
      <w:bookmarkStart w:name="1. Aims and method" w:id="3"/>
      <w:bookmarkEnd w:id="3"/>
      <w:r>
        <w:rPr>
          <w:b w:val="0"/>
        </w:rPr>
      </w:r>
      <w:bookmarkStart w:name="_bookmark1" w:id="4"/>
      <w:bookmarkEnd w:id="4"/>
      <w:r>
        <w:rPr>
          <w:b w:val="0"/>
        </w:rPr>
      </w:r>
      <w:bookmarkStart w:name="_bookmark1" w:id="5"/>
      <w:bookmarkEnd w:id="5"/>
      <w:r>
        <w:rPr>
          <w:color w:val="6C1D6C"/>
        </w:rPr>
        <w:t>A</w:t>
      </w:r>
      <w:r>
        <w:rPr>
          <w:color w:val="6C1D6C"/>
        </w:rPr>
        <w:t>ims and</w:t>
      </w:r>
      <w:r>
        <w:rPr>
          <w:color w:val="6C1D6C"/>
          <w:spacing w:val="-7"/>
        </w:rPr>
        <w:t> </w:t>
      </w:r>
      <w:r>
        <w:rPr>
          <w:color w:val="6C1D6C"/>
        </w:rPr>
        <w:t>method</w:t>
      </w:r>
    </w:p>
    <w:p>
      <w:pPr>
        <w:pStyle w:val="BodyText"/>
        <w:spacing w:before="12"/>
        <w:rPr>
          <w:b/>
          <w:sz w:val="21"/>
        </w:rPr>
      </w:pPr>
    </w:p>
    <w:p>
      <w:pPr>
        <w:pStyle w:val="Heading2"/>
        <w:ind w:left="100"/>
      </w:pPr>
      <w:r>
        <w:rPr/>
        <w:t>Background</w:t>
      </w:r>
    </w:p>
    <w:p>
      <w:pPr>
        <w:pStyle w:val="BodyText"/>
        <w:spacing w:before="11"/>
        <w:rPr>
          <w:b/>
          <w:sz w:val="23"/>
        </w:rPr>
      </w:pPr>
    </w:p>
    <w:p>
      <w:pPr>
        <w:pStyle w:val="BodyText"/>
        <w:ind w:left="100" w:right="116"/>
        <w:jc w:val="both"/>
      </w:pPr>
      <w:r>
        <w:rPr/>
        <w:t>Accidental pharmaceutical opioid overdose deaths have risen by an average of 7% per year from 2001 to 2012 [1], including pharmaceutical opioids prescribed for pain, and pharmaceutical opioids used nonmedically. Pharmaceutical opioids are now responsible for more opioid deaths and poisoning hospitalisations than heroin [1]. Opioid overdose can be prevented</w:t>
      </w:r>
      <w:r>
        <w:rPr>
          <w:spacing w:val="-9"/>
        </w:rPr>
        <w:t> </w:t>
      </w:r>
      <w:r>
        <w:rPr/>
        <w:t>through</w:t>
      </w:r>
      <w:r>
        <w:rPr>
          <w:spacing w:val="-9"/>
        </w:rPr>
        <w:t> </w:t>
      </w:r>
      <w:r>
        <w:rPr/>
        <w:t>the</w:t>
      </w:r>
      <w:r>
        <w:rPr>
          <w:spacing w:val="-8"/>
        </w:rPr>
        <w:t> </w:t>
      </w:r>
      <w:r>
        <w:rPr/>
        <w:t>administration</w:t>
      </w:r>
      <w:r>
        <w:rPr>
          <w:spacing w:val="-9"/>
        </w:rPr>
        <w:t> </w:t>
      </w:r>
      <w:r>
        <w:rPr/>
        <w:t>of</w:t>
      </w:r>
      <w:r>
        <w:rPr>
          <w:spacing w:val="-9"/>
        </w:rPr>
        <w:t> </w:t>
      </w:r>
      <w:r>
        <w:rPr/>
        <w:t>naloxone,</w:t>
      </w:r>
      <w:r>
        <w:rPr>
          <w:spacing w:val="-8"/>
        </w:rPr>
        <w:t> </w:t>
      </w:r>
      <w:r>
        <w:rPr/>
        <w:t>an</w:t>
      </w:r>
      <w:r>
        <w:rPr>
          <w:spacing w:val="-9"/>
        </w:rPr>
        <w:t> </w:t>
      </w:r>
      <w:r>
        <w:rPr/>
        <w:t>opioid</w:t>
      </w:r>
      <w:r>
        <w:rPr>
          <w:spacing w:val="-9"/>
        </w:rPr>
        <w:t> </w:t>
      </w:r>
      <w:r>
        <w:rPr/>
        <w:t>overdose</w:t>
      </w:r>
      <w:r>
        <w:rPr>
          <w:spacing w:val="-8"/>
        </w:rPr>
        <w:t> </w:t>
      </w:r>
      <w:r>
        <w:rPr/>
        <w:t>reversal</w:t>
      </w:r>
      <w:r>
        <w:rPr>
          <w:spacing w:val="-8"/>
        </w:rPr>
        <w:t> </w:t>
      </w:r>
      <w:r>
        <w:rPr/>
        <w:t>drug</w:t>
      </w:r>
      <w:r>
        <w:rPr>
          <w:spacing w:val="-10"/>
        </w:rPr>
        <w:t> </w:t>
      </w:r>
      <w:r>
        <w:rPr/>
        <w:t>that</w:t>
      </w:r>
      <w:r>
        <w:rPr>
          <w:spacing w:val="-9"/>
        </w:rPr>
        <w:t> </w:t>
      </w:r>
      <w:r>
        <w:rPr/>
        <w:t>can be delivered by injection into a muscle or through an intranasal spray. Naloxone in available in Victoria, Australia via prescription from a doctor or through a pharmacist without a prescription. The provision of naloxone may be particularly useful when paired with patient information and education about safe opioid use, overdose and the risks of long-term opioid use.</w:t>
      </w:r>
    </w:p>
    <w:p>
      <w:pPr>
        <w:pStyle w:val="BodyText"/>
        <w:spacing w:before="11"/>
        <w:rPr>
          <w:sz w:val="23"/>
        </w:rPr>
      </w:pPr>
    </w:p>
    <w:p>
      <w:pPr>
        <w:pStyle w:val="BodyText"/>
        <w:ind w:left="100" w:right="116"/>
        <w:jc w:val="both"/>
      </w:pPr>
      <w:r>
        <w:rPr/>
        <w:t>People who are prescribed opioids for chronic pain have been shown to have relatively low knowledge or different understandings of overdose prevention [2] and may have unique overdose prevention information needs and preferences for how overdose is framed and talked about. Current overdose prevention educational materials have been designed as harm</w:t>
      </w:r>
      <w:r>
        <w:rPr>
          <w:spacing w:val="-6"/>
        </w:rPr>
        <w:t> </w:t>
      </w:r>
      <w:r>
        <w:rPr/>
        <w:t>reduction</w:t>
      </w:r>
      <w:r>
        <w:rPr>
          <w:spacing w:val="-6"/>
        </w:rPr>
        <w:t> </w:t>
      </w:r>
      <w:r>
        <w:rPr/>
        <w:t>approaches</w:t>
      </w:r>
      <w:r>
        <w:rPr>
          <w:spacing w:val="-6"/>
        </w:rPr>
        <w:t> </w:t>
      </w:r>
      <w:r>
        <w:rPr/>
        <w:t>for</w:t>
      </w:r>
      <w:r>
        <w:rPr>
          <w:spacing w:val="-6"/>
        </w:rPr>
        <w:t> </w:t>
      </w:r>
      <w:r>
        <w:rPr/>
        <w:t>people</w:t>
      </w:r>
      <w:r>
        <w:rPr>
          <w:spacing w:val="-6"/>
        </w:rPr>
        <w:t> </w:t>
      </w:r>
      <w:r>
        <w:rPr/>
        <w:t>who</w:t>
      </w:r>
      <w:r>
        <w:rPr>
          <w:spacing w:val="-7"/>
        </w:rPr>
        <w:t> </w:t>
      </w:r>
      <w:r>
        <w:rPr/>
        <w:t>use</w:t>
      </w:r>
      <w:r>
        <w:rPr>
          <w:spacing w:val="-6"/>
        </w:rPr>
        <w:t> </w:t>
      </w:r>
      <w:r>
        <w:rPr/>
        <w:t>heroin</w:t>
      </w:r>
      <w:r>
        <w:rPr>
          <w:spacing w:val="-6"/>
        </w:rPr>
        <w:t> </w:t>
      </w:r>
      <w:r>
        <w:rPr/>
        <w:t>or</w:t>
      </w:r>
      <w:r>
        <w:rPr>
          <w:spacing w:val="-6"/>
        </w:rPr>
        <w:t> </w:t>
      </w:r>
      <w:r>
        <w:rPr/>
        <w:t>other</w:t>
      </w:r>
      <w:r>
        <w:rPr>
          <w:spacing w:val="-6"/>
        </w:rPr>
        <w:t> </w:t>
      </w:r>
      <w:r>
        <w:rPr/>
        <w:t>illicit</w:t>
      </w:r>
      <w:r>
        <w:rPr>
          <w:spacing w:val="-6"/>
        </w:rPr>
        <w:t> </w:t>
      </w:r>
      <w:r>
        <w:rPr/>
        <w:t>opioids</w:t>
      </w:r>
      <w:r>
        <w:rPr>
          <w:spacing w:val="-6"/>
        </w:rPr>
        <w:t> </w:t>
      </w:r>
      <w:r>
        <w:rPr/>
        <w:t>and</w:t>
      </w:r>
      <w:r>
        <w:rPr>
          <w:spacing w:val="-6"/>
        </w:rPr>
        <w:t> </w:t>
      </w:r>
      <w:r>
        <w:rPr/>
        <w:t>are</w:t>
      </w:r>
      <w:r>
        <w:rPr>
          <w:spacing w:val="-7"/>
        </w:rPr>
        <w:t> </w:t>
      </w:r>
      <w:r>
        <w:rPr/>
        <w:t>unlikely to be appropriate for people who are prescribed opioids for chronic pain due to different contexts of use, different language, and different understanding and knowledge about overdose</w:t>
      </w:r>
      <w:r>
        <w:rPr>
          <w:spacing w:val="-7"/>
        </w:rPr>
        <w:t> </w:t>
      </w:r>
      <w:r>
        <w:rPr/>
        <w:t>risk.</w:t>
      </w:r>
      <w:r>
        <w:rPr>
          <w:spacing w:val="-8"/>
        </w:rPr>
        <w:t> </w:t>
      </w:r>
      <w:r>
        <w:rPr/>
        <w:t>Despite</w:t>
      </w:r>
      <w:r>
        <w:rPr>
          <w:spacing w:val="-7"/>
        </w:rPr>
        <w:t> </w:t>
      </w:r>
      <w:r>
        <w:rPr/>
        <w:t>being</w:t>
      </w:r>
      <w:r>
        <w:rPr>
          <w:spacing w:val="-8"/>
        </w:rPr>
        <w:t> </w:t>
      </w:r>
      <w:r>
        <w:rPr/>
        <w:t>an</w:t>
      </w:r>
      <w:r>
        <w:rPr>
          <w:spacing w:val="-8"/>
        </w:rPr>
        <w:t> </w:t>
      </w:r>
      <w:r>
        <w:rPr/>
        <w:t>important</w:t>
      </w:r>
      <w:r>
        <w:rPr>
          <w:spacing w:val="-7"/>
        </w:rPr>
        <w:t> </w:t>
      </w:r>
      <w:r>
        <w:rPr/>
        <w:t>point</w:t>
      </w:r>
      <w:r>
        <w:rPr>
          <w:spacing w:val="-5"/>
        </w:rPr>
        <w:t> </w:t>
      </w:r>
      <w:r>
        <w:rPr/>
        <w:t>of</w:t>
      </w:r>
      <w:r>
        <w:rPr>
          <w:spacing w:val="-8"/>
        </w:rPr>
        <w:t> </w:t>
      </w:r>
      <w:r>
        <w:rPr/>
        <w:t>contact,</w:t>
      </w:r>
      <w:r>
        <w:rPr>
          <w:spacing w:val="-7"/>
        </w:rPr>
        <w:t> </w:t>
      </w:r>
      <w:r>
        <w:rPr/>
        <w:t>there</w:t>
      </w:r>
      <w:r>
        <w:rPr>
          <w:spacing w:val="-7"/>
        </w:rPr>
        <w:t> </w:t>
      </w:r>
      <w:r>
        <w:rPr/>
        <w:t>are</w:t>
      </w:r>
      <w:r>
        <w:rPr>
          <w:spacing w:val="-7"/>
        </w:rPr>
        <w:t> </w:t>
      </w:r>
      <w:r>
        <w:rPr/>
        <w:t>few</w:t>
      </w:r>
      <w:r>
        <w:rPr>
          <w:spacing w:val="-8"/>
        </w:rPr>
        <w:t> </w:t>
      </w:r>
      <w:r>
        <w:rPr/>
        <w:t>resources</w:t>
      </w:r>
      <w:r>
        <w:rPr>
          <w:spacing w:val="-8"/>
        </w:rPr>
        <w:t> </w:t>
      </w:r>
      <w:r>
        <w:rPr/>
        <w:t>and</w:t>
      </w:r>
      <w:r>
        <w:rPr>
          <w:spacing w:val="-8"/>
        </w:rPr>
        <w:t> </w:t>
      </w:r>
      <w:r>
        <w:rPr/>
        <w:t>tools to</w:t>
      </w:r>
      <w:r>
        <w:rPr>
          <w:spacing w:val="-12"/>
        </w:rPr>
        <w:t> </w:t>
      </w:r>
      <w:r>
        <w:rPr/>
        <w:t>support</w:t>
      </w:r>
      <w:r>
        <w:rPr>
          <w:spacing w:val="-11"/>
        </w:rPr>
        <w:t> </w:t>
      </w:r>
      <w:r>
        <w:rPr/>
        <w:t>pharmacists</w:t>
      </w:r>
      <w:r>
        <w:rPr>
          <w:spacing w:val="-11"/>
        </w:rPr>
        <w:t> </w:t>
      </w:r>
      <w:r>
        <w:rPr/>
        <w:t>to</w:t>
      </w:r>
      <w:r>
        <w:rPr>
          <w:spacing w:val="-12"/>
        </w:rPr>
        <w:t> </w:t>
      </w:r>
      <w:r>
        <w:rPr/>
        <w:t>provide</w:t>
      </w:r>
      <w:r>
        <w:rPr>
          <w:spacing w:val="-9"/>
        </w:rPr>
        <w:t> </w:t>
      </w:r>
      <w:r>
        <w:rPr/>
        <w:t>overdose</w:t>
      </w:r>
      <w:r>
        <w:rPr>
          <w:spacing w:val="-10"/>
        </w:rPr>
        <w:t> </w:t>
      </w:r>
      <w:r>
        <w:rPr/>
        <w:t>prevention</w:t>
      </w:r>
      <w:r>
        <w:rPr>
          <w:spacing w:val="-11"/>
        </w:rPr>
        <w:t> </w:t>
      </w:r>
      <w:r>
        <w:rPr/>
        <w:t>information</w:t>
      </w:r>
      <w:r>
        <w:rPr>
          <w:spacing w:val="-11"/>
        </w:rPr>
        <w:t> </w:t>
      </w:r>
      <w:r>
        <w:rPr/>
        <w:t>to</w:t>
      </w:r>
      <w:r>
        <w:rPr>
          <w:spacing w:val="-12"/>
        </w:rPr>
        <w:t> </w:t>
      </w:r>
      <w:r>
        <w:rPr/>
        <w:t>these</w:t>
      </w:r>
      <w:r>
        <w:rPr>
          <w:spacing w:val="-10"/>
        </w:rPr>
        <w:t> </w:t>
      </w:r>
      <w:r>
        <w:rPr/>
        <w:t>people.</w:t>
      </w:r>
      <w:r>
        <w:rPr>
          <w:spacing w:val="-12"/>
        </w:rPr>
        <w:t> </w:t>
      </w:r>
      <w:r>
        <w:rPr/>
        <w:t>As</w:t>
      </w:r>
      <w:r>
        <w:rPr>
          <w:spacing w:val="-11"/>
        </w:rPr>
        <w:t> </w:t>
      </w:r>
      <w:r>
        <w:rPr/>
        <w:t>such, there is a need to develop educational materials specifically for people prescribed opioids that can be made available through dispensing</w:t>
      </w:r>
      <w:r>
        <w:rPr>
          <w:spacing w:val="-23"/>
        </w:rPr>
        <w:t> </w:t>
      </w:r>
      <w:r>
        <w:rPr/>
        <w:t>pharmacies.</w:t>
      </w:r>
    </w:p>
    <w:p>
      <w:pPr>
        <w:pStyle w:val="BodyText"/>
        <w:spacing w:before="11"/>
        <w:rPr>
          <w:sz w:val="23"/>
        </w:rPr>
      </w:pPr>
    </w:p>
    <w:p>
      <w:pPr>
        <w:pStyle w:val="Heading2"/>
        <w:ind w:left="100"/>
      </w:pPr>
      <w:r>
        <w:rPr/>
        <w:t>Aim</w:t>
      </w:r>
    </w:p>
    <w:p>
      <w:pPr>
        <w:pStyle w:val="BodyText"/>
        <w:spacing w:before="11"/>
        <w:rPr>
          <w:b/>
          <w:sz w:val="23"/>
        </w:rPr>
      </w:pPr>
    </w:p>
    <w:p>
      <w:pPr>
        <w:pStyle w:val="BodyText"/>
        <w:ind w:left="100" w:right="117"/>
        <w:jc w:val="both"/>
      </w:pPr>
      <w:r>
        <w:rPr/>
        <w:t>This project was funded by the Department of Health and Human Services (DHHS) to fill this need. The project aimed to enhance the capacity of pharmacists to provide overdose prevention</w:t>
      </w:r>
      <w:r>
        <w:rPr>
          <w:spacing w:val="-11"/>
        </w:rPr>
        <w:t> </w:t>
      </w:r>
      <w:r>
        <w:rPr/>
        <w:t>information</w:t>
      </w:r>
      <w:r>
        <w:rPr>
          <w:spacing w:val="-10"/>
        </w:rPr>
        <w:t> </w:t>
      </w:r>
      <w:r>
        <w:rPr/>
        <w:t>to</w:t>
      </w:r>
      <w:r>
        <w:rPr>
          <w:spacing w:val="-12"/>
        </w:rPr>
        <w:t> </w:t>
      </w:r>
      <w:r>
        <w:rPr/>
        <w:t>people</w:t>
      </w:r>
      <w:r>
        <w:rPr>
          <w:spacing w:val="-10"/>
        </w:rPr>
        <w:t> </w:t>
      </w:r>
      <w:r>
        <w:rPr/>
        <w:t>who</w:t>
      </w:r>
      <w:r>
        <w:rPr>
          <w:spacing w:val="-12"/>
        </w:rPr>
        <w:t> </w:t>
      </w:r>
      <w:r>
        <w:rPr/>
        <w:t>are</w:t>
      </w:r>
      <w:r>
        <w:rPr>
          <w:spacing w:val="-10"/>
        </w:rPr>
        <w:t> </w:t>
      </w:r>
      <w:r>
        <w:rPr/>
        <w:t>prescribed</w:t>
      </w:r>
      <w:r>
        <w:rPr>
          <w:spacing w:val="-11"/>
        </w:rPr>
        <w:t> </w:t>
      </w:r>
      <w:r>
        <w:rPr/>
        <w:t>opioids</w:t>
      </w:r>
      <w:r>
        <w:rPr>
          <w:spacing w:val="-11"/>
        </w:rPr>
        <w:t> </w:t>
      </w:r>
      <w:r>
        <w:rPr/>
        <w:t>for</w:t>
      </w:r>
      <w:r>
        <w:rPr>
          <w:spacing w:val="-11"/>
        </w:rPr>
        <w:t> </w:t>
      </w:r>
      <w:r>
        <w:rPr/>
        <w:t>chronic</w:t>
      </w:r>
      <w:r>
        <w:rPr>
          <w:spacing w:val="-9"/>
        </w:rPr>
        <w:t> </w:t>
      </w:r>
      <w:r>
        <w:rPr/>
        <w:t>pain,</w:t>
      </w:r>
      <w:r>
        <w:rPr>
          <w:spacing w:val="-11"/>
        </w:rPr>
        <w:t> </w:t>
      </w:r>
      <w:r>
        <w:rPr/>
        <w:t>by</w:t>
      </w:r>
      <w:r>
        <w:rPr>
          <w:spacing w:val="-10"/>
        </w:rPr>
        <w:t> </w:t>
      </w:r>
      <w:r>
        <w:rPr/>
        <w:t>developing:</w:t>
      </w:r>
    </w:p>
    <w:p>
      <w:pPr>
        <w:pStyle w:val="BodyText"/>
      </w:pPr>
    </w:p>
    <w:p>
      <w:pPr>
        <w:pStyle w:val="ListParagraph"/>
        <w:numPr>
          <w:ilvl w:val="1"/>
          <w:numId w:val="3"/>
        </w:numPr>
        <w:tabs>
          <w:tab w:pos="819" w:val="left" w:leader="none"/>
          <w:tab w:pos="820" w:val="left" w:leader="none"/>
        </w:tabs>
        <w:spacing w:line="305" w:lineRule="exact" w:before="0" w:after="0"/>
        <w:ind w:left="820" w:right="0" w:hanging="360"/>
        <w:jc w:val="left"/>
        <w:rPr>
          <w:sz w:val="24"/>
        </w:rPr>
      </w:pPr>
      <w:r>
        <w:rPr>
          <w:sz w:val="24"/>
        </w:rPr>
        <w:t>Educational materials for pharmacists (a poster and brief training</w:t>
      </w:r>
      <w:r>
        <w:rPr>
          <w:spacing w:val="-33"/>
          <w:sz w:val="24"/>
        </w:rPr>
        <w:t> </w:t>
      </w:r>
      <w:r>
        <w:rPr>
          <w:sz w:val="24"/>
        </w:rPr>
        <w:t>animation)</w:t>
      </w:r>
    </w:p>
    <w:p>
      <w:pPr>
        <w:pStyle w:val="ListParagraph"/>
        <w:numPr>
          <w:ilvl w:val="1"/>
          <w:numId w:val="3"/>
        </w:numPr>
        <w:tabs>
          <w:tab w:pos="819" w:val="left" w:leader="none"/>
          <w:tab w:pos="820" w:val="left" w:leader="none"/>
        </w:tabs>
        <w:spacing w:line="305" w:lineRule="exact" w:before="0" w:after="0"/>
        <w:ind w:left="820" w:right="0" w:hanging="360"/>
        <w:jc w:val="left"/>
        <w:rPr>
          <w:sz w:val="24"/>
        </w:rPr>
      </w:pPr>
      <w:r>
        <w:rPr>
          <w:sz w:val="24"/>
        </w:rPr>
        <w:t>Information materials for patients (a</w:t>
      </w:r>
      <w:r>
        <w:rPr>
          <w:spacing w:val="-20"/>
          <w:sz w:val="24"/>
        </w:rPr>
        <w:t> </w:t>
      </w:r>
      <w:r>
        <w:rPr>
          <w:sz w:val="24"/>
        </w:rPr>
        <w:t>leaflet)</w:t>
      </w:r>
    </w:p>
    <w:p>
      <w:pPr>
        <w:pStyle w:val="BodyText"/>
      </w:pPr>
    </w:p>
    <w:p>
      <w:pPr>
        <w:pStyle w:val="BodyText"/>
        <w:spacing w:before="1"/>
        <w:ind w:left="100" w:right="116"/>
        <w:jc w:val="both"/>
      </w:pPr>
      <w:r>
        <w:rPr/>
        <w:t>The research team included researchers from Turning Point and Monash Addiction Research Centre, as well as a practicing community pharmacist from the Pharmaceutical Society of Australia.</w:t>
      </w:r>
    </w:p>
    <w:p>
      <w:pPr>
        <w:pStyle w:val="BodyText"/>
        <w:spacing w:before="12"/>
        <w:rPr>
          <w:sz w:val="23"/>
        </w:rPr>
      </w:pPr>
    </w:p>
    <w:p>
      <w:pPr>
        <w:pStyle w:val="Heading2"/>
        <w:ind w:left="100"/>
      </w:pPr>
      <w:r>
        <w:rPr/>
        <w:t>Methods</w:t>
      </w:r>
    </w:p>
    <w:p>
      <w:pPr>
        <w:pStyle w:val="BodyText"/>
        <w:spacing w:before="11"/>
        <w:rPr>
          <w:b/>
          <w:sz w:val="23"/>
        </w:rPr>
      </w:pPr>
    </w:p>
    <w:p>
      <w:pPr>
        <w:pStyle w:val="BodyText"/>
        <w:spacing w:before="1"/>
        <w:ind w:left="100" w:right="118"/>
        <w:jc w:val="both"/>
      </w:pPr>
      <w:r>
        <w:rPr/>
        <w:t>As illustrated in Figure 1, this project involved several activities. We conducted a review of existing pharmacist training materials, information and guidelines (henceforth referred to as ‘training  materials’)  on  overdose  prevention  (naloxone  provision)  for  people prescribed</w:t>
      </w:r>
    </w:p>
    <w:p>
      <w:pPr>
        <w:spacing w:after="0"/>
        <w:jc w:val="both"/>
        <w:sectPr>
          <w:pgSz w:w="11910" w:h="16840"/>
          <w:pgMar w:header="0" w:footer="1297" w:top="1580" w:bottom="1520" w:left="1340" w:right="1320"/>
        </w:sectPr>
      </w:pPr>
    </w:p>
    <w:p>
      <w:pPr>
        <w:pStyle w:val="BodyText"/>
        <w:spacing w:before="37"/>
        <w:ind w:left="119" w:right="118"/>
        <w:jc w:val="both"/>
      </w:pPr>
      <w:r>
        <w:rPr/>
        <w:t>opioids for chronic pain. This involved searching academic databases and non-academic (‘grey’) literature for relevant pharmacist training materials on opioid overdose that were published in English. We then tabled relevant information about the characteristics, content covered and format of training materials and calculated the frequencies of common characteristics and elements.</w:t>
      </w:r>
    </w:p>
    <w:p>
      <w:pPr>
        <w:pStyle w:val="BodyText"/>
        <w:spacing w:before="11"/>
        <w:rPr>
          <w:sz w:val="23"/>
        </w:rPr>
      </w:pPr>
    </w:p>
    <w:p>
      <w:pPr>
        <w:pStyle w:val="BodyText"/>
        <w:ind w:left="119" w:right="116"/>
        <w:jc w:val="both"/>
      </w:pPr>
      <w:r>
        <w:rPr/>
        <w:t>Following this and after obtaining ethics approval from the Monash University Human Research and Ethics Committee (MUHREC project ID 22418), we drew on a co-design approach,</w:t>
      </w:r>
      <w:r>
        <w:rPr>
          <w:spacing w:val="-16"/>
        </w:rPr>
        <w:t> </w:t>
      </w:r>
      <w:r>
        <w:rPr/>
        <w:t>consulting</w:t>
      </w:r>
      <w:r>
        <w:rPr>
          <w:spacing w:val="-16"/>
        </w:rPr>
        <w:t> </w:t>
      </w:r>
      <w:r>
        <w:rPr/>
        <w:t>with</w:t>
      </w:r>
      <w:r>
        <w:rPr>
          <w:spacing w:val="-16"/>
        </w:rPr>
        <w:t> </w:t>
      </w:r>
      <w:r>
        <w:rPr/>
        <w:t>patients</w:t>
      </w:r>
      <w:r>
        <w:rPr>
          <w:spacing w:val="-16"/>
        </w:rPr>
        <w:t> </w:t>
      </w:r>
      <w:r>
        <w:rPr/>
        <w:t>prescribed</w:t>
      </w:r>
      <w:r>
        <w:rPr>
          <w:spacing w:val="-16"/>
        </w:rPr>
        <w:t> </w:t>
      </w:r>
      <w:r>
        <w:rPr/>
        <w:t>opioids</w:t>
      </w:r>
      <w:r>
        <w:rPr>
          <w:spacing w:val="-16"/>
        </w:rPr>
        <w:t> </w:t>
      </w:r>
      <w:r>
        <w:rPr/>
        <w:t>for</w:t>
      </w:r>
      <w:r>
        <w:rPr>
          <w:spacing w:val="-15"/>
        </w:rPr>
        <w:t> </w:t>
      </w:r>
      <w:r>
        <w:rPr/>
        <w:t>chronic</w:t>
      </w:r>
      <w:r>
        <w:rPr>
          <w:spacing w:val="-15"/>
        </w:rPr>
        <w:t> </w:t>
      </w:r>
      <w:r>
        <w:rPr/>
        <w:t>pain</w:t>
      </w:r>
      <w:r>
        <w:rPr>
          <w:spacing w:val="-16"/>
        </w:rPr>
        <w:t> </w:t>
      </w:r>
      <w:r>
        <w:rPr/>
        <w:t>(n=14)</w:t>
      </w:r>
      <w:r>
        <w:rPr>
          <w:spacing w:val="-15"/>
        </w:rPr>
        <w:t> </w:t>
      </w:r>
      <w:r>
        <w:rPr/>
        <w:t>and</w:t>
      </w:r>
      <w:r>
        <w:rPr>
          <w:spacing w:val="-16"/>
        </w:rPr>
        <w:t> </w:t>
      </w:r>
      <w:r>
        <w:rPr/>
        <w:t>pharmacists who dispense opioids for chronic pain (n=9). To do this, we used qualitative interviews and focus groups. Patients were recruited via social media (e.g. Facebook sponsored posts, Twitter) and promotion through pain management groups. Pharmacists were recruited via social media (e.g. Facebook groups and Twitter), pharmacy networks and our own networks. Advertisements inviting participation in the project asked participants to contact the study team directly, and a member of the study team screened participants for eligibility. Explanatory statements were emailed to participants after an initial phone call to explain study</w:t>
      </w:r>
      <w:r>
        <w:rPr>
          <w:spacing w:val="-5"/>
        </w:rPr>
        <w:t> </w:t>
      </w:r>
      <w:r>
        <w:rPr/>
        <w:t>details.</w:t>
      </w:r>
    </w:p>
    <w:p>
      <w:pPr>
        <w:pStyle w:val="BodyText"/>
        <w:spacing w:before="11"/>
        <w:rPr>
          <w:sz w:val="23"/>
        </w:rPr>
      </w:pPr>
    </w:p>
    <w:p>
      <w:pPr>
        <w:pStyle w:val="BodyText"/>
        <w:ind w:left="119" w:right="117"/>
        <w:jc w:val="both"/>
      </w:pPr>
      <w:r>
        <w:rPr/>
        <w:t>One focus group with patients was held at Turning Point in Richmond and for participant preference, the remaining participants completed individual telephone interviews. Due to COVID-19 restrictions, focus groups with pharmacists (to be held at the Pharmaceutical Society</w:t>
      </w:r>
      <w:r>
        <w:rPr>
          <w:spacing w:val="-8"/>
        </w:rPr>
        <w:t> </w:t>
      </w:r>
      <w:r>
        <w:rPr/>
        <w:t>of</w:t>
      </w:r>
      <w:r>
        <w:rPr>
          <w:spacing w:val="-9"/>
        </w:rPr>
        <w:t> </w:t>
      </w:r>
      <w:r>
        <w:rPr/>
        <w:t>Australia,</w:t>
      </w:r>
      <w:r>
        <w:rPr>
          <w:spacing w:val="-9"/>
        </w:rPr>
        <w:t> </w:t>
      </w:r>
      <w:r>
        <w:rPr/>
        <w:t>Parkville)</w:t>
      </w:r>
      <w:r>
        <w:rPr>
          <w:spacing w:val="-8"/>
        </w:rPr>
        <w:t> </w:t>
      </w:r>
      <w:r>
        <w:rPr/>
        <w:t>were</w:t>
      </w:r>
      <w:r>
        <w:rPr>
          <w:spacing w:val="-9"/>
        </w:rPr>
        <w:t> </w:t>
      </w:r>
      <w:r>
        <w:rPr/>
        <w:t>replaced</w:t>
      </w:r>
      <w:r>
        <w:rPr>
          <w:spacing w:val="-9"/>
        </w:rPr>
        <w:t> </w:t>
      </w:r>
      <w:r>
        <w:rPr/>
        <w:t>with</w:t>
      </w:r>
      <w:r>
        <w:rPr>
          <w:spacing w:val="-9"/>
        </w:rPr>
        <w:t> </w:t>
      </w:r>
      <w:r>
        <w:rPr/>
        <w:t>individual</w:t>
      </w:r>
      <w:r>
        <w:rPr>
          <w:spacing w:val="-8"/>
        </w:rPr>
        <w:t> </w:t>
      </w:r>
      <w:r>
        <w:rPr/>
        <w:t>telephone</w:t>
      </w:r>
      <w:r>
        <w:rPr>
          <w:spacing w:val="-8"/>
        </w:rPr>
        <w:t> </w:t>
      </w:r>
      <w:r>
        <w:rPr/>
        <w:t>interviews.</w:t>
      </w:r>
      <w:r>
        <w:rPr>
          <w:spacing w:val="-9"/>
        </w:rPr>
        <w:t> </w:t>
      </w:r>
      <w:r>
        <w:rPr/>
        <w:t>Interviews and focus groups were approximately 1 hour in duration. All participants received $50 gift cards as a token of</w:t>
      </w:r>
      <w:r>
        <w:rPr>
          <w:spacing w:val="-12"/>
        </w:rPr>
        <w:t> </w:t>
      </w:r>
      <w:r>
        <w:rPr/>
        <w:t>appreciation.</w:t>
      </w:r>
    </w:p>
    <w:p>
      <w:pPr>
        <w:pStyle w:val="BodyText"/>
        <w:spacing w:before="11"/>
        <w:rPr>
          <w:sz w:val="23"/>
        </w:rPr>
      </w:pPr>
    </w:p>
    <w:p>
      <w:pPr>
        <w:pStyle w:val="BodyText"/>
        <w:ind w:left="119"/>
        <w:jc w:val="both"/>
      </w:pPr>
      <w:r>
        <w:rPr/>
        <w:t>Interviews and focus groups covered the following topics.</w:t>
      </w:r>
    </w:p>
    <w:p>
      <w:pPr>
        <w:pStyle w:val="BodyText"/>
      </w:pPr>
    </w:p>
    <w:p>
      <w:pPr>
        <w:pStyle w:val="ListParagraph"/>
        <w:numPr>
          <w:ilvl w:val="1"/>
          <w:numId w:val="3"/>
        </w:numPr>
        <w:tabs>
          <w:tab w:pos="839" w:val="left" w:leader="none"/>
          <w:tab w:pos="840" w:val="left" w:leader="none"/>
        </w:tabs>
        <w:spacing w:line="305" w:lineRule="exact" w:before="0" w:after="0"/>
        <w:ind w:left="840" w:right="0" w:hanging="360"/>
        <w:jc w:val="left"/>
        <w:rPr>
          <w:sz w:val="24"/>
        </w:rPr>
      </w:pPr>
      <w:r>
        <w:rPr>
          <w:sz w:val="24"/>
        </w:rPr>
        <w:t>Overdose</w:t>
      </w:r>
      <w:r>
        <w:rPr>
          <w:spacing w:val="-8"/>
          <w:sz w:val="24"/>
        </w:rPr>
        <w:t> </w:t>
      </w:r>
      <w:r>
        <w:rPr>
          <w:sz w:val="24"/>
        </w:rPr>
        <w:t>knowledge</w:t>
      </w:r>
    </w:p>
    <w:p>
      <w:pPr>
        <w:pStyle w:val="ListParagraph"/>
        <w:numPr>
          <w:ilvl w:val="1"/>
          <w:numId w:val="3"/>
        </w:numPr>
        <w:tabs>
          <w:tab w:pos="839" w:val="left" w:leader="none"/>
          <w:tab w:pos="840" w:val="left" w:leader="none"/>
        </w:tabs>
        <w:spacing w:line="305" w:lineRule="exact" w:before="0" w:after="0"/>
        <w:ind w:left="840" w:right="0" w:hanging="360"/>
        <w:jc w:val="left"/>
        <w:rPr>
          <w:sz w:val="24"/>
        </w:rPr>
      </w:pPr>
      <w:r>
        <w:rPr>
          <w:sz w:val="24"/>
        </w:rPr>
        <w:t>Naloxone</w:t>
      </w:r>
      <w:r>
        <w:rPr>
          <w:spacing w:val="-7"/>
          <w:sz w:val="24"/>
        </w:rPr>
        <w:t> </w:t>
      </w:r>
      <w:r>
        <w:rPr>
          <w:sz w:val="24"/>
        </w:rPr>
        <w:t>knowledge</w:t>
      </w:r>
    </w:p>
    <w:p>
      <w:pPr>
        <w:pStyle w:val="ListParagraph"/>
        <w:numPr>
          <w:ilvl w:val="1"/>
          <w:numId w:val="3"/>
        </w:numPr>
        <w:tabs>
          <w:tab w:pos="839" w:val="left" w:leader="none"/>
          <w:tab w:pos="840" w:val="left" w:leader="none"/>
        </w:tabs>
        <w:spacing w:line="240" w:lineRule="auto" w:before="0" w:after="0"/>
        <w:ind w:left="840" w:right="0" w:hanging="360"/>
        <w:jc w:val="left"/>
        <w:rPr>
          <w:sz w:val="24"/>
        </w:rPr>
      </w:pPr>
      <w:r>
        <w:rPr>
          <w:sz w:val="24"/>
        </w:rPr>
        <w:t>Desirable features of an intervention and</w:t>
      </w:r>
      <w:r>
        <w:rPr>
          <w:spacing w:val="-20"/>
          <w:sz w:val="24"/>
        </w:rPr>
        <w:t> </w:t>
      </w:r>
      <w:r>
        <w:rPr>
          <w:sz w:val="24"/>
        </w:rPr>
        <w:t>materials</w:t>
      </w:r>
    </w:p>
    <w:p>
      <w:pPr>
        <w:pStyle w:val="ListParagraph"/>
        <w:numPr>
          <w:ilvl w:val="1"/>
          <w:numId w:val="3"/>
        </w:numPr>
        <w:tabs>
          <w:tab w:pos="839" w:val="left" w:leader="none"/>
          <w:tab w:pos="840" w:val="left" w:leader="none"/>
        </w:tabs>
        <w:spacing w:line="240" w:lineRule="auto" w:before="0" w:after="0"/>
        <w:ind w:left="840" w:right="0" w:hanging="360"/>
        <w:jc w:val="left"/>
        <w:rPr>
          <w:sz w:val="24"/>
        </w:rPr>
      </w:pPr>
      <w:r>
        <w:rPr>
          <w:sz w:val="24"/>
        </w:rPr>
        <w:t>Factors influencing naloxone provision (for</w:t>
      </w:r>
      <w:r>
        <w:rPr>
          <w:spacing w:val="-24"/>
          <w:sz w:val="24"/>
        </w:rPr>
        <w:t> </w:t>
      </w:r>
      <w:r>
        <w:rPr>
          <w:sz w:val="24"/>
        </w:rPr>
        <w:t>pharmacists)</w:t>
      </w:r>
    </w:p>
    <w:p>
      <w:pPr>
        <w:pStyle w:val="BodyText"/>
      </w:pPr>
    </w:p>
    <w:p>
      <w:pPr>
        <w:pStyle w:val="BodyText"/>
        <w:ind w:left="119"/>
        <w:jc w:val="both"/>
      </w:pPr>
      <w:r>
        <w:rPr/>
        <w:t>Thematic analysis was used to identify common themes in interviews and focus groups.</w:t>
      </w:r>
    </w:p>
    <w:p>
      <w:pPr>
        <w:pStyle w:val="BodyText"/>
        <w:spacing w:before="11"/>
        <w:rPr>
          <w:sz w:val="23"/>
        </w:rPr>
      </w:pPr>
    </w:p>
    <w:p>
      <w:pPr>
        <w:pStyle w:val="BodyText"/>
        <w:ind w:left="119" w:right="116"/>
        <w:jc w:val="both"/>
      </w:pPr>
      <w:r>
        <w:rPr/>
        <w:t>Based on insights from the review and consultations, we developed draft information materials</w:t>
      </w:r>
      <w:r>
        <w:rPr>
          <w:spacing w:val="-8"/>
        </w:rPr>
        <w:t> </w:t>
      </w:r>
      <w:r>
        <w:rPr/>
        <w:t>(a</w:t>
      </w:r>
      <w:r>
        <w:rPr>
          <w:spacing w:val="-7"/>
        </w:rPr>
        <w:t> </w:t>
      </w:r>
      <w:r>
        <w:rPr/>
        <w:t>poster</w:t>
      </w:r>
      <w:r>
        <w:rPr>
          <w:spacing w:val="-7"/>
        </w:rPr>
        <w:t> </w:t>
      </w:r>
      <w:r>
        <w:rPr/>
        <w:t>for</w:t>
      </w:r>
      <w:r>
        <w:rPr>
          <w:spacing w:val="-7"/>
        </w:rPr>
        <w:t> </w:t>
      </w:r>
      <w:r>
        <w:rPr/>
        <w:t>pharmacists,</w:t>
      </w:r>
      <w:r>
        <w:rPr>
          <w:spacing w:val="-9"/>
        </w:rPr>
        <w:t> </w:t>
      </w:r>
      <w:r>
        <w:rPr/>
        <w:t>and</w:t>
      </w:r>
      <w:r>
        <w:rPr>
          <w:spacing w:val="-8"/>
        </w:rPr>
        <w:t> </w:t>
      </w:r>
      <w:r>
        <w:rPr/>
        <w:t>a</w:t>
      </w:r>
      <w:r>
        <w:rPr>
          <w:spacing w:val="-7"/>
        </w:rPr>
        <w:t> </w:t>
      </w:r>
      <w:r>
        <w:rPr/>
        <w:t>leaflet</w:t>
      </w:r>
      <w:r>
        <w:rPr>
          <w:spacing w:val="-9"/>
        </w:rPr>
        <w:t> </w:t>
      </w:r>
      <w:r>
        <w:rPr/>
        <w:t>for</w:t>
      </w:r>
      <w:r>
        <w:rPr>
          <w:spacing w:val="-7"/>
        </w:rPr>
        <w:t> </w:t>
      </w:r>
      <w:r>
        <w:rPr/>
        <w:t>patients)</w:t>
      </w:r>
      <w:r>
        <w:rPr>
          <w:spacing w:val="-7"/>
        </w:rPr>
        <w:t> </w:t>
      </w:r>
      <w:r>
        <w:rPr/>
        <w:t>and</w:t>
      </w:r>
      <w:r>
        <w:rPr>
          <w:spacing w:val="-8"/>
        </w:rPr>
        <w:t> </w:t>
      </w:r>
      <w:r>
        <w:rPr/>
        <w:t>its</w:t>
      </w:r>
      <w:r>
        <w:rPr>
          <w:spacing w:val="-8"/>
        </w:rPr>
        <w:t> </w:t>
      </w:r>
      <w:r>
        <w:rPr/>
        <w:t>look</w:t>
      </w:r>
      <w:r>
        <w:rPr>
          <w:spacing w:val="-7"/>
        </w:rPr>
        <w:t> </w:t>
      </w:r>
      <w:r>
        <w:rPr/>
        <w:t>was</w:t>
      </w:r>
      <w:r>
        <w:rPr>
          <w:spacing w:val="-8"/>
        </w:rPr>
        <w:t> </w:t>
      </w:r>
      <w:r>
        <w:rPr/>
        <w:t>designed</w:t>
      </w:r>
      <w:r>
        <w:rPr>
          <w:spacing w:val="-8"/>
        </w:rPr>
        <w:t> </w:t>
      </w:r>
      <w:r>
        <w:rPr/>
        <w:t>to</w:t>
      </w:r>
      <w:r>
        <w:rPr>
          <w:spacing w:val="-8"/>
        </w:rPr>
        <w:t> </w:t>
      </w:r>
      <w:r>
        <w:rPr/>
        <w:t>be concise, engaging, and appropriate for the audience of pharmacists and patients. We sought feedback from the same patients and pharmacists, as well as the Pharmaceutical Society of Australia Harm Reduction Committee, further refining the materials based on this feedback. This was done via telephone, email and an online feedback form that included open-ended and structured</w:t>
      </w:r>
      <w:r>
        <w:rPr>
          <w:spacing w:val="-11"/>
        </w:rPr>
        <w:t> </w:t>
      </w:r>
      <w:r>
        <w:rPr/>
        <w:t>questions.</w:t>
      </w:r>
    </w:p>
    <w:p>
      <w:pPr>
        <w:spacing w:after="0"/>
        <w:jc w:val="both"/>
        <w:sectPr>
          <w:pgSz w:w="11910" w:h="16840"/>
          <w:pgMar w:header="0" w:footer="1297" w:top="1480" w:bottom="1520" w:left="1320" w:right="1320"/>
        </w:sectPr>
      </w:pPr>
    </w:p>
    <w:p>
      <w:pPr>
        <w:pStyle w:val="BodyText"/>
        <w:spacing w:before="5"/>
        <w:rPr>
          <w:sz w:val="12"/>
        </w:rPr>
      </w:pPr>
    </w:p>
    <w:p>
      <w:pPr>
        <w:spacing w:before="55"/>
        <w:ind w:left="100" w:right="0" w:firstLine="0"/>
        <w:jc w:val="both"/>
        <w:rPr>
          <w:i/>
          <w:sz w:val="22"/>
        </w:rPr>
      </w:pPr>
      <w:r>
        <w:rPr>
          <w:i/>
          <w:sz w:val="22"/>
        </w:rPr>
        <w:t>Figure 1. Flowchart of the study design.</w:t>
      </w:r>
    </w:p>
    <w:p>
      <w:pPr>
        <w:pStyle w:val="BodyText"/>
        <w:spacing w:before="8"/>
        <w:rPr>
          <w:i/>
          <w:sz w:val="18"/>
        </w:rPr>
      </w:pPr>
      <w:r>
        <w:rPr/>
        <w:drawing>
          <wp:anchor distT="0" distB="0" distL="0" distR="0" allowOverlap="1" layoutInCell="1" locked="0" behindDoc="0" simplePos="0" relativeHeight="1072">
            <wp:simplePos x="0" y="0"/>
            <wp:positionH relativeFrom="page">
              <wp:posOffset>914400</wp:posOffset>
            </wp:positionH>
            <wp:positionV relativeFrom="paragraph">
              <wp:posOffset>169731</wp:posOffset>
            </wp:positionV>
            <wp:extent cx="5759745" cy="1269873"/>
            <wp:effectExtent l="0" t="0" r="0" b="0"/>
            <wp:wrapTopAndBottom/>
            <wp:docPr id="1" name="image4.jpeg" descr="A picture containing shirt  Description automatically generated "/>
            <wp:cNvGraphicFramePr>
              <a:graphicFrameLocks noChangeAspect="1"/>
            </wp:cNvGraphicFramePr>
            <a:graphic>
              <a:graphicData uri="http://schemas.openxmlformats.org/drawingml/2006/picture">
                <pic:pic>
                  <pic:nvPicPr>
                    <pic:cNvPr id="2" name="image4.jpeg"/>
                    <pic:cNvPicPr/>
                  </pic:nvPicPr>
                  <pic:blipFill>
                    <a:blip r:embed="rId9" cstate="print"/>
                    <a:stretch>
                      <a:fillRect/>
                    </a:stretch>
                  </pic:blipFill>
                  <pic:spPr>
                    <a:xfrm>
                      <a:off x="0" y="0"/>
                      <a:ext cx="5759745" cy="1269873"/>
                    </a:xfrm>
                    <a:prstGeom prst="rect">
                      <a:avLst/>
                    </a:prstGeom>
                  </pic:spPr>
                </pic:pic>
              </a:graphicData>
            </a:graphic>
          </wp:anchor>
        </w:drawing>
      </w:r>
    </w:p>
    <w:p>
      <w:pPr>
        <w:pStyle w:val="BodyText"/>
        <w:rPr>
          <w:i/>
          <w:sz w:val="22"/>
        </w:rPr>
      </w:pPr>
    </w:p>
    <w:p>
      <w:pPr>
        <w:pStyle w:val="Heading1"/>
        <w:numPr>
          <w:ilvl w:val="0"/>
          <w:numId w:val="3"/>
        </w:numPr>
        <w:tabs>
          <w:tab w:pos="380" w:val="left" w:leader="none"/>
        </w:tabs>
        <w:spacing w:line="240" w:lineRule="auto" w:before="182" w:after="0"/>
        <w:ind w:left="379" w:right="0" w:hanging="279"/>
        <w:jc w:val="both"/>
      </w:pPr>
      <w:bookmarkStart w:name="2. Review of current pharmacist training" w:id="6"/>
      <w:bookmarkEnd w:id="6"/>
      <w:r>
        <w:rPr>
          <w:b w:val="0"/>
        </w:rPr>
      </w:r>
      <w:bookmarkStart w:name="_bookmark2" w:id="7"/>
      <w:bookmarkEnd w:id="7"/>
      <w:r>
        <w:rPr>
          <w:b w:val="0"/>
        </w:rPr>
      </w:r>
      <w:bookmarkStart w:name="_bookmark2" w:id="8"/>
      <w:bookmarkEnd w:id="8"/>
      <w:r>
        <w:rPr>
          <w:color w:val="6C1D6C"/>
        </w:rPr>
        <w:t>R</w:t>
      </w:r>
      <w:r>
        <w:rPr>
          <w:color w:val="6C1D6C"/>
        </w:rPr>
        <w:t>eview of current pharmacist training</w:t>
      </w:r>
      <w:r>
        <w:rPr>
          <w:color w:val="6C1D6C"/>
          <w:spacing w:val="-23"/>
        </w:rPr>
        <w:t> </w:t>
      </w:r>
      <w:r>
        <w:rPr>
          <w:color w:val="6C1D6C"/>
        </w:rPr>
        <w:t>materials</w:t>
      </w:r>
    </w:p>
    <w:p>
      <w:pPr>
        <w:pStyle w:val="BodyText"/>
        <w:spacing w:before="11"/>
        <w:rPr>
          <w:b/>
          <w:sz w:val="21"/>
        </w:rPr>
      </w:pPr>
    </w:p>
    <w:p>
      <w:pPr>
        <w:pStyle w:val="BodyText"/>
        <w:spacing w:before="1"/>
        <w:ind w:left="100" w:right="117"/>
        <w:jc w:val="both"/>
      </w:pPr>
      <w:r>
        <w:rPr/>
        <w:t>We identified 25 pharmacist training materials on overdose prevention (including advice for naloxone</w:t>
      </w:r>
      <w:r>
        <w:rPr>
          <w:spacing w:val="-4"/>
        </w:rPr>
        <w:t> </w:t>
      </w:r>
      <w:r>
        <w:rPr/>
        <w:t>provision)</w:t>
      </w:r>
      <w:r>
        <w:rPr>
          <w:spacing w:val="-5"/>
        </w:rPr>
        <w:t> </w:t>
      </w:r>
      <w:r>
        <w:rPr/>
        <w:t>for</w:t>
      </w:r>
      <w:r>
        <w:rPr>
          <w:spacing w:val="-3"/>
        </w:rPr>
        <w:t> </w:t>
      </w:r>
      <w:r>
        <w:rPr/>
        <w:t>people</w:t>
      </w:r>
      <w:r>
        <w:rPr>
          <w:spacing w:val="-4"/>
        </w:rPr>
        <w:t> </w:t>
      </w:r>
      <w:r>
        <w:rPr/>
        <w:t>prescribed</w:t>
      </w:r>
      <w:r>
        <w:rPr>
          <w:spacing w:val="-5"/>
        </w:rPr>
        <w:t> </w:t>
      </w:r>
      <w:r>
        <w:rPr/>
        <w:t>opioids</w:t>
      </w:r>
      <w:r>
        <w:rPr>
          <w:spacing w:val="-5"/>
        </w:rPr>
        <w:t> </w:t>
      </w:r>
      <w:r>
        <w:rPr/>
        <w:t>for</w:t>
      </w:r>
      <w:r>
        <w:rPr>
          <w:spacing w:val="-5"/>
        </w:rPr>
        <w:t> </w:t>
      </w:r>
      <w:r>
        <w:rPr/>
        <w:t>chronic</w:t>
      </w:r>
      <w:r>
        <w:rPr>
          <w:spacing w:val="-4"/>
        </w:rPr>
        <w:t> </w:t>
      </w:r>
      <w:r>
        <w:rPr/>
        <w:t>pain.</w:t>
      </w:r>
      <w:r>
        <w:rPr>
          <w:spacing w:val="-6"/>
        </w:rPr>
        <w:t> </w:t>
      </w:r>
      <w:r>
        <w:rPr/>
        <w:t>As</w:t>
      </w:r>
      <w:r>
        <w:rPr>
          <w:spacing w:val="-5"/>
        </w:rPr>
        <w:t> </w:t>
      </w:r>
      <w:r>
        <w:rPr/>
        <w:t>illustrated</w:t>
      </w:r>
      <w:r>
        <w:rPr>
          <w:spacing w:val="-5"/>
        </w:rPr>
        <w:t> </w:t>
      </w:r>
      <w:r>
        <w:rPr/>
        <w:t>in</w:t>
      </w:r>
      <w:r>
        <w:rPr>
          <w:spacing w:val="-5"/>
        </w:rPr>
        <w:t> </w:t>
      </w:r>
      <w:r>
        <w:rPr/>
        <w:t>Appendix 1,</w:t>
      </w:r>
      <w:r>
        <w:rPr>
          <w:spacing w:val="-10"/>
        </w:rPr>
        <w:t> </w:t>
      </w:r>
      <w:r>
        <w:rPr/>
        <w:t>the</w:t>
      </w:r>
      <w:r>
        <w:rPr>
          <w:spacing w:val="-9"/>
        </w:rPr>
        <w:t> </w:t>
      </w:r>
      <w:r>
        <w:rPr/>
        <w:t>majority</w:t>
      </w:r>
      <w:r>
        <w:rPr>
          <w:spacing w:val="-9"/>
        </w:rPr>
        <w:t> </w:t>
      </w:r>
      <w:r>
        <w:rPr/>
        <w:t>(n=19,</w:t>
      </w:r>
      <w:r>
        <w:rPr>
          <w:spacing w:val="-10"/>
        </w:rPr>
        <w:t> </w:t>
      </w:r>
      <w:r>
        <w:rPr/>
        <w:t>76%)</w:t>
      </w:r>
      <w:r>
        <w:rPr>
          <w:spacing w:val="-9"/>
        </w:rPr>
        <w:t> </w:t>
      </w:r>
      <w:r>
        <w:rPr/>
        <w:t>of</w:t>
      </w:r>
      <w:r>
        <w:rPr>
          <w:spacing w:val="-10"/>
        </w:rPr>
        <w:t> </w:t>
      </w:r>
      <w:r>
        <w:rPr/>
        <w:t>these</w:t>
      </w:r>
      <w:r>
        <w:rPr>
          <w:spacing w:val="-9"/>
        </w:rPr>
        <w:t> </w:t>
      </w:r>
      <w:r>
        <w:rPr/>
        <w:t>were</w:t>
      </w:r>
      <w:r>
        <w:rPr>
          <w:spacing w:val="-9"/>
        </w:rPr>
        <w:t> </w:t>
      </w:r>
      <w:r>
        <w:rPr/>
        <w:t>developed</w:t>
      </w:r>
      <w:r>
        <w:rPr>
          <w:spacing w:val="-10"/>
        </w:rPr>
        <w:t> </w:t>
      </w:r>
      <w:r>
        <w:rPr/>
        <w:t>overseas.</w:t>
      </w:r>
      <w:r>
        <w:rPr>
          <w:spacing w:val="-10"/>
        </w:rPr>
        <w:t> </w:t>
      </w:r>
      <w:r>
        <w:rPr/>
        <w:t>Given</w:t>
      </w:r>
      <w:r>
        <w:rPr>
          <w:spacing w:val="-10"/>
        </w:rPr>
        <w:t> </w:t>
      </w:r>
      <w:r>
        <w:rPr/>
        <w:t>the</w:t>
      </w:r>
      <w:r>
        <w:rPr>
          <w:spacing w:val="-8"/>
        </w:rPr>
        <w:t> </w:t>
      </w:r>
      <w:r>
        <w:rPr/>
        <w:t>different</w:t>
      </w:r>
      <w:r>
        <w:rPr>
          <w:spacing w:val="-10"/>
        </w:rPr>
        <w:t> </w:t>
      </w:r>
      <w:r>
        <w:rPr/>
        <w:t>healthcare systems, prescribing practices, and policies, these were had limited relevance to the Australian context (or Victoria, more specifically). For example, many resources referenced naloxone brands which are not available in Australia, American health systems (e.g. ‘911’ instead</w:t>
      </w:r>
      <w:r>
        <w:rPr>
          <w:spacing w:val="-7"/>
        </w:rPr>
        <w:t> </w:t>
      </w:r>
      <w:r>
        <w:rPr/>
        <w:t>of</w:t>
      </w:r>
      <w:r>
        <w:rPr>
          <w:spacing w:val="-7"/>
        </w:rPr>
        <w:t> </w:t>
      </w:r>
      <w:r>
        <w:rPr/>
        <w:t>‘000’,</w:t>
      </w:r>
      <w:r>
        <w:rPr>
          <w:spacing w:val="-7"/>
        </w:rPr>
        <w:t> </w:t>
      </w:r>
      <w:r>
        <w:rPr/>
        <w:t>‘EMS’</w:t>
      </w:r>
      <w:r>
        <w:rPr>
          <w:spacing w:val="-7"/>
        </w:rPr>
        <w:t> </w:t>
      </w:r>
      <w:r>
        <w:rPr/>
        <w:t>instead</w:t>
      </w:r>
      <w:r>
        <w:rPr>
          <w:spacing w:val="-7"/>
        </w:rPr>
        <w:t> </w:t>
      </w:r>
      <w:r>
        <w:rPr/>
        <w:t>of</w:t>
      </w:r>
      <w:r>
        <w:rPr>
          <w:spacing w:val="-7"/>
        </w:rPr>
        <w:t> </w:t>
      </w:r>
      <w:r>
        <w:rPr/>
        <w:t>‘ambulance’),</w:t>
      </w:r>
      <w:r>
        <w:rPr>
          <w:spacing w:val="-7"/>
        </w:rPr>
        <w:t> </w:t>
      </w:r>
      <w:r>
        <w:rPr/>
        <w:t>and</w:t>
      </w:r>
      <w:r>
        <w:rPr>
          <w:spacing w:val="-7"/>
        </w:rPr>
        <w:t> </w:t>
      </w:r>
      <w:r>
        <w:rPr/>
        <w:t>the</w:t>
      </w:r>
      <w:r>
        <w:rPr>
          <w:spacing w:val="-7"/>
        </w:rPr>
        <w:t> </w:t>
      </w:r>
      <w:r>
        <w:rPr/>
        <w:t>American</w:t>
      </w:r>
      <w:r>
        <w:rPr>
          <w:spacing w:val="-7"/>
        </w:rPr>
        <w:t> </w:t>
      </w:r>
      <w:r>
        <w:rPr/>
        <w:t>opioid</w:t>
      </w:r>
      <w:r>
        <w:rPr>
          <w:spacing w:val="-7"/>
        </w:rPr>
        <w:t> </w:t>
      </w:r>
      <w:r>
        <w:rPr/>
        <w:t>‘public</w:t>
      </w:r>
      <w:r>
        <w:rPr>
          <w:spacing w:val="-7"/>
        </w:rPr>
        <w:t> </w:t>
      </w:r>
      <w:r>
        <w:rPr/>
        <w:t>health</w:t>
      </w:r>
      <w:r>
        <w:rPr>
          <w:spacing w:val="-7"/>
        </w:rPr>
        <w:t> </w:t>
      </w:r>
      <w:r>
        <w:rPr/>
        <w:t>crisis’.</w:t>
      </w:r>
    </w:p>
    <w:p>
      <w:pPr>
        <w:pStyle w:val="BodyText"/>
      </w:pPr>
    </w:p>
    <w:p>
      <w:pPr>
        <w:pStyle w:val="BodyText"/>
        <w:spacing w:before="1"/>
        <w:ind w:left="100" w:right="117"/>
        <w:jc w:val="both"/>
      </w:pPr>
      <w:r>
        <w:rPr/>
        <w:t>Formats</w:t>
      </w:r>
      <w:r>
        <w:rPr>
          <w:spacing w:val="-11"/>
        </w:rPr>
        <w:t> </w:t>
      </w:r>
      <w:r>
        <w:rPr/>
        <w:t>included</w:t>
      </w:r>
      <w:r>
        <w:rPr>
          <w:spacing w:val="-11"/>
        </w:rPr>
        <w:t> </w:t>
      </w:r>
      <w:r>
        <w:rPr/>
        <w:t>written</w:t>
      </w:r>
      <w:r>
        <w:rPr>
          <w:spacing w:val="-11"/>
        </w:rPr>
        <w:t> </w:t>
      </w:r>
      <w:r>
        <w:rPr/>
        <w:t>guidelines</w:t>
      </w:r>
      <w:r>
        <w:rPr>
          <w:spacing w:val="-12"/>
        </w:rPr>
        <w:t> </w:t>
      </w:r>
      <w:r>
        <w:rPr/>
        <w:t>or</w:t>
      </w:r>
      <w:r>
        <w:rPr>
          <w:spacing w:val="-11"/>
        </w:rPr>
        <w:t> </w:t>
      </w:r>
      <w:r>
        <w:rPr/>
        <w:t>factsheets</w:t>
      </w:r>
      <w:r>
        <w:rPr>
          <w:spacing w:val="-11"/>
        </w:rPr>
        <w:t> </w:t>
      </w:r>
      <w:r>
        <w:rPr/>
        <w:t>(n=18,</w:t>
      </w:r>
      <w:r>
        <w:rPr>
          <w:spacing w:val="-11"/>
        </w:rPr>
        <w:t> </w:t>
      </w:r>
      <w:r>
        <w:rPr/>
        <w:t>72%),</w:t>
      </w:r>
      <w:r>
        <w:rPr>
          <w:spacing w:val="-11"/>
        </w:rPr>
        <w:t> </w:t>
      </w:r>
      <w:r>
        <w:rPr/>
        <w:t>articles</w:t>
      </w:r>
      <w:r>
        <w:rPr>
          <w:spacing w:val="-12"/>
        </w:rPr>
        <w:t> </w:t>
      </w:r>
      <w:r>
        <w:rPr/>
        <w:t>(n=2,</w:t>
      </w:r>
      <w:r>
        <w:rPr>
          <w:spacing w:val="-11"/>
        </w:rPr>
        <w:t> </w:t>
      </w:r>
      <w:r>
        <w:rPr/>
        <w:t>8%),</w:t>
      </w:r>
      <w:r>
        <w:rPr>
          <w:spacing w:val="-11"/>
        </w:rPr>
        <w:t> </w:t>
      </w:r>
      <w:r>
        <w:rPr/>
        <w:t>information on a website (n=1, 4%), a webinar, video, or podcast (n=2, 8%), or a training package (n=2, 8%). Of the written guidelines or factsheets, the length of materials ranged from 1 to 76 and only half were 2 pages or less</w:t>
      </w:r>
      <w:r>
        <w:rPr>
          <w:spacing w:val="-13"/>
        </w:rPr>
        <w:t> </w:t>
      </w:r>
      <w:r>
        <w:rPr/>
        <w:t>(n=9).</w:t>
      </w:r>
    </w:p>
    <w:p>
      <w:pPr>
        <w:pStyle w:val="BodyText"/>
        <w:spacing w:before="11"/>
        <w:rPr>
          <w:sz w:val="23"/>
        </w:rPr>
      </w:pPr>
    </w:p>
    <w:p>
      <w:pPr>
        <w:pStyle w:val="BodyText"/>
        <w:spacing w:before="1"/>
        <w:ind w:left="100" w:right="117"/>
        <w:jc w:val="both"/>
      </w:pPr>
      <w:r>
        <w:rPr/>
        <w:t>The</w:t>
      </w:r>
      <w:r>
        <w:rPr>
          <w:spacing w:val="-9"/>
        </w:rPr>
        <w:t> </w:t>
      </w:r>
      <w:r>
        <w:rPr/>
        <w:t>five</w:t>
      </w:r>
      <w:r>
        <w:rPr>
          <w:spacing w:val="-9"/>
        </w:rPr>
        <w:t> </w:t>
      </w:r>
      <w:r>
        <w:rPr/>
        <w:t>main</w:t>
      </w:r>
      <w:r>
        <w:rPr>
          <w:spacing w:val="-10"/>
        </w:rPr>
        <w:t> </w:t>
      </w:r>
      <w:r>
        <w:rPr/>
        <w:t>content</w:t>
      </w:r>
      <w:r>
        <w:rPr>
          <w:spacing w:val="-10"/>
        </w:rPr>
        <w:t> </w:t>
      </w:r>
      <w:r>
        <w:rPr/>
        <w:t>areas</w:t>
      </w:r>
      <w:r>
        <w:rPr>
          <w:spacing w:val="-10"/>
        </w:rPr>
        <w:t> </w:t>
      </w:r>
      <w:r>
        <w:rPr/>
        <w:t>covered</w:t>
      </w:r>
      <w:r>
        <w:rPr>
          <w:spacing w:val="-11"/>
        </w:rPr>
        <w:t> </w:t>
      </w:r>
      <w:r>
        <w:rPr/>
        <w:t>by</w:t>
      </w:r>
      <w:r>
        <w:rPr>
          <w:spacing w:val="-9"/>
        </w:rPr>
        <w:t> </w:t>
      </w:r>
      <w:r>
        <w:rPr/>
        <w:t>pharmacist</w:t>
      </w:r>
      <w:r>
        <w:rPr>
          <w:spacing w:val="-10"/>
        </w:rPr>
        <w:t> </w:t>
      </w:r>
      <w:r>
        <w:rPr/>
        <w:t>training</w:t>
      </w:r>
      <w:r>
        <w:rPr>
          <w:spacing w:val="-10"/>
        </w:rPr>
        <w:t> </w:t>
      </w:r>
      <w:r>
        <w:rPr/>
        <w:t>materials</w:t>
      </w:r>
      <w:r>
        <w:rPr>
          <w:spacing w:val="-11"/>
        </w:rPr>
        <w:t> </w:t>
      </w:r>
      <w:r>
        <w:rPr/>
        <w:t>included</w:t>
      </w:r>
      <w:r>
        <w:rPr>
          <w:spacing w:val="-10"/>
        </w:rPr>
        <w:t> </w:t>
      </w:r>
      <w:r>
        <w:rPr/>
        <w:t>risk</w:t>
      </w:r>
      <w:r>
        <w:rPr>
          <w:spacing w:val="-10"/>
        </w:rPr>
        <w:t> </w:t>
      </w:r>
      <w:r>
        <w:rPr/>
        <w:t>factors</w:t>
      </w:r>
      <w:r>
        <w:rPr>
          <w:spacing w:val="-10"/>
        </w:rPr>
        <w:t> </w:t>
      </w:r>
      <w:r>
        <w:rPr/>
        <w:t>for opioid overdose (80%), common signs of opioid overdose (72%), naloxone formulations and administration</w:t>
      </w:r>
      <w:r>
        <w:rPr>
          <w:spacing w:val="-12"/>
        </w:rPr>
        <w:t> </w:t>
      </w:r>
      <w:r>
        <w:rPr/>
        <w:t>(64%),</w:t>
      </w:r>
      <w:r>
        <w:rPr>
          <w:spacing w:val="-12"/>
        </w:rPr>
        <w:t> </w:t>
      </w:r>
      <w:r>
        <w:rPr/>
        <w:t>having</w:t>
      </w:r>
      <w:r>
        <w:rPr>
          <w:spacing w:val="-12"/>
        </w:rPr>
        <w:t> </w:t>
      </w:r>
      <w:r>
        <w:rPr/>
        <w:t>a</w:t>
      </w:r>
      <w:r>
        <w:rPr>
          <w:spacing w:val="-12"/>
        </w:rPr>
        <w:t> </w:t>
      </w:r>
      <w:r>
        <w:rPr/>
        <w:t>conversation</w:t>
      </w:r>
      <w:r>
        <w:rPr>
          <w:spacing w:val="-12"/>
        </w:rPr>
        <w:t> </w:t>
      </w:r>
      <w:r>
        <w:rPr/>
        <w:t>about</w:t>
      </w:r>
      <w:r>
        <w:rPr>
          <w:spacing w:val="-12"/>
        </w:rPr>
        <w:t> </w:t>
      </w:r>
      <w:r>
        <w:rPr/>
        <w:t>overdose</w:t>
      </w:r>
      <w:r>
        <w:rPr>
          <w:spacing w:val="-11"/>
        </w:rPr>
        <w:t> </w:t>
      </w:r>
      <w:r>
        <w:rPr/>
        <w:t>prevention/naloxone</w:t>
      </w:r>
      <w:r>
        <w:rPr>
          <w:spacing w:val="-11"/>
        </w:rPr>
        <w:t> </w:t>
      </w:r>
      <w:r>
        <w:rPr/>
        <w:t>(72%),</w:t>
      </w:r>
      <w:r>
        <w:rPr>
          <w:spacing w:val="-12"/>
        </w:rPr>
        <w:t> </w:t>
      </w:r>
      <w:r>
        <w:rPr/>
        <w:t>and appropriate language (72%). Only seven tools incorporated all five of these areas, in documents</w:t>
      </w:r>
      <w:r>
        <w:rPr>
          <w:spacing w:val="-16"/>
        </w:rPr>
        <w:t> </w:t>
      </w:r>
      <w:r>
        <w:rPr/>
        <w:t>which</w:t>
      </w:r>
      <w:r>
        <w:rPr>
          <w:spacing w:val="-16"/>
        </w:rPr>
        <w:t> </w:t>
      </w:r>
      <w:r>
        <w:rPr/>
        <w:t>ranged</w:t>
      </w:r>
      <w:r>
        <w:rPr>
          <w:spacing w:val="-16"/>
        </w:rPr>
        <w:t> </w:t>
      </w:r>
      <w:r>
        <w:rPr/>
        <w:t>from</w:t>
      </w:r>
      <w:r>
        <w:rPr>
          <w:spacing w:val="-16"/>
        </w:rPr>
        <w:t> </w:t>
      </w:r>
      <w:r>
        <w:rPr/>
        <w:t>3</w:t>
      </w:r>
      <w:r>
        <w:rPr>
          <w:spacing w:val="-16"/>
        </w:rPr>
        <w:t> </w:t>
      </w:r>
      <w:r>
        <w:rPr/>
        <w:t>–</w:t>
      </w:r>
      <w:r>
        <w:rPr>
          <w:spacing w:val="-15"/>
        </w:rPr>
        <w:t> </w:t>
      </w:r>
      <w:r>
        <w:rPr/>
        <w:t>58</w:t>
      </w:r>
      <w:r>
        <w:rPr>
          <w:spacing w:val="-16"/>
        </w:rPr>
        <w:t> </w:t>
      </w:r>
      <w:r>
        <w:rPr/>
        <w:t>pages.</w:t>
      </w:r>
      <w:r>
        <w:rPr>
          <w:spacing w:val="-17"/>
        </w:rPr>
        <w:t> </w:t>
      </w:r>
      <w:r>
        <w:rPr/>
        <w:t>This</w:t>
      </w:r>
      <w:r>
        <w:rPr>
          <w:spacing w:val="-15"/>
        </w:rPr>
        <w:t> </w:t>
      </w:r>
      <w:r>
        <w:rPr/>
        <w:t>indicates</w:t>
      </w:r>
      <w:r>
        <w:rPr>
          <w:spacing w:val="-16"/>
        </w:rPr>
        <w:t> </w:t>
      </w:r>
      <w:r>
        <w:rPr/>
        <w:t>a</w:t>
      </w:r>
      <w:r>
        <w:rPr>
          <w:spacing w:val="-17"/>
        </w:rPr>
        <w:t> </w:t>
      </w:r>
      <w:r>
        <w:rPr/>
        <w:t>need</w:t>
      </w:r>
      <w:r>
        <w:rPr>
          <w:spacing w:val="-16"/>
        </w:rPr>
        <w:t> </w:t>
      </w:r>
      <w:r>
        <w:rPr/>
        <w:t>to</w:t>
      </w:r>
      <w:r>
        <w:rPr>
          <w:spacing w:val="-17"/>
        </w:rPr>
        <w:t> </w:t>
      </w:r>
      <w:r>
        <w:rPr/>
        <w:t>a</w:t>
      </w:r>
      <w:r>
        <w:rPr>
          <w:spacing w:val="-16"/>
        </w:rPr>
        <w:t> </w:t>
      </w:r>
      <w:r>
        <w:rPr/>
        <w:t>develop</w:t>
      </w:r>
      <w:r>
        <w:rPr>
          <w:spacing w:val="-16"/>
        </w:rPr>
        <w:t> </w:t>
      </w:r>
      <w:r>
        <w:rPr/>
        <w:t>comprehensive (albeit brief) pharmacist training</w:t>
      </w:r>
      <w:r>
        <w:rPr>
          <w:spacing w:val="-19"/>
        </w:rPr>
        <w:t> </w:t>
      </w:r>
      <w:r>
        <w:rPr/>
        <w:t>materials.</w:t>
      </w:r>
    </w:p>
    <w:p>
      <w:pPr>
        <w:pStyle w:val="BodyText"/>
        <w:spacing w:before="11"/>
        <w:rPr>
          <w:sz w:val="23"/>
        </w:rPr>
      </w:pPr>
    </w:p>
    <w:p>
      <w:pPr>
        <w:pStyle w:val="BodyText"/>
        <w:spacing w:before="1"/>
        <w:ind w:left="100" w:right="117"/>
        <w:jc w:val="both"/>
      </w:pPr>
      <w:r>
        <w:rPr/>
        <w:t>Of the six Australian tools, one was developed in Victoria, one in New South Wales, one in South Australia, and the other three were not state- or territory-specific (see Table 1). While these tools were more relevant to the Australian context, only one of those specifically focused on people prescribed opioids for chronic pain, while the others focused on opioid overdose in general. Of the six Australian materials, three were behind a paywall (including the only ‘prescribed opioid’-focused material).</w:t>
      </w:r>
    </w:p>
    <w:p>
      <w:pPr>
        <w:pStyle w:val="BodyText"/>
        <w:spacing w:before="11"/>
        <w:rPr>
          <w:sz w:val="23"/>
        </w:rPr>
      </w:pPr>
    </w:p>
    <w:p>
      <w:pPr>
        <w:pStyle w:val="BodyText"/>
        <w:spacing w:before="1"/>
        <w:ind w:left="100" w:right="116"/>
        <w:jc w:val="both"/>
      </w:pPr>
      <w:r>
        <w:rPr/>
        <w:t>This review demonstrated that there is a lack of free-to-access Australian training materials tailored to the needs of people prescribed opioids for chronic pain.</w:t>
      </w:r>
    </w:p>
    <w:p>
      <w:pPr>
        <w:spacing w:after="0"/>
        <w:jc w:val="both"/>
        <w:sectPr>
          <w:pgSz w:w="11910" w:h="16840"/>
          <w:pgMar w:header="0" w:footer="1297" w:top="1580" w:bottom="1520" w:left="1340" w:right="1320"/>
        </w:sectPr>
      </w:pPr>
    </w:p>
    <w:p>
      <w:pPr>
        <w:spacing w:before="38"/>
        <w:ind w:left="100" w:right="0" w:firstLine="0"/>
        <w:jc w:val="both"/>
        <w:rPr>
          <w:i/>
          <w:sz w:val="22"/>
        </w:rPr>
      </w:pPr>
      <w:r>
        <w:rPr>
          <w:i/>
          <w:sz w:val="22"/>
        </w:rPr>
        <w:t>Table 1. Summary of Australian pharmacist training materials</w:t>
      </w:r>
    </w:p>
    <w:p>
      <w:pPr>
        <w:pStyle w:val="BodyText"/>
        <w:spacing w:before="12"/>
        <w:rPr>
          <w:i/>
          <w:sz w:val="21"/>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40"/>
        <w:gridCol w:w="1097"/>
        <w:gridCol w:w="1254"/>
        <w:gridCol w:w="804"/>
        <w:gridCol w:w="1327"/>
        <w:gridCol w:w="1604"/>
      </w:tblGrid>
      <w:tr>
        <w:trPr>
          <w:trHeight w:val="467" w:hRule="exact"/>
        </w:trPr>
        <w:tc>
          <w:tcPr>
            <w:tcW w:w="2940" w:type="dxa"/>
            <w:tcBorders>
              <w:top w:val="single" w:sz="4" w:space="0" w:color="8063A1"/>
              <w:bottom w:val="single" w:sz="4" w:space="0" w:color="8063A1"/>
            </w:tcBorders>
          </w:tcPr>
          <w:p>
            <w:pPr>
              <w:pStyle w:val="TableParagraph"/>
              <w:spacing w:before="106"/>
              <w:ind w:left="1097" w:right="1090"/>
              <w:jc w:val="center"/>
              <w:rPr>
                <w:b/>
                <w:sz w:val="20"/>
              </w:rPr>
            </w:pPr>
            <w:r>
              <w:rPr>
                <w:b/>
                <w:sz w:val="20"/>
              </w:rPr>
              <w:t>Material</w:t>
            </w:r>
          </w:p>
        </w:tc>
        <w:tc>
          <w:tcPr>
            <w:tcW w:w="1097" w:type="dxa"/>
            <w:tcBorders>
              <w:top w:val="single" w:sz="4" w:space="0" w:color="8063A1"/>
              <w:bottom w:val="single" w:sz="4" w:space="0" w:color="8063A1"/>
            </w:tcBorders>
          </w:tcPr>
          <w:p>
            <w:pPr>
              <w:pStyle w:val="TableParagraph"/>
              <w:spacing w:before="106"/>
              <w:ind w:left="274"/>
              <w:rPr>
                <w:b/>
                <w:sz w:val="20"/>
              </w:rPr>
            </w:pPr>
            <w:r>
              <w:rPr>
                <w:b/>
                <w:sz w:val="20"/>
              </w:rPr>
              <w:t>Format</w:t>
            </w:r>
          </w:p>
        </w:tc>
        <w:tc>
          <w:tcPr>
            <w:tcW w:w="1254" w:type="dxa"/>
            <w:tcBorders>
              <w:top w:val="single" w:sz="4" w:space="0" w:color="8063A1"/>
              <w:bottom w:val="single" w:sz="4" w:space="0" w:color="8063A1"/>
            </w:tcBorders>
          </w:tcPr>
          <w:p>
            <w:pPr>
              <w:pStyle w:val="TableParagraph"/>
              <w:spacing w:before="106"/>
              <w:ind w:left="406"/>
              <w:rPr>
                <w:b/>
                <w:sz w:val="20"/>
              </w:rPr>
            </w:pPr>
            <w:r>
              <w:rPr>
                <w:b/>
                <w:sz w:val="20"/>
              </w:rPr>
              <w:t>Access</w:t>
            </w:r>
          </w:p>
        </w:tc>
        <w:tc>
          <w:tcPr>
            <w:tcW w:w="804" w:type="dxa"/>
            <w:tcBorders>
              <w:top w:val="single" w:sz="4" w:space="0" w:color="8063A1"/>
              <w:bottom w:val="single" w:sz="4" w:space="0" w:color="8063A1"/>
            </w:tcBorders>
          </w:tcPr>
          <w:p>
            <w:pPr>
              <w:pStyle w:val="TableParagraph"/>
              <w:spacing w:before="106"/>
              <w:ind w:left="200"/>
              <w:rPr>
                <w:b/>
                <w:sz w:val="20"/>
              </w:rPr>
            </w:pPr>
            <w:r>
              <w:rPr>
                <w:b/>
                <w:sz w:val="20"/>
              </w:rPr>
              <w:t>Pages</w:t>
            </w:r>
          </w:p>
        </w:tc>
        <w:tc>
          <w:tcPr>
            <w:tcW w:w="1327" w:type="dxa"/>
            <w:tcBorders>
              <w:top w:val="single" w:sz="4" w:space="0" w:color="8063A1"/>
              <w:bottom w:val="single" w:sz="4" w:space="0" w:color="8063A1"/>
            </w:tcBorders>
          </w:tcPr>
          <w:p>
            <w:pPr>
              <w:pStyle w:val="TableParagraph"/>
              <w:spacing w:before="106"/>
              <w:ind w:left="481"/>
              <w:rPr>
                <w:b/>
                <w:sz w:val="20"/>
              </w:rPr>
            </w:pPr>
            <w:r>
              <w:rPr>
                <w:b/>
                <w:sz w:val="20"/>
              </w:rPr>
              <w:t>Focus</w:t>
            </w:r>
          </w:p>
        </w:tc>
        <w:tc>
          <w:tcPr>
            <w:tcW w:w="1604" w:type="dxa"/>
            <w:tcBorders>
              <w:top w:val="single" w:sz="4" w:space="0" w:color="8063A1"/>
              <w:bottom w:val="single" w:sz="4" w:space="0" w:color="8063A1"/>
            </w:tcBorders>
          </w:tcPr>
          <w:p>
            <w:pPr>
              <w:pStyle w:val="TableParagraph"/>
              <w:spacing w:before="106"/>
              <w:ind w:left="217"/>
              <w:rPr>
                <w:b/>
                <w:sz w:val="20"/>
              </w:rPr>
            </w:pPr>
            <w:r>
              <w:rPr>
                <w:b/>
                <w:sz w:val="20"/>
              </w:rPr>
              <w:t>Content areas*</w:t>
            </w:r>
          </w:p>
        </w:tc>
      </w:tr>
      <w:tr>
        <w:trPr>
          <w:trHeight w:val="941" w:hRule="exact"/>
        </w:trPr>
        <w:tc>
          <w:tcPr>
            <w:tcW w:w="2940" w:type="dxa"/>
            <w:tcBorders>
              <w:top w:val="single" w:sz="4" w:space="0" w:color="8063A1"/>
            </w:tcBorders>
            <w:shd w:val="clear" w:color="auto" w:fill="E4DFEB"/>
          </w:tcPr>
          <w:p>
            <w:pPr>
              <w:pStyle w:val="TableParagraph"/>
              <w:spacing w:before="2"/>
              <w:ind w:left="0"/>
              <w:rPr>
                <w:i/>
                <w:sz w:val="28"/>
              </w:rPr>
            </w:pPr>
          </w:p>
          <w:p>
            <w:pPr>
              <w:pStyle w:val="TableParagraph"/>
              <w:spacing w:before="1"/>
              <w:ind w:left="108"/>
              <w:rPr>
                <w:sz w:val="20"/>
              </w:rPr>
            </w:pPr>
            <w:r>
              <w:rPr>
                <w:sz w:val="20"/>
              </w:rPr>
              <w:t>Clinical tips: Naloxone [3]</w:t>
            </w:r>
          </w:p>
        </w:tc>
        <w:tc>
          <w:tcPr>
            <w:tcW w:w="1097" w:type="dxa"/>
            <w:tcBorders>
              <w:top w:val="single" w:sz="4" w:space="0" w:color="8063A1"/>
            </w:tcBorders>
            <w:shd w:val="clear" w:color="auto" w:fill="E4DFEB"/>
          </w:tcPr>
          <w:p>
            <w:pPr>
              <w:pStyle w:val="TableParagraph"/>
              <w:spacing w:before="2"/>
              <w:ind w:left="0"/>
              <w:rPr>
                <w:i/>
                <w:sz w:val="28"/>
              </w:rPr>
            </w:pPr>
          </w:p>
          <w:p>
            <w:pPr>
              <w:pStyle w:val="TableParagraph"/>
              <w:spacing w:before="1"/>
              <w:ind w:left="115"/>
              <w:rPr>
                <w:sz w:val="20"/>
              </w:rPr>
            </w:pPr>
            <w:r>
              <w:rPr>
                <w:sz w:val="20"/>
              </w:rPr>
              <w:t>Article</w:t>
            </w:r>
          </w:p>
        </w:tc>
        <w:tc>
          <w:tcPr>
            <w:tcW w:w="1254" w:type="dxa"/>
            <w:tcBorders>
              <w:top w:val="single" w:sz="4" w:space="0" w:color="8063A1"/>
            </w:tcBorders>
            <w:shd w:val="clear" w:color="auto" w:fill="E4DFEB"/>
          </w:tcPr>
          <w:p>
            <w:pPr>
              <w:pStyle w:val="TableParagraph"/>
              <w:spacing w:before="2"/>
              <w:ind w:left="0"/>
              <w:rPr>
                <w:i/>
                <w:sz w:val="28"/>
              </w:rPr>
            </w:pPr>
          </w:p>
          <w:p>
            <w:pPr>
              <w:pStyle w:val="TableParagraph"/>
              <w:spacing w:before="1"/>
              <w:ind w:left="154"/>
              <w:rPr>
                <w:sz w:val="20"/>
              </w:rPr>
            </w:pPr>
            <w:r>
              <w:rPr>
                <w:sz w:val="20"/>
              </w:rPr>
              <w:t>Paywall</w:t>
            </w:r>
          </w:p>
        </w:tc>
        <w:tc>
          <w:tcPr>
            <w:tcW w:w="804" w:type="dxa"/>
            <w:tcBorders>
              <w:top w:val="single" w:sz="4" w:space="0" w:color="8063A1"/>
            </w:tcBorders>
            <w:shd w:val="clear" w:color="auto" w:fill="E4DFEB"/>
          </w:tcPr>
          <w:p>
            <w:pPr>
              <w:pStyle w:val="TableParagraph"/>
              <w:spacing w:before="2"/>
              <w:ind w:left="0"/>
              <w:rPr>
                <w:i/>
                <w:sz w:val="28"/>
              </w:rPr>
            </w:pPr>
          </w:p>
          <w:p>
            <w:pPr>
              <w:pStyle w:val="TableParagraph"/>
              <w:spacing w:before="1"/>
              <w:ind w:left="171"/>
              <w:rPr>
                <w:sz w:val="20"/>
              </w:rPr>
            </w:pPr>
            <w:r>
              <w:rPr>
                <w:w w:val="100"/>
                <w:sz w:val="20"/>
              </w:rPr>
              <w:t>2</w:t>
            </w:r>
          </w:p>
        </w:tc>
        <w:tc>
          <w:tcPr>
            <w:tcW w:w="1327" w:type="dxa"/>
            <w:tcBorders>
              <w:top w:val="single" w:sz="4" w:space="0" w:color="8063A1"/>
            </w:tcBorders>
            <w:shd w:val="clear" w:color="auto" w:fill="E4DFEB"/>
          </w:tcPr>
          <w:p>
            <w:pPr>
              <w:pStyle w:val="TableParagraph"/>
              <w:spacing w:before="101"/>
              <w:ind w:left="122" w:right="188"/>
              <w:rPr>
                <w:sz w:val="20"/>
              </w:rPr>
            </w:pPr>
            <w:r>
              <w:rPr>
                <w:sz w:val="20"/>
              </w:rPr>
              <w:t>Prescribed opioids for chronic pain</w:t>
            </w:r>
          </w:p>
        </w:tc>
        <w:tc>
          <w:tcPr>
            <w:tcW w:w="1604" w:type="dxa"/>
            <w:tcBorders>
              <w:top w:val="single" w:sz="4" w:space="0" w:color="8063A1"/>
            </w:tcBorders>
            <w:shd w:val="clear" w:color="auto" w:fill="E4DFEB"/>
          </w:tcPr>
          <w:p>
            <w:pPr>
              <w:pStyle w:val="TableParagraph"/>
              <w:spacing w:before="2"/>
              <w:ind w:left="0"/>
              <w:rPr>
                <w:i/>
                <w:sz w:val="28"/>
              </w:rPr>
            </w:pPr>
          </w:p>
          <w:p>
            <w:pPr>
              <w:pStyle w:val="TableParagraph"/>
              <w:spacing w:before="1"/>
              <w:ind w:left="199"/>
              <w:rPr>
                <w:sz w:val="20"/>
              </w:rPr>
            </w:pPr>
            <w:r>
              <w:rPr>
                <w:sz w:val="20"/>
              </w:rPr>
              <w:t>1, 3, 5</w:t>
            </w:r>
          </w:p>
        </w:tc>
      </w:tr>
      <w:tr>
        <w:trPr>
          <w:trHeight w:val="732" w:hRule="exact"/>
        </w:trPr>
        <w:tc>
          <w:tcPr>
            <w:tcW w:w="2940" w:type="dxa"/>
          </w:tcPr>
          <w:p>
            <w:pPr>
              <w:pStyle w:val="TableParagraph"/>
              <w:ind w:left="108" w:right="102"/>
              <w:rPr>
                <w:sz w:val="20"/>
              </w:rPr>
            </w:pPr>
            <w:r>
              <w:rPr>
                <w:sz w:val="20"/>
              </w:rPr>
              <w:t>Recognising and managing opioid overdose in the community: A key role for pharmacists [4]</w:t>
            </w:r>
          </w:p>
        </w:tc>
        <w:tc>
          <w:tcPr>
            <w:tcW w:w="1097" w:type="dxa"/>
          </w:tcPr>
          <w:p>
            <w:pPr>
              <w:pStyle w:val="TableParagraph"/>
              <w:spacing w:before="10"/>
              <w:ind w:left="0"/>
              <w:rPr>
                <w:i/>
                <w:sz w:val="19"/>
              </w:rPr>
            </w:pPr>
          </w:p>
          <w:p>
            <w:pPr>
              <w:pStyle w:val="TableParagraph"/>
              <w:spacing w:before="1"/>
              <w:ind w:left="115"/>
              <w:rPr>
                <w:sz w:val="20"/>
              </w:rPr>
            </w:pPr>
            <w:r>
              <w:rPr>
                <w:sz w:val="20"/>
              </w:rPr>
              <w:t>Article</w:t>
            </w:r>
          </w:p>
        </w:tc>
        <w:tc>
          <w:tcPr>
            <w:tcW w:w="1254" w:type="dxa"/>
          </w:tcPr>
          <w:p>
            <w:pPr>
              <w:pStyle w:val="TableParagraph"/>
              <w:spacing w:before="10"/>
              <w:ind w:left="0"/>
              <w:rPr>
                <w:i/>
                <w:sz w:val="19"/>
              </w:rPr>
            </w:pPr>
          </w:p>
          <w:p>
            <w:pPr>
              <w:pStyle w:val="TableParagraph"/>
              <w:spacing w:before="1"/>
              <w:ind w:left="154"/>
              <w:rPr>
                <w:sz w:val="20"/>
              </w:rPr>
            </w:pPr>
            <w:r>
              <w:rPr>
                <w:sz w:val="20"/>
              </w:rPr>
              <w:t>Paywall</w:t>
            </w:r>
          </w:p>
        </w:tc>
        <w:tc>
          <w:tcPr>
            <w:tcW w:w="804" w:type="dxa"/>
          </w:tcPr>
          <w:p>
            <w:pPr>
              <w:pStyle w:val="TableParagraph"/>
              <w:spacing w:before="10"/>
              <w:ind w:left="0"/>
              <w:rPr>
                <w:i/>
                <w:sz w:val="19"/>
              </w:rPr>
            </w:pPr>
          </w:p>
          <w:p>
            <w:pPr>
              <w:pStyle w:val="TableParagraph"/>
              <w:spacing w:before="1"/>
              <w:ind w:left="171"/>
              <w:rPr>
                <w:sz w:val="20"/>
              </w:rPr>
            </w:pPr>
            <w:r>
              <w:rPr>
                <w:w w:val="100"/>
                <w:sz w:val="20"/>
              </w:rPr>
              <w:t>2</w:t>
            </w:r>
          </w:p>
        </w:tc>
        <w:tc>
          <w:tcPr>
            <w:tcW w:w="1327" w:type="dxa"/>
          </w:tcPr>
          <w:p>
            <w:pPr>
              <w:pStyle w:val="TableParagraph"/>
              <w:spacing w:before="10"/>
              <w:ind w:left="0"/>
              <w:rPr>
                <w:i/>
                <w:sz w:val="19"/>
              </w:rPr>
            </w:pPr>
          </w:p>
          <w:p>
            <w:pPr>
              <w:pStyle w:val="TableParagraph"/>
              <w:spacing w:before="1"/>
              <w:ind w:left="122"/>
              <w:rPr>
                <w:sz w:val="20"/>
              </w:rPr>
            </w:pPr>
            <w:r>
              <w:rPr>
                <w:sz w:val="20"/>
              </w:rPr>
              <w:t>Non-specific</w:t>
            </w:r>
          </w:p>
        </w:tc>
        <w:tc>
          <w:tcPr>
            <w:tcW w:w="1604" w:type="dxa"/>
          </w:tcPr>
          <w:p>
            <w:pPr>
              <w:pStyle w:val="TableParagraph"/>
              <w:spacing w:before="10"/>
              <w:ind w:left="0"/>
              <w:rPr>
                <w:i/>
                <w:sz w:val="19"/>
              </w:rPr>
            </w:pPr>
          </w:p>
          <w:p>
            <w:pPr>
              <w:pStyle w:val="TableParagraph"/>
              <w:spacing w:before="1"/>
              <w:ind w:left="199"/>
              <w:rPr>
                <w:sz w:val="20"/>
              </w:rPr>
            </w:pPr>
            <w:r>
              <w:rPr>
                <w:sz w:val="20"/>
              </w:rPr>
              <w:t>1, 2, 3, 4, 5</w:t>
            </w:r>
          </w:p>
        </w:tc>
      </w:tr>
      <w:tr>
        <w:trPr>
          <w:trHeight w:val="748" w:hRule="exact"/>
        </w:trPr>
        <w:tc>
          <w:tcPr>
            <w:tcW w:w="2940" w:type="dxa"/>
            <w:shd w:val="clear" w:color="auto" w:fill="E4DFEB"/>
          </w:tcPr>
          <w:p>
            <w:pPr>
              <w:pStyle w:val="TableParagraph"/>
              <w:spacing w:before="128"/>
              <w:ind w:left="108" w:right="428"/>
              <w:rPr>
                <w:sz w:val="20"/>
              </w:rPr>
            </w:pPr>
            <w:r>
              <w:rPr>
                <w:sz w:val="20"/>
              </w:rPr>
              <w:t>Guidance for provision of Pharmacist Only medicine [5]</w:t>
            </w:r>
          </w:p>
        </w:tc>
        <w:tc>
          <w:tcPr>
            <w:tcW w:w="1097" w:type="dxa"/>
            <w:shd w:val="clear" w:color="auto" w:fill="E4DFEB"/>
          </w:tcPr>
          <w:p>
            <w:pPr>
              <w:pStyle w:val="TableParagraph"/>
              <w:spacing w:before="128"/>
              <w:ind w:left="115" w:right="137"/>
              <w:rPr>
                <w:sz w:val="20"/>
              </w:rPr>
            </w:pPr>
            <w:r>
              <w:rPr>
                <w:sz w:val="20"/>
              </w:rPr>
              <w:t>Written guidelines</w:t>
            </w:r>
          </w:p>
        </w:tc>
        <w:tc>
          <w:tcPr>
            <w:tcW w:w="1254" w:type="dxa"/>
            <w:shd w:val="clear" w:color="auto" w:fill="E4DFEB"/>
          </w:tcPr>
          <w:p>
            <w:pPr>
              <w:pStyle w:val="TableParagraph"/>
              <w:spacing w:before="7"/>
              <w:ind w:left="0"/>
              <w:rPr>
                <w:i/>
                <w:sz w:val="20"/>
              </w:rPr>
            </w:pPr>
          </w:p>
          <w:p>
            <w:pPr>
              <w:pStyle w:val="TableParagraph"/>
              <w:ind w:left="154"/>
              <w:rPr>
                <w:sz w:val="20"/>
              </w:rPr>
            </w:pPr>
            <w:r>
              <w:rPr>
                <w:sz w:val="20"/>
              </w:rPr>
              <w:t>Paywall</w:t>
            </w:r>
          </w:p>
        </w:tc>
        <w:tc>
          <w:tcPr>
            <w:tcW w:w="804" w:type="dxa"/>
            <w:shd w:val="clear" w:color="auto" w:fill="E4DFEB"/>
          </w:tcPr>
          <w:p>
            <w:pPr>
              <w:pStyle w:val="TableParagraph"/>
              <w:spacing w:before="7"/>
              <w:ind w:left="0"/>
              <w:rPr>
                <w:i/>
                <w:sz w:val="20"/>
              </w:rPr>
            </w:pPr>
          </w:p>
          <w:p>
            <w:pPr>
              <w:pStyle w:val="TableParagraph"/>
              <w:ind w:left="171"/>
              <w:rPr>
                <w:sz w:val="20"/>
              </w:rPr>
            </w:pPr>
            <w:r>
              <w:rPr>
                <w:w w:val="100"/>
                <w:sz w:val="20"/>
              </w:rPr>
              <w:t>3</w:t>
            </w:r>
          </w:p>
        </w:tc>
        <w:tc>
          <w:tcPr>
            <w:tcW w:w="1327" w:type="dxa"/>
            <w:shd w:val="clear" w:color="auto" w:fill="E4DFEB"/>
          </w:tcPr>
          <w:p>
            <w:pPr>
              <w:pStyle w:val="TableParagraph"/>
              <w:spacing w:before="7"/>
              <w:ind w:left="0"/>
              <w:rPr>
                <w:i/>
                <w:sz w:val="20"/>
              </w:rPr>
            </w:pPr>
          </w:p>
          <w:p>
            <w:pPr>
              <w:pStyle w:val="TableParagraph"/>
              <w:ind w:left="122"/>
              <w:rPr>
                <w:sz w:val="20"/>
              </w:rPr>
            </w:pPr>
            <w:r>
              <w:rPr>
                <w:sz w:val="20"/>
              </w:rPr>
              <w:t>Non-specific</w:t>
            </w:r>
          </w:p>
        </w:tc>
        <w:tc>
          <w:tcPr>
            <w:tcW w:w="1604" w:type="dxa"/>
            <w:shd w:val="clear" w:color="auto" w:fill="E4DFEB"/>
          </w:tcPr>
          <w:p>
            <w:pPr>
              <w:pStyle w:val="TableParagraph"/>
              <w:spacing w:before="7"/>
              <w:ind w:left="0"/>
              <w:rPr>
                <w:i/>
                <w:sz w:val="20"/>
              </w:rPr>
            </w:pPr>
          </w:p>
          <w:p>
            <w:pPr>
              <w:pStyle w:val="TableParagraph"/>
              <w:ind w:left="199"/>
              <w:rPr>
                <w:sz w:val="20"/>
              </w:rPr>
            </w:pPr>
            <w:r>
              <w:rPr>
                <w:sz w:val="20"/>
              </w:rPr>
              <w:t>1, 2, 3, 4, 5</w:t>
            </w:r>
          </w:p>
        </w:tc>
      </w:tr>
      <w:tr>
        <w:trPr>
          <w:trHeight w:val="701" w:hRule="exact"/>
        </w:trPr>
        <w:tc>
          <w:tcPr>
            <w:tcW w:w="2940" w:type="dxa"/>
          </w:tcPr>
          <w:p>
            <w:pPr>
              <w:pStyle w:val="TableParagraph"/>
              <w:spacing w:before="106"/>
              <w:ind w:left="108" w:right="107"/>
              <w:rPr>
                <w:sz w:val="20"/>
              </w:rPr>
            </w:pPr>
            <w:r>
              <w:rPr>
                <w:sz w:val="20"/>
              </w:rPr>
              <w:t>Opioid overdose response &amp; take home naloxone policy [6]</w:t>
            </w:r>
          </w:p>
        </w:tc>
        <w:tc>
          <w:tcPr>
            <w:tcW w:w="1097" w:type="dxa"/>
          </w:tcPr>
          <w:p>
            <w:pPr>
              <w:pStyle w:val="TableParagraph"/>
              <w:spacing w:before="106"/>
              <w:ind w:left="115" w:right="137"/>
              <w:rPr>
                <w:sz w:val="20"/>
              </w:rPr>
            </w:pPr>
            <w:r>
              <w:rPr>
                <w:sz w:val="20"/>
              </w:rPr>
              <w:t>Written guidelines</w:t>
            </w:r>
          </w:p>
        </w:tc>
        <w:tc>
          <w:tcPr>
            <w:tcW w:w="1254" w:type="dxa"/>
          </w:tcPr>
          <w:p>
            <w:pPr>
              <w:pStyle w:val="TableParagraph"/>
              <w:spacing w:before="7"/>
              <w:ind w:left="0"/>
              <w:rPr>
                <w:i/>
                <w:sz w:val="18"/>
              </w:rPr>
            </w:pPr>
          </w:p>
          <w:p>
            <w:pPr>
              <w:pStyle w:val="TableParagraph"/>
              <w:ind w:left="154"/>
              <w:rPr>
                <w:sz w:val="20"/>
              </w:rPr>
            </w:pPr>
            <w:r>
              <w:rPr>
                <w:sz w:val="20"/>
              </w:rPr>
              <w:t>Free access</w:t>
            </w:r>
          </w:p>
        </w:tc>
        <w:tc>
          <w:tcPr>
            <w:tcW w:w="804" w:type="dxa"/>
          </w:tcPr>
          <w:p>
            <w:pPr>
              <w:pStyle w:val="TableParagraph"/>
              <w:spacing w:before="7"/>
              <w:ind w:left="0"/>
              <w:rPr>
                <w:i/>
                <w:sz w:val="18"/>
              </w:rPr>
            </w:pPr>
          </w:p>
          <w:p>
            <w:pPr>
              <w:pStyle w:val="TableParagraph"/>
              <w:ind w:left="171"/>
              <w:rPr>
                <w:sz w:val="20"/>
              </w:rPr>
            </w:pPr>
            <w:r>
              <w:rPr>
                <w:sz w:val="20"/>
              </w:rPr>
              <w:t>40</w:t>
            </w:r>
          </w:p>
        </w:tc>
        <w:tc>
          <w:tcPr>
            <w:tcW w:w="1327" w:type="dxa"/>
          </w:tcPr>
          <w:p>
            <w:pPr>
              <w:pStyle w:val="TableParagraph"/>
              <w:spacing w:before="7"/>
              <w:ind w:left="0"/>
              <w:rPr>
                <w:i/>
                <w:sz w:val="18"/>
              </w:rPr>
            </w:pPr>
          </w:p>
          <w:p>
            <w:pPr>
              <w:pStyle w:val="TableParagraph"/>
              <w:ind w:left="122"/>
              <w:rPr>
                <w:sz w:val="20"/>
              </w:rPr>
            </w:pPr>
            <w:r>
              <w:rPr>
                <w:sz w:val="20"/>
              </w:rPr>
              <w:t>Non-specific</w:t>
            </w:r>
          </w:p>
        </w:tc>
        <w:tc>
          <w:tcPr>
            <w:tcW w:w="1604" w:type="dxa"/>
          </w:tcPr>
          <w:p>
            <w:pPr>
              <w:pStyle w:val="TableParagraph"/>
              <w:spacing w:before="7"/>
              <w:ind w:left="0"/>
              <w:rPr>
                <w:i/>
                <w:sz w:val="18"/>
              </w:rPr>
            </w:pPr>
          </w:p>
          <w:p>
            <w:pPr>
              <w:pStyle w:val="TableParagraph"/>
              <w:ind w:left="199"/>
              <w:rPr>
                <w:sz w:val="20"/>
              </w:rPr>
            </w:pPr>
            <w:r>
              <w:rPr>
                <w:sz w:val="20"/>
              </w:rPr>
              <w:t>1, 2, 3, 4, 5</w:t>
            </w:r>
          </w:p>
        </w:tc>
      </w:tr>
      <w:tr>
        <w:trPr>
          <w:trHeight w:val="682" w:hRule="exact"/>
        </w:trPr>
        <w:tc>
          <w:tcPr>
            <w:tcW w:w="2940" w:type="dxa"/>
            <w:shd w:val="clear" w:color="auto" w:fill="E4DFEB"/>
          </w:tcPr>
          <w:p>
            <w:pPr>
              <w:pStyle w:val="TableParagraph"/>
              <w:spacing w:before="96"/>
              <w:ind w:left="108" w:right="787"/>
              <w:rPr>
                <w:sz w:val="20"/>
              </w:rPr>
            </w:pPr>
            <w:r>
              <w:rPr>
                <w:sz w:val="20"/>
              </w:rPr>
              <w:t>Talking to patients about naloxone [7]</w:t>
            </w:r>
          </w:p>
        </w:tc>
        <w:tc>
          <w:tcPr>
            <w:tcW w:w="1097" w:type="dxa"/>
            <w:shd w:val="clear" w:color="auto" w:fill="E4DFEB"/>
          </w:tcPr>
          <w:p>
            <w:pPr>
              <w:pStyle w:val="TableParagraph"/>
              <w:spacing w:before="10"/>
              <w:ind w:left="0"/>
              <w:rPr>
                <w:i/>
                <w:sz w:val="17"/>
              </w:rPr>
            </w:pPr>
          </w:p>
          <w:p>
            <w:pPr>
              <w:pStyle w:val="TableParagraph"/>
              <w:ind w:left="115"/>
              <w:rPr>
                <w:sz w:val="20"/>
              </w:rPr>
            </w:pPr>
            <w:r>
              <w:rPr>
                <w:sz w:val="20"/>
              </w:rPr>
              <w:t>Factsheet</w:t>
            </w:r>
          </w:p>
        </w:tc>
        <w:tc>
          <w:tcPr>
            <w:tcW w:w="1254" w:type="dxa"/>
            <w:shd w:val="clear" w:color="auto" w:fill="E4DFEB"/>
          </w:tcPr>
          <w:p>
            <w:pPr>
              <w:pStyle w:val="TableParagraph"/>
              <w:spacing w:before="10"/>
              <w:ind w:left="0"/>
              <w:rPr>
                <w:i/>
                <w:sz w:val="17"/>
              </w:rPr>
            </w:pPr>
          </w:p>
          <w:p>
            <w:pPr>
              <w:pStyle w:val="TableParagraph"/>
              <w:ind w:left="154"/>
              <w:rPr>
                <w:sz w:val="20"/>
              </w:rPr>
            </w:pPr>
            <w:r>
              <w:rPr>
                <w:sz w:val="20"/>
              </w:rPr>
              <w:t>Free access</w:t>
            </w:r>
          </w:p>
        </w:tc>
        <w:tc>
          <w:tcPr>
            <w:tcW w:w="804" w:type="dxa"/>
            <w:shd w:val="clear" w:color="auto" w:fill="E4DFEB"/>
          </w:tcPr>
          <w:p>
            <w:pPr>
              <w:pStyle w:val="TableParagraph"/>
              <w:spacing w:before="10"/>
              <w:ind w:left="0"/>
              <w:rPr>
                <w:i/>
                <w:sz w:val="17"/>
              </w:rPr>
            </w:pPr>
          </w:p>
          <w:p>
            <w:pPr>
              <w:pStyle w:val="TableParagraph"/>
              <w:ind w:left="171"/>
              <w:rPr>
                <w:sz w:val="20"/>
              </w:rPr>
            </w:pPr>
            <w:r>
              <w:rPr>
                <w:w w:val="100"/>
                <w:sz w:val="20"/>
              </w:rPr>
              <w:t>2</w:t>
            </w:r>
          </w:p>
        </w:tc>
        <w:tc>
          <w:tcPr>
            <w:tcW w:w="1327" w:type="dxa"/>
            <w:shd w:val="clear" w:color="auto" w:fill="E4DFEB"/>
          </w:tcPr>
          <w:p>
            <w:pPr>
              <w:pStyle w:val="TableParagraph"/>
              <w:spacing w:before="10"/>
              <w:ind w:left="0"/>
              <w:rPr>
                <w:i/>
                <w:sz w:val="17"/>
              </w:rPr>
            </w:pPr>
          </w:p>
          <w:p>
            <w:pPr>
              <w:pStyle w:val="TableParagraph"/>
              <w:ind w:left="122"/>
              <w:rPr>
                <w:sz w:val="20"/>
              </w:rPr>
            </w:pPr>
            <w:r>
              <w:rPr>
                <w:sz w:val="20"/>
              </w:rPr>
              <w:t>Non-specific</w:t>
            </w:r>
          </w:p>
        </w:tc>
        <w:tc>
          <w:tcPr>
            <w:tcW w:w="1604" w:type="dxa"/>
            <w:shd w:val="clear" w:color="auto" w:fill="E4DFEB"/>
          </w:tcPr>
          <w:p>
            <w:pPr>
              <w:pStyle w:val="TableParagraph"/>
              <w:spacing w:before="10"/>
              <w:ind w:left="0"/>
              <w:rPr>
                <w:i/>
                <w:sz w:val="17"/>
              </w:rPr>
            </w:pPr>
          </w:p>
          <w:p>
            <w:pPr>
              <w:pStyle w:val="TableParagraph"/>
              <w:ind w:left="199"/>
              <w:rPr>
                <w:sz w:val="20"/>
              </w:rPr>
            </w:pPr>
            <w:r>
              <w:rPr>
                <w:sz w:val="20"/>
              </w:rPr>
              <w:t>4, 5</w:t>
            </w:r>
          </w:p>
        </w:tc>
      </w:tr>
      <w:tr>
        <w:trPr>
          <w:trHeight w:val="728" w:hRule="exact"/>
        </w:trPr>
        <w:tc>
          <w:tcPr>
            <w:tcW w:w="2940" w:type="dxa"/>
          </w:tcPr>
          <w:p>
            <w:pPr>
              <w:pStyle w:val="TableParagraph"/>
              <w:ind w:left="108" w:right="442"/>
              <w:rPr>
                <w:sz w:val="20"/>
              </w:rPr>
            </w:pPr>
            <w:r>
              <w:rPr>
                <w:sz w:val="20"/>
              </w:rPr>
              <w:t>Overdose prevention and response including naloxone:</w:t>
            </w:r>
          </w:p>
          <w:p>
            <w:pPr>
              <w:pStyle w:val="TableParagraph"/>
              <w:tabs>
                <w:tab w:pos="9026" w:val="left" w:leader="none"/>
              </w:tabs>
              <w:spacing w:line="244" w:lineRule="exact" w:before="1"/>
              <w:ind w:left="-15" w:right="-6086"/>
              <w:rPr>
                <w:sz w:val="20"/>
              </w:rPr>
            </w:pPr>
            <w:r>
              <w:rPr>
                <w:w w:val="100"/>
                <w:sz w:val="20"/>
                <w:u w:val="single" w:color="8063A1"/>
              </w:rPr>
              <w:t> </w:t>
            </w:r>
            <w:r>
              <w:rPr>
                <w:sz w:val="20"/>
                <w:u w:val="single" w:color="8063A1"/>
              </w:rPr>
              <w:t> </w:t>
            </w:r>
            <w:r>
              <w:rPr>
                <w:spacing w:val="-14"/>
                <w:sz w:val="20"/>
                <w:u w:val="single" w:color="8063A1"/>
              </w:rPr>
              <w:t> </w:t>
            </w:r>
            <w:r>
              <w:rPr>
                <w:sz w:val="20"/>
                <w:u w:val="single" w:color="8063A1"/>
              </w:rPr>
              <w:t>Brief advice for clients</w:t>
            </w:r>
            <w:r>
              <w:rPr>
                <w:spacing w:val="-10"/>
                <w:sz w:val="20"/>
                <w:u w:val="single" w:color="8063A1"/>
              </w:rPr>
              <w:t> </w:t>
            </w:r>
            <w:r>
              <w:rPr>
                <w:sz w:val="20"/>
                <w:u w:val="single" w:color="8063A1"/>
              </w:rPr>
              <w:t>[8]</w:t>
              <w:tab/>
            </w:r>
          </w:p>
        </w:tc>
        <w:tc>
          <w:tcPr>
            <w:tcW w:w="1097" w:type="dxa"/>
          </w:tcPr>
          <w:p>
            <w:pPr>
              <w:pStyle w:val="TableParagraph"/>
              <w:spacing w:before="121"/>
              <w:ind w:left="115" w:right="137"/>
              <w:rPr>
                <w:sz w:val="20"/>
              </w:rPr>
            </w:pPr>
            <w:r>
              <w:rPr>
                <w:sz w:val="20"/>
              </w:rPr>
              <w:t>Written guidelines</w:t>
            </w:r>
          </w:p>
        </w:tc>
        <w:tc>
          <w:tcPr>
            <w:tcW w:w="1254" w:type="dxa"/>
          </w:tcPr>
          <w:p>
            <w:pPr>
              <w:pStyle w:val="TableParagraph"/>
              <w:spacing w:before="12"/>
              <w:ind w:left="0"/>
              <w:rPr>
                <w:i/>
                <w:sz w:val="19"/>
              </w:rPr>
            </w:pPr>
          </w:p>
          <w:p>
            <w:pPr>
              <w:pStyle w:val="TableParagraph"/>
              <w:ind w:left="154"/>
              <w:rPr>
                <w:sz w:val="20"/>
              </w:rPr>
            </w:pPr>
            <w:r>
              <w:rPr>
                <w:sz w:val="20"/>
              </w:rPr>
              <w:t>Free access</w:t>
            </w:r>
          </w:p>
        </w:tc>
        <w:tc>
          <w:tcPr>
            <w:tcW w:w="804" w:type="dxa"/>
          </w:tcPr>
          <w:p>
            <w:pPr>
              <w:pStyle w:val="TableParagraph"/>
              <w:spacing w:before="12"/>
              <w:ind w:left="0"/>
              <w:rPr>
                <w:i/>
                <w:sz w:val="19"/>
              </w:rPr>
            </w:pPr>
          </w:p>
          <w:p>
            <w:pPr>
              <w:pStyle w:val="TableParagraph"/>
              <w:ind w:left="171"/>
              <w:rPr>
                <w:sz w:val="20"/>
              </w:rPr>
            </w:pPr>
            <w:r>
              <w:rPr>
                <w:w w:val="100"/>
                <w:sz w:val="20"/>
              </w:rPr>
              <w:t>6</w:t>
            </w:r>
          </w:p>
        </w:tc>
        <w:tc>
          <w:tcPr>
            <w:tcW w:w="1327" w:type="dxa"/>
          </w:tcPr>
          <w:p>
            <w:pPr>
              <w:pStyle w:val="TableParagraph"/>
              <w:spacing w:before="12"/>
              <w:ind w:left="0"/>
              <w:rPr>
                <w:i/>
                <w:sz w:val="19"/>
              </w:rPr>
            </w:pPr>
          </w:p>
          <w:p>
            <w:pPr>
              <w:pStyle w:val="TableParagraph"/>
              <w:ind w:left="122"/>
              <w:rPr>
                <w:sz w:val="20"/>
              </w:rPr>
            </w:pPr>
            <w:r>
              <w:rPr>
                <w:sz w:val="20"/>
              </w:rPr>
              <w:t>Non-specific</w:t>
            </w:r>
          </w:p>
        </w:tc>
        <w:tc>
          <w:tcPr>
            <w:tcW w:w="1604" w:type="dxa"/>
          </w:tcPr>
          <w:p>
            <w:pPr>
              <w:pStyle w:val="TableParagraph"/>
              <w:spacing w:before="12"/>
              <w:ind w:left="0"/>
              <w:rPr>
                <w:i/>
                <w:sz w:val="19"/>
              </w:rPr>
            </w:pPr>
          </w:p>
          <w:p>
            <w:pPr>
              <w:pStyle w:val="TableParagraph"/>
              <w:ind w:left="199"/>
              <w:rPr>
                <w:sz w:val="20"/>
              </w:rPr>
            </w:pPr>
            <w:r>
              <w:rPr>
                <w:sz w:val="20"/>
              </w:rPr>
              <w:t>1, 2, 3, 4, 5</w:t>
            </w:r>
          </w:p>
        </w:tc>
      </w:tr>
    </w:tbl>
    <w:p>
      <w:pPr>
        <w:spacing w:before="14"/>
        <w:ind w:left="100" w:right="0" w:firstLine="0"/>
        <w:jc w:val="both"/>
        <w:rPr>
          <w:i/>
          <w:sz w:val="20"/>
        </w:rPr>
      </w:pPr>
      <w:r>
        <w:rPr>
          <w:i/>
          <w:sz w:val="20"/>
        </w:rPr>
        <w:t>* Content areas:</w:t>
      </w:r>
    </w:p>
    <w:p>
      <w:pPr>
        <w:pStyle w:val="ListParagraph"/>
        <w:numPr>
          <w:ilvl w:val="0"/>
          <w:numId w:val="4"/>
        </w:numPr>
        <w:tabs>
          <w:tab w:pos="298" w:val="left" w:leader="none"/>
        </w:tabs>
        <w:spacing w:line="244" w:lineRule="exact" w:before="1" w:after="0"/>
        <w:ind w:left="298" w:right="0" w:hanging="198"/>
        <w:jc w:val="both"/>
        <w:rPr>
          <w:i/>
          <w:sz w:val="20"/>
        </w:rPr>
      </w:pPr>
      <w:r>
        <w:rPr>
          <w:i/>
          <w:sz w:val="20"/>
        </w:rPr>
        <w:t>Risk factors for opioid</w:t>
      </w:r>
      <w:r>
        <w:rPr>
          <w:i/>
          <w:spacing w:val="-10"/>
          <w:sz w:val="20"/>
        </w:rPr>
        <w:t> </w:t>
      </w:r>
      <w:r>
        <w:rPr>
          <w:i/>
          <w:sz w:val="20"/>
        </w:rPr>
        <w:t>overdose</w:t>
      </w:r>
    </w:p>
    <w:p>
      <w:pPr>
        <w:pStyle w:val="ListParagraph"/>
        <w:numPr>
          <w:ilvl w:val="0"/>
          <w:numId w:val="4"/>
        </w:numPr>
        <w:tabs>
          <w:tab w:pos="298" w:val="left" w:leader="none"/>
        </w:tabs>
        <w:spacing w:line="244" w:lineRule="exact" w:before="0" w:after="0"/>
        <w:ind w:left="298" w:right="0" w:hanging="198"/>
        <w:jc w:val="both"/>
        <w:rPr>
          <w:i/>
          <w:sz w:val="20"/>
        </w:rPr>
      </w:pPr>
      <w:r>
        <w:rPr>
          <w:i/>
          <w:sz w:val="20"/>
        </w:rPr>
        <w:t>Common signs of opioid</w:t>
      </w:r>
      <w:r>
        <w:rPr>
          <w:i/>
          <w:spacing w:val="-12"/>
          <w:sz w:val="20"/>
        </w:rPr>
        <w:t> </w:t>
      </w:r>
      <w:r>
        <w:rPr>
          <w:i/>
          <w:sz w:val="20"/>
        </w:rPr>
        <w:t>overdose</w:t>
      </w:r>
    </w:p>
    <w:p>
      <w:pPr>
        <w:pStyle w:val="ListParagraph"/>
        <w:numPr>
          <w:ilvl w:val="0"/>
          <w:numId w:val="4"/>
        </w:numPr>
        <w:tabs>
          <w:tab w:pos="298" w:val="left" w:leader="none"/>
        </w:tabs>
        <w:spacing w:line="244" w:lineRule="exact" w:before="0" w:after="0"/>
        <w:ind w:left="298" w:right="0" w:hanging="198"/>
        <w:jc w:val="both"/>
        <w:rPr>
          <w:i/>
          <w:sz w:val="20"/>
        </w:rPr>
      </w:pPr>
      <w:r>
        <w:rPr>
          <w:i/>
          <w:sz w:val="20"/>
        </w:rPr>
        <w:t>Naloxone formulations and</w:t>
      </w:r>
      <w:r>
        <w:rPr>
          <w:i/>
          <w:spacing w:val="-17"/>
          <w:sz w:val="20"/>
        </w:rPr>
        <w:t> </w:t>
      </w:r>
      <w:r>
        <w:rPr>
          <w:i/>
          <w:sz w:val="20"/>
        </w:rPr>
        <w:t>administration</w:t>
      </w:r>
    </w:p>
    <w:p>
      <w:pPr>
        <w:pStyle w:val="ListParagraph"/>
        <w:numPr>
          <w:ilvl w:val="0"/>
          <w:numId w:val="4"/>
        </w:numPr>
        <w:tabs>
          <w:tab w:pos="298" w:val="left" w:leader="none"/>
        </w:tabs>
        <w:spacing w:line="244" w:lineRule="exact" w:before="1" w:after="0"/>
        <w:ind w:left="298" w:right="0" w:hanging="198"/>
        <w:jc w:val="both"/>
        <w:rPr>
          <w:i/>
          <w:sz w:val="20"/>
        </w:rPr>
      </w:pPr>
      <w:r>
        <w:rPr>
          <w:i/>
          <w:sz w:val="20"/>
        </w:rPr>
        <w:t>Having a conversation about overdose</w:t>
      </w:r>
      <w:r>
        <w:rPr>
          <w:i/>
          <w:spacing w:val="-19"/>
          <w:sz w:val="20"/>
        </w:rPr>
        <w:t> </w:t>
      </w:r>
      <w:r>
        <w:rPr>
          <w:i/>
          <w:sz w:val="20"/>
        </w:rPr>
        <w:t>prevention/naloxone</w:t>
      </w:r>
    </w:p>
    <w:p>
      <w:pPr>
        <w:pStyle w:val="ListParagraph"/>
        <w:numPr>
          <w:ilvl w:val="0"/>
          <w:numId w:val="4"/>
        </w:numPr>
        <w:tabs>
          <w:tab w:pos="298" w:val="left" w:leader="none"/>
        </w:tabs>
        <w:spacing w:line="244" w:lineRule="exact" w:before="0" w:after="0"/>
        <w:ind w:left="298" w:right="0" w:hanging="198"/>
        <w:jc w:val="both"/>
        <w:rPr>
          <w:i/>
          <w:sz w:val="20"/>
        </w:rPr>
      </w:pPr>
      <w:r>
        <w:rPr>
          <w:i/>
          <w:sz w:val="20"/>
        </w:rPr>
        <w:t>Appropriate (e.g. non-stigmatising)</w:t>
      </w:r>
      <w:r>
        <w:rPr>
          <w:i/>
          <w:spacing w:val="-14"/>
          <w:sz w:val="20"/>
        </w:rPr>
        <w:t> </w:t>
      </w:r>
      <w:r>
        <w:rPr>
          <w:i/>
          <w:sz w:val="20"/>
        </w:rPr>
        <w:t>language</w:t>
      </w:r>
    </w:p>
    <w:p>
      <w:pPr>
        <w:pStyle w:val="BodyText"/>
        <w:rPr>
          <w:i/>
          <w:sz w:val="20"/>
        </w:rPr>
      </w:pPr>
    </w:p>
    <w:p>
      <w:pPr>
        <w:pStyle w:val="BodyText"/>
        <w:spacing w:before="4"/>
        <w:rPr>
          <w:i/>
          <w:sz w:val="19"/>
        </w:rPr>
      </w:pPr>
    </w:p>
    <w:p>
      <w:pPr>
        <w:pStyle w:val="Heading1"/>
        <w:numPr>
          <w:ilvl w:val="0"/>
          <w:numId w:val="5"/>
        </w:numPr>
        <w:tabs>
          <w:tab w:pos="380" w:val="left" w:leader="none"/>
        </w:tabs>
        <w:spacing w:line="240" w:lineRule="auto" w:before="0" w:after="0"/>
        <w:ind w:left="379" w:right="0" w:hanging="279"/>
        <w:jc w:val="both"/>
      </w:pPr>
      <w:bookmarkStart w:name="3. Consultation with Victorian patients" w:id="9"/>
      <w:bookmarkEnd w:id="9"/>
      <w:r>
        <w:rPr>
          <w:b w:val="0"/>
        </w:rPr>
      </w:r>
      <w:bookmarkStart w:name="_bookmark3" w:id="10"/>
      <w:bookmarkEnd w:id="10"/>
      <w:r>
        <w:rPr>
          <w:b w:val="0"/>
        </w:rPr>
      </w:r>
      <w:bookmarkStart w:name="_bookmark3" w:id="11"/>
      <w:bookmarkEnd w:id="11"/>
      <w:r>
        <w:rPr>
          <w:color w:val="6C1D6C"/>
        </w:rPr>
        <w:t>Co</w:t>
      </w:r>
      <w:r>
        <w:rPr>
          <w:color w:val="6C1D6C"/>
        </w:rPr>
        <w:t>nsultation with Victorian</w:t>
      </w:r>
      <w:r>
        <w:rPr>
          <w:color w:val="6C1D6C"/>
          <w:spacing w:val="-20"/>
        </w:rPr>
        <w:t> </w:t>
      </w:r>
      <w:r>
        <w:rPr>
          <w:color w:val="6C1D6C"/>
        </w:rPr>
        <w:t>patients</w:t>
      </w:r>
    </w:p>
    <w:p>
      <w:pPr>
        <w:pStyle w:val="BodyText"/>
        <w:spacing w:before="10"/>
        <w:rPr>
          <w:b/>
          <w:sz w:val="21"/>
        </w:rPr>
      </w:pPr>
    </w:p>
    <w:p>
      <w:pPr>
        <w:pStyle w:val="Heading2"/>
        <w:ind w:left="100"/>
      </w:pPr>
      <w:r>
        <w:rPr/>
        <w:t>Patient characteristics</w:t>
      </w:r>
    </w:p>
    <w:p>
      <w:pPr>
        <w:pStyle w:val="BodyText"/>
        <w:rPr>
          <w:b/>
        </w:rPr>
      </w:pPr>
    </w:p>
    <w:p>
      <w:pPr>
        <w:pStyle w:val="BodyText"/>
        <w:ind w:left="100" w:right="118"/>
        <w:jc w:val="both"/>
      </w:pPr>
      <w:r>
        <w:rPr/>
        <w:t>A</w:t>
      </w:r>
      <w:r>
        <w:rPr>
          <w:spacing w:val="-8"/>
        </w:rPr>
        <w:t> </w:t>
      </w:r>
      <w:r>
        <w:rPr/>
        <w:t>total</w:t>
      </w:r>
      <w:r>
        <w:rPr>
          <w:spacing w:val="-9"/>
        </w:rPr>
        <w:t> </w:t>
      </w:r>
      <w:r>
        <w:rPr/>
        <w:t>of</w:t>
      </w:r>
      <w:r>
        <w:rPr>
          <w:spacing w:val="-9"/>
        </w:rPr>
        <w:t> </w:t>
      </w:r>
      <w:r>
        <w:rPr/>
        <w:t>14</w:t>
      </w:r>
      <w:r>
        <w:rPr>
          <w:spacing w:val="-8"/>
        </w:rPr>
        <w:t> </w:t>
      </w:r>
      <w:r>
        <w:rPr/>
        <w:t>patients</w:t>
      </w:r>
      <w:r>
        <w:rPr>
          <w:spacing w:val="-9"/>
        </w:rPr>
        <w:t> </w:t>
      </w:r>
      <w:r>
        <w:rPr/>
        <w:t>who</w:t>
      </w:r>
      <w:r>
        <w:rPr>
          <w:spacing w:val="-9"/>
        </w:rPr>
        <w:t> </w:t>
      </w:r>
      <w:r>
        <w:rPr/>
        <w:t>are</w:t>
      </w:r>
      <w:r>
        <w:rPr>
          <w:spacing w:val="-8"/>
        </w:rPr>
        <w:t> </w:t>
      </w:r>
      <w:r>
        <w:rPr/>
        <w:t>prescribed</w:t>
      </w:r>
      <w:r>
        <w:rPr>
          <w:spacing w:val="-9"/>
        </w:rPr>
        <w:t> </w:t>
      </w:r>
      <w:r>
        <w:rPr/>
        <w:t>opioids</w:t>
      </w:r>
      <w:r>
        <w:rPr>
          <w:spacing w:val="-8"/>
        </w:rPr>
        <w:t> </w:t>
      </w:r>
      <w:r>
        <w:rPr/>
        <w:t>for</w:t>
      </w:r>
      <w:r>
        <w:rPr>
          <w:spacing w:val="-8"/>
        </w:rPr>
        <w:t> </w:t>
      </w:r>
      <w:r>
        <w:rPr/>
        <w:t>chronic</w:t>
      </w:r>
      <w:r>
        <w:rPr>
          <w:spacing w:val="-8"/>
        </w:rPr>
        <w:t> </w:t>
      </w:r>
      <w:r>
        <w:rPr/>
        <w:t>pain</w:t>
      </w:r>
      <w:r>
        <w:rPr>
          <w:spacing w:val="-9"/>
        </w:rPr>
        <w:t> </w:t>
      </w:r>
      <w:r>
        <w:rPr/>
        <w:t>participated</w:t>
      </w:r>
      <w:r>
        <w:rPr>
          <w:spacing w:val="-9"/>
        </w:rPr>
        <w:t> </w:t>
      </w:r>
      <w:r>
        <w:rPr/>
        <w:t>in</w:t>
      </w:r>
      <w:r>
        <w:rPr>
          <w:spacing w:val="-9"/>
        </w:rPr>
        <w:t> </w:t>
      </w:r>
      <w:r>
        <w:rPr/>
        <w:t>focus</w:t>
      </w:r>
      <w:r>
        <w:rPr>
          <w:spacing w:val="-9"/>
        </w:rPr>
        <w:t> </w:t>
      </w:r>
      <w:r>
        <w:rPr/>
        <w:t>groups and interviews. As illustrated in Table 2, there were an equal number of female and male participants, as well as patients located in metropolitan and non-metropolitan Melbourne. On average, participants were 52 years old (range from 29-83 years) and had a range of education backgrounds. Participants had been prescribed opioids for an average of 8.4 years (range from 2-30 years, SD=8.5) and were prescribed a range of opioids: oxycodone (64.3%), tramadol</w:t>
      </w:r>
      <w:r>
        <w:rPr>
          <w:spacing w:val="-18"/>
        </w:rPr>
        <w:t> </w:t>
      </w:r>
      <w:r>
        <w:rPr/>
        <w:t>(28.6%),</w:t>
      </w:r>
      <w:r>
        <w:rPr>
          <w:spacing w:val="-18"/>
        </w:rPr>
        <w:t> </w:t>
      </w:r>
      <w:r>
        <w:rPr/>
        <w:t>tapentadol</w:t>
      </w:r>
      <w:r>
        <w:rPr>
          <w:spacing w:val="-18"/>
        </w:rPr>
        <w:t> </w:t>
      </w:r>
      <w:r>
        <w:rPr/>
        <w:t>(14.3%),</w:t>
      </w:r>
      <w:r>
        <w:rPr>
          <w:spacing w:val="-18"/>
        </w:rPr>
        <w:t> </w:t>
      </w:r>
      <w:r>
        <w:rPr/>
        <w:t>codeine</w:t>
      </w:r>
      <w:r>
        <w:rPr>
          <w:spacing w:val="-19"/>
        </w:rPr>
        <w:t> </w:t>
      </w:r>
      <w:r>
        <w:rPr/>
        <w:t>(14.3%),</w:t>
      </w:r>
      <w:r>
        <w:rPr>
          <w:spacing w:val="-18"/>
        </w:rPr>
        <w:t> </w:t>
      </w:r>
      <w:r>
        <w:rPr/>
        <w:t>buprenorphine</w:t>
      </w:r>
      <w:r>
        <w:rPr>
          <w:spacing w:val="-17"/>
        </w:rPr>
        <w:t> </w:t>
      </w:r>
      <w:r>
        <w:rPr/>
        <w:t>(7.1%).</w:t>
      </w:r>
      <w:r>
        <w:rPr>
          <w:spacing w:val="-17"/>
        </w:rPr>
        <w:t> </w:t>
      </w:r>
      <w:r>
        <w:rPr/>
        <w:t>Three</w:t>
      </w:r>
      <w:r>
        <w:rPr>
          <w:spacing w:val="-17"/>
        </w:rPr>
        <w:t> </w:t>
      </w:r>
      <w:r>
        <w:rPr/>
        <w:t>patients were prescribed more than one opioid. The average highest daily prescribed dose was 106.3mg oral morphine equivalent (range from 7.5-360mg,</w:t>
      </w:r>
      <w:r>
        <w:rPr>
          <w:spacing w:val="-31"/>
        </w:rPr>
        <w:t> </w:t>
      </w:r>
      <w:r>
        <w:rPr/>
        <w:t>SD=88.4).</w:t>
      </w:r>
    </w:p>
    <w:p>
      <w:pPr>
        <w:pStyle w:val="BodyText"/>
      </w:pPr>
    </w:p>
    <w:p>
      <w:pPr>
        <w:pStyle w:val="BodyText"/>
      </w:pPr>
    </w:p>
    <w:p>
      <w:pPr>
        <w:pStyle w:val="BodyText"/>
      </w:pPr>
    </w:p>
    <w:p>
      <w:pPr>
        <w:pStyle w:val="BodyText"/>
      </w:pPr>
    </w:p>
    <w:p>
      <w:pPr>
        <w:pStyle w:val="BodyText"/>
      </w:pPr>
    </w:p>
    <w:p>
      <w:pPr>
        <w:pStyle w:val="BodyText"/>
      </w:pPr>
    </w:p>
    <w:p>
      <w:pPr>
        <w:pStyle w:val="BodyText"/>
        <w:rPr>
          <w:sz w:val="32"/>
        </w:rPr>
      </w:pPr>
    </w:p>
    <w:p>
      <w:pPr>
        <w:spacing w:before="0"/>
        <w:ind w:left="100" w:right="0" w:firstLine="0"/>
        <w:jc w:val="both"/>
        <w:rPr>
          <w:i/>
          <w:sz w:val="22"/>
        </w:rPr>
      </w:pPr>
      <w:r>
        <w:rPr>
          <w:i/>
          <w:sz w:val="22"/>
        </w:rPr>
        <w:t>Table 2. Characteristics of patients (n=14)</w:t>
      </w:r>
    </w:p>
    <w:p>
      <w:pPr>
        <w:spacing w:after="0"/>
        <w:jc w:val="both"/>
        <w:rPr>
          <w:sz w:val="22"/>
        </w:rPr>
        <w:sectPr>
          <w:pgSz w:w="11910" w:h="16840"/>
          <w:pgMar w:header="0" w:footer="1297" w:top="1480" w:bottom="1480" w:left="1340" w:right="1320"/>
        </w:sectPr>
      </w:pPr>
    </w:p>
    <w:p>
      <w:pPr>
        <w:pStyle w:val="BodyText"/>
        <w:spacing w:before="2" w:after="1"/>
        <w:rPr>
          <w:i/>
          <w:sz w:val="15"/>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41"/>
        <w:gridCol w:w="3111"/>
        <w:gridCol w:w="3164"/>
      </w:tblGrid>
      <w:tr>
        <w:trPr>
          <w:trHeight w:val="255" w:hRule="exact"/>
        </w:trPr>
        <w:tc>
          <w:tcPr>
            <w:tcW w:w="2741" w:type="dxa"/>
            <w:tcBorders>
              <w:top w:val="single" w:sz="4" w:space="0" w:color="8063A1"/>
              <w:bottom w:val="single" w:sz="4" w:space="0" w:color="8063A1"/>
            </w:tcBorders>
          </w:tcPr>
          <w:p>
            <w:pPr>
              <w:pStyle w:val="TableParagraph"/>
              <w:ind w:left="108"/>
              <w:rPr>
                <w:b/>
                <w:sz w:val="20"/>
              </w:rPr>
            </w:pPr>
            <w:r>
              <w:rPr>
                <w:b/>
                <w:sz w:val="20"/>
              </w:rPr>
              <w:t>Variable</w:t>
            </w:r>
          </w:p>
        </w:tc>
        <w:tc>
          <w:tcPr>
            <w:tcW w:w="3111" w:type="dxa"/>
            <w:tcBorders>
              <w:top w:val="single" w:sz="4" w:space="0" w:color="8063A1"/>
              <w:bottom w:val="single" w:sz="4" w:space="0" w:color="8063A1"/>
            </w:tcBorders>
          </w:tcPr>
          <w:p>
            <w:pPr>
              <w:pStyle w:val="TableParagraph"/>
              <w:ind w:left="196"/>
              <w:rPr>
                <w:b/>
                <w:sz w:val="20"/>
              </w:rPr>
            </w:pPr>
            <w:r>
              <w:rPr>
                <w:b/>
                <w:sz w:val="20"/>
              </w:rPr>
              <w:t>Category</w:t>
            </w:r>
          </w:p>
        </w:tc>
        <w:tc>
          <w:tcPr>
            <w:tcW w:w="3164" w:type="dxa"/>
            <w:tcBorders>
              <w:top w:val="single" w:sz="4" w:space="0" w:color="8063A1"/>
              <w:bottom w:val="single" w:sz="4" w:space="0" w:color="8063A1"/>
            </w:tcBorders>
          </w:tcPr>
          <w:p>
            <w:pPr>
              <w:pStyle w:val="TableParagraph"/>
              <w:ind w:left="488"/>
              <w:rPr>
                <w:b/>
                <w:sz w:val="20"/>
              </w:rPr>
            </w:pPr>
            <w:r>
              <w:rPr>
                <w:b/>
                <w:sz w:val="20"/>
              </w:rPr>
              <w:t>Statistic</w:t>
            </w:r>
          </w:p>
        </w:tc>
      </w:tr>
      <w:tr>
        <w:trPr>
          <w:trHeight w:val="267" w:hRule="exact"/>
        </w:trPr>
        <w:tc>
          <w:tcPr>
            <w:tcW w:w="2741" w:type="dxa"/>
            <w:tcBorders>
              <w:top w:val="single" w:sz="4" w:space="0" w:color="8063A1"/>
            </w:tcBorders>
            <w:shd w:val="clear" w:color="auto" w:fill="E4DFEB"/>
          </w:tcPr>
          <w:p>
            <w:pPr>
              <w:pStyle w:val="TableParagraph"/>
              <w:spacing w:line="244" w:lineRule="exact"/>
              <w:ind w:left="108"/>
              <w:rPr>
                <w:b/>
                <w:sz w:val="20"/>
              </w:rPr>
            </w:pPr>
            <w:r>
              <w:rPr>
                <w:b/>
                <w:sz w:val="20"/>
              </w:rPr>
              <w:t>Gender</w:t>
            </w:r>
          </w:p>
        </w:tc>
        <w:tc>
          <w:tcPr>
            <w:tcW w:w="3111" w:type="dxa"/>
            <w:tcBorders>
              <w:top w:val="single" w:sz="4" w:space="0" w:color="8063A1"/>
            </w:tcBorders>
            <w:shd w:val="clear" w:color="auto" w:fill="E4DFEB"/>
          </w:tcPr>
          <w:p>
            <w:pPr>
              <w:pStyle w:val="TableParagraph"/>
              <w:spacing w:line="244" w:lineRule="exact"/>
              <w:ind w:left="196"/>
              <w:rPr>
                <w:sz w:val="20"/>
              </w:rPr>
            </w:pPr>
            <w:r>
              <w:rPr>
                <w:sz w:val="20"/>
              </w:rPr>
              <w:t>Female</w:t>
            </w:r>
          </w:p>
        </w:tc>
        <w:tc>
          <w:tcPr>
            <w:tcW w:w="3164" w:type="dxa"/>
            <w:tcBorders>
              <w:top w:val="single" w:sz="4" w:space="0" w:color="8063A1"/>
            </w:tcBorders>
            <w:shd w:val="clear" w:color="auto" w:fill="E4DFEB"/>
          </w:tcPr>
          <w:p>
            <w:pPr>
              <w:pStyle w:val="TableParagraph"/>
              <w:spacing w:line="244" w:lineRule="exact"/>
              <w:ind w:left="488"/>
              <w:rPr>
                <w:sz w:val="20"/>
              </w:rPr>
            </w:pPr>
            <w:r>
              <w:rPr>
                <w:sz w:val="20"/>
              </w:rPr>
              <w:t>50% (7)</w:t>
            </w:r>
          </w:p>
        </w:tc>
      </w:tr>
      <w:tr>
        <w:trPr>
          <w:trHeight w:val="244" w:hRule="exact"/>
        </w:trPr>
        <w:tc>
          <w:tcPr>
            <w:tcW w:w="2741" w:type="dxa"/>
            <w:shd w:val="clear" w:color="auto" w:fill="E4DFEB"/>
          </w:tcPr>
          <w:p>
            <w:pPr/>
          </w:p>
        </w:tc>
        <w:tc>
          <w:tcPr>
            <w:tcW w:w="3111" w:type="dxa"/>
            <w:shd w:val="clear" w:color="auto" w:fill="E4DFEB"/>
          </w:tcPr>
          <w:p>
            <w:pPr>
              <w:pStyle w:val="TableParagraph"/>
              <w:spacing w:line="226" w:lineRule="exact"/>
              <w:ind w:left="196"/>
              <w:rPr>
                <w:sz w:val="20"/>
              </w:rPr>
            </w:pPr>
            <w:r>
              <w:rPr>
                <w:sz w:val="20"/>
              </w:rPr>
              <w:t>Male</w:t>
            </w:r>
          </w:p>
        </w:tc>
        <w:tc>
          <w:tcPr>
            <w:tcW w:w="3164" w:type="dxa"/>
            <w:shd w:val="clear" w:color="auto" w:fill="E4DFEB"/>
          </w:tcPr>
          <w:p>
            <w:pPr>
              <w:pStyle w:val="TableParagraph"/>
              <w:spacing w:line="226" w:lineRule="exact"/>
              <w:ind w:left="488"/>
              <w:rPr>
                <w:sz w:val="20"/>
              </w:rPr>
            </w:pPr>
            <w:r>
              <w:rPr>
                <w:sz w:val="20"/>
              </w:rPr>
              <w:t>50% (7)</w:t>
            </w:r>
          </w:p>
        </w:tc>
      </w:tr>
      <w:tr>
        <w:trPr>
          <w:trHeight w:val="227" w:hRule="exact"/>
        </w:trPr>
        <w:tc>
          <w:tcPr>
            <w:tcW w:w="2741" w:type="dxa"/>
            <w:shd w:val="clear" w:color="auto" w:fill="E4DFEB"/>
          </w:tcPr>
          <w:p>
            <w:pPr/>
          </w:p>
        </w:tc>
        <w:tc>
          <w:tcPr>
            <w:tcW w:w="3111" w:type="dxa"/>
            <w:shd w:val="clear" w:color="auto" w:fill="E4DFEB"/>
          </w:tcPr>
          <w:p>
            <w:pPr>
              <w:pStyle w:val="TableParagraph"/>
              <w:spacing w:line="226" w:lineRule="exact"/>
              <w:ind w:left="196"/>
              <w:rPr>
                <w:sz w:val="20"/>
              </w:rPr>
            </w:pPr>
            <w:r>
              <w:rPr>
                <w:sz w:val="20"/>
              </w:rPr>
              <w:t>Other</w:t>
            </w:r>
          </w:p>
        </w:tc>
        <w:tc>
          <w:tcPr>
            <w:tcW w:w="3164" w:type="dxa"/>
            <w:shd w:val="clear" w:color="auto" w:fill="E4DFEB"/>
          </w:tcPr>
          <w:p>
            <w:pPr>
              <w:pStyle w:val="TableParagraph"/>
              <w:spacing w:line="226" w:lineRule="exact"/>
              <w:ind w:left="488"/>
              <w:rPr>
                <w:sz w:val="20"/>
              </w:rPr>
            </w:pPr>
            <w:r>
              <w:rPr>
                <w:w w:val="100"/>
                <w:sz w:val="20"/>
              </w:rPr>
              <w:t>0</w:t>
            </w:r>
          </w:p>
        </w:tc>
      </w:tr>
      <w:tr>
        <w:trPr>
          <w:trHeight w:val="261" w:hRule="exact"/>
        </w:trPr>
        <w:tc>
          <w:tcPr>
            <w:tcW w:w="2741" w:type="dxa"/>
          </w:tcPr>
          <w:p>
            <w:pPr>
              <w:pStyle w:val="TableParagraph"/>
              <w:spacing w:line="243" w:lineRule="exact"/>
              <w:ind w:left="108"/>
              <w:rPr>
                <w:b/>
                <w:sz w:val="20"/>
              </w:rPr>
            </w:pPr>
            <w:r>
              <w:rPr>
                <w:b/>
                <w:sz w:val="20"/>
              </w:rPr>
              <w:t>Age</w:t>
            </w:r>
          </w:p>
        </w:tc>
        <w:tc>
          <w:tcPr>
            <w:tcW w:w="3111" w:type="dxa"/>
          </w:tcPr>
          <w:p>
            <w:pPr>
              <w:pStyle w:val="TableParagraph"/>
              <w:spacing w:line="243" w:lineRule="exact"/>
              <w:ind w:left="196"/>
              <w:rPr>
                <w:sz w:val="20"/>
              </w:rPr>
            </w:pPr>
            <w:r>
              <w:rPr>
                <w:sz w:val="20"/>
              </w:rPr>
              <w:t>Mean</w:t>
            </w:r>
          </w:p>
        </w:tc>
        <w:tc>
          <w:tcPr>
            <w:tcW w:w="3164" w:type="dxa"/>
          </w:tcPr>
          <w:p>
            <w:pPr>
              <w:pStyle w:val="TableParagraph"/>
              <w:spacing w:line="243" w:lineRule="exact"/>
              <w:ind w:left="488"/>
              <w:rPr>
                <w:sz w:val="20"/>
              </w:rPr>
            </w:pPr>
            <w:r>
              <w:rPr>
                <w:sz w:val="20"/>
              </w:rPr>
              <w:t>52.4 (SD=17.6)</w:t>
            </w:r>
          </w:p>
        </w:tc>
      </w:tr>
      <w:tr>
        <w:trPr>
          <w:trHeight w:val="227" w:hRule="exact"/>
        </w:trPr>
        <w:tc>
          <w:tcPr>
            <w:tcW w:w="2741" w:type="dxa"/>
          </w:tcPr>
          <w:p>
            <w:pPr/>
          </w:p>
        </w:tc>
        <w:tc>
          <w:tcPr>
            <w:tcW w:w="3111" w:type="dxa"/>
          </w:tcPr>
          <w:p>
            <w:pPr>
              <w:pStyle w:val="TableParagraph"/>
              <w:spacing w:line="226" w:lineRule="exact"/>
              <w:ind w:left="196"/>
              <w:rPr>
                <w:sz w:val="20"/>
              </w:rPr>
            </w:pPr>
            <w:r>
              <w:rPr>
                <w:sz w:val="20"/>
              </w:rPr>
              <w:t>Range</w:t>
            </w:r>
          </w:p>
        </w:tc>
        <w:tc>
          <w:tcPr>
            <w:tcW w:w="3164" w:type="dxa"/>
          </w:tcPr>
          <w:p>
            <w:pPr>
              <w:pStyle w:val="TableParagraph"/>
              <w:spacing w:line="226" w:lineRule="exact"/>
              <w:ind w:left="488"/>
              <w:rPr>
                <w:sz w:val="20"/>
              </w:rPr>
            </w:pPr>
            <w:r>
              <w:rPr>
                <w:sz w:val="20"/>
              </w:rPr>
              <w:t>29-83 years</w:t>
            </w:r>
          </w:p>
        </w:tc>
      </w:tr>
      <w:tr>
        <w:trPr>
          <w:trHeight w:val="261" w:hRule="exact"/>
        </w:trPr>
        <w:tc>
          <w:tcPr>
            <w:tcW w:w="2741" w:type="dxa"/>
            <w:shd w:val="clear" w:color="auto" w:fill="E4DFEB"/>
          </w:tcPr>
          <w:p>
            <w:pPr>
              <w:pStyle w:val="TableParagraph"/>
              <w:spacing w:line="243" w:lineRule="exact"/>
              <w:ind w:left="108"/>
              <w:rPr>
                <w:b/>
                <w:sz w:val="20"/>
              </w:rPr>
            </w:pPr>
            <w:r>
              <w:rPr>
                <w:b/>
                <w:sz w:val="20"/>
              </w:rPr>
              <w:t>Location</w:t>
            </w:r>
          </w:p>
        </w:tc>
        <w:tc>
          <w:tcPr>
            <w:tcW w:w="3111" w:type="dxa"/>
            <w:shd w:val="clear" w:color="auto" w:fill="E4DFEB"/>
          </w:tcPr>
          <w:p>
            <w:pPr>
              <w:pStyle w:val="TableParagraph"/>
              <w:spacing w:line="243" w:lineRule="exact"/>
              <w:ind w:left="196"/>
              <w:rPr>
                <w:sz w:val="20"/>
              </w:rPr>
            </w:pPr>
            <w:r>
              <w:rPr>
                <w:sz w:val="20"/>
              </w:rPr>
              <w:t>Metropolitan Melbourne</w:t>
            </w:r>
          </w:p>
        </w:tc>
        <w:tc>
          <w:tcPr>
            <w:tcW w:w="3164" w:type="dxa"/>
            <w:shd w:val="clear" w:color="auto" w:fill="E4DFEB"/>
          </w:tcPr>
          <w:p>
            <w:pPr>
              <w:pStyle w:val="TableParagraph"/>
              <w:spacing w:line="243" w:lineRule="exact"/>
              <w:ind w:left="488"/>
              <w:rPr>
                <w:sz w:val="20"/>
              </w:rPr>
            </w:pPr>
            <w:r>
              <w:rPr>
                <w:sz w:val="20"/>
              </w:rPr>
              <w:t>50% (7)</w:t>
            </w:r>
          </w:p>
        </w:tc>
      </w:tr>
      <w:tr>
        <w:trPr>
          <w:trHeight w:val="227" w:hRule="exact"/>
        </w:trPr>
        <w:tc>
          <w:tcPr>
            <w:tcW w:w="2741" w:type="dxa"/>
            <w:shd w:val="clear" w:color="auto" w:fill="E4DFEB"/>
          </w:tcPr>
          <w:p>
            <w:pPr/>
          </w:p>
        </w:tc>
        <w:tc>
          <w:tcPr>
            <w:tcW w:w="3111" w:type="dxa"/>
            <w:shd w:val="clear" w:color="auto" w:fill="E4DFEB"/>
          </w:tcPr>
          <w:p>
            <w:pPr>
              <w:pStyle w:val="TableParagraph"/>
              <w:spacing w:line="226" w:lineRule="exact"/>
              <w:ind w:left="196"/>
              <w:rPr>
                <w:sz w:val="20"/>
              </w:rPr>
            </w:pPr>
            <w:r>
              <w:rPr>
                <w:sz w:val="20"/>
              </w:rPr>
              <w:t>Non-metropolitan Melbourne</w:t>
            </w:r>
          </w:p>
        </w:tc>
        <w:tc>
          <w:tcPr>
            <w:tcW w:w="3164" w:type="dxa"/>
            <w:shd w:val="clear" w:color="auto" w:fill="E4DFEB"/>
          </w:tcPr>
          <w:p>
            <w:pPr>
              <w:pStyle w:val="TableParagraph"/>
              <w:spacing w:line="226" w:lineRule="exact"/>
              <w:ind w:left="488"/>
              <w:rPr>
                <w:sz w:val="20"/>
              </w:rPr>
            </w:pPr>
            <w:r>
              <w:rPr>
                <w:sz w:val="20"/>
              </w:rPr>
              <w:t>50% (7)</w:t>
            </w:r>
          </w:p>
        </w:tc>
      </w:tr>
      <w:tr>
        <w:trPr>
          <w:trHeight w:val="261" w:hRule="exact"/>
        </w:trPr>
        <w:tc>
          <w:tcPr>
            <w:tcW w:w="2741" w:type="dxa"/>
          </w:tcPr>
          <w:p>
            <w:pPr>
              <w:pStyle w:val="TableParagraph"/>
              <w:spacing w:line="243" w:lineRule="exact"/>
              <w:ind w:left="108"/>
              <w:rPr>
                <w:b/>
                <w:sz w:val="20"/>
              </w:rPr>
            </w:pPr>
            <w:r>
              <w:rPr>
                <w:b/>
                <w:sz w:val="20"/>
              </w:rPr>
              <w:t>Highest level of education</w:t>
            </w:r>
          </w:p>
        </w:tc>
        <w:tc>
          <w:tcPr>
            <w:tcW w:w="3111" w:type="dxa"/>
          </w:tcPr>
          <w:p>
            <w:pPr>
              <w:pStyle w:val="TableParagraph"/>
              <w:spacing w:line="243" w:lineRule="exact"/>
              <w:ind w:left="196"/>
              <w:rPr>
                <w:sz w:val="20"/>
              </w:rPr>
            </w:pPr>
            <w:r>
              <w:rPr>
                <w:sz w:val="20"/>
              </w:rPr>
              <w:t>Year 11 or below</w:t>
            </w:r>
          </w:p>
        </w:tc>
        <w:tc>
          <w:tcPr>
            <w:tcW w:w="3164" w:type="dxa"/>
          </w:tcPr>
          <w:p>
            <w:pPr>
              <w:pStyle w:val="TableParagraph"/>
              <w:spacing w:line="243" w:lineRule="exact"/>
              <w:ind w:left="488"/>
              <w:rPr>
                <w:sz w:val="20"/>
              </w:rPr>
            </w:pPr>
            <w:r>
              <w:rPr>
                <w:sz w:val="20"/>
              </w:rPr>
              <w:t>21.4% (3)</w:t>
            </w:r>
          </w:p>
        </w:tc>
      </w:tr>
      <w:tr>
        <w:trPr>
          <w:trHeight w:val="244" w:hRule="exact"/>
        </w:trPr>
        <w:tc>
          <w:tcPr>
            <w:tcW w:w="2741" w:type="dxa"/>
          </w:tcPr>
          <w:p>
            <w:pPr/>
          </w:p>
        </w:tc>
        <w:tc>
          <w:tcPr>
            <w:tcW w:w="3111" w:type="dxa"/>
          </w:tcPr>
          <w:p>
            <w:pPr>
              <w:pStyle w:val="TableParagraph"/>
              <w:spacing w:line="226" w:lineRule="exact"/>
              <w:ind w:left="196"/>
              <w:rPr>
                <w:sz w:val="20"/>
              </w:rPr>
            </w:pPr>
            <w:r>
              <w:rPr>
                <w:sz w:val="20"/>
              </w:rPr>
              <w:t>Year 12</w:t>
            </w:r>
          </w:p>
        </w:tc>
        <w:tc>
          <w:tcPr>
            <w:tcW w:w="3164" w:type="dxa"/>
          </w:tcPr>
          <w:p>
            <w:pPr>
              <w:pStyle w:val="TableParagraph"/>
              <w:spacing w:line="226" w:lineRule="exact"/>
              <w:ind w:left="488"/>
              <w:rPr>
                <w:sz w:val="20"/>
              </w:rPr>
            </w:pPr>
            <w:r>
              <w:rPr>
                <w:sz w:val="20"/>
              </w:rPr>
              <w:t>28.6% (4)</w:t>
            </w:r>
          </w:p>
        </w:tc>
      </w:tr>
      <w:tr>
        <w:trPr>
          <w:trHeight w:val="244" w:hRule="exact"/>
        </w:trPr>
        <w:tc>
          <w:tcPr>
            <w:tcW w:w="2741" w:type="dxa"/>
          </w:tcPr>
          <w:p>
            <w:pPr/>
          </w:p>
        </w:tc>
        <w:tc>
          <w:tcPr>
            <w:tcW w:w="3111" w:type="dxa"/>
          </w:tcPr>
          <w:p>
            <w:pPr>
              <w:pStyle w:val="TableParagraph"/>
              <w:spacing w:line="226" w:lineRule="exact"/>
              <w:ind w:left="196"/>
              <w:rPr>
                <w:sz w:val="20"/>
              </w:rPr>
            </w:pPr>
            <w:r>
              <w:rPr>
                <w:sz w:val="20"/>
              </w:rPr>
              <w:t>Certificate 3 or 4</w:t>
            </w:r>
          </w:p>
        </w:tc>
        <w:tc>
          <w:tcPr>
            <w:tcW w:w="3164" w:type="dxa"/>
          </w:tcPr>
          <w:p>
            <w:pPr>
              <w:pStyle w:val="TableParagraph"/>
              <w:spacing w:line="226" w:lineRule="exact"/>
              <w:ind w:left="488"/>
              <w:rPr>
                <w:sz w:val="20"/>
              </w:rPr>
            </w:pPr>
            <w:r>
              <w:rPr>
                <w:sz w:val="20"/>
              </w:rPr>
              <w:t>7.1% (1)</w:t>
            </w:r>
          </w:p>
        </w:tc>
      </w:tr>
      <w:tr>
        <w:trPr>
          <w:trHeight w:val="244" w:hRule="exact"/>
        </w:trPr>
        <w:tc>
          <w:tcPr>
            <w:tcW w:w="2741" w:type="dxa"/>
          </w:tcPr>
          <w:p>
            <w:pPr/>
          </w:p>
        </w:tc>
        <w:tc>
          <w:tcPr>
            <w:tcW w:w="3111" w:type="dxa"/>
          </w:tcPr>
          <w:p>
            <w:pPr>
              <w:pStyle w:val="TableParagraph"/>
              <w:spacing w:line="226" w:lineRule="exact"/>
              <w:ind w:left="196"/>
              <w:rPr>
                <w:sz w:val="20"/>
              </w:rPr>
            </w:pPr>
            <w:r>
              <w:rPr>
                <w:sz w:val="20"/>
              </w:rPr>
              <w:t>Diploma</w:t>
            </w:r>
          </w:p>
        </w:tc>
        <w:tc>
          <w:tcPr>
            <w:tcW w:w="3164" w:type="dxa"/>
          </w:tcPr>
          <w:p>
            <w:pPr>
              <w:pStyle w:val="TableParagraph"/>
              <w:spacing w:line="226" w:lineRule="exact"/>
              <w:ind w:left="488"/>
              <w:rPr>
                <w:sz w:val="20"/>
              </w:rPr>
            </w:pPr>
            <w:r>
              <w:rPr>
                <w:sz w:val="20"/>
              </w:rPr>
              <w:t>21.4% (3)</w:t>
            </w:r>
          </w:p>
        </w:tc>
      </w:tr>
      <w:tr>
        <w:trPr>
          <w:trHeight w:val="244" w:hRule="exact"/>
        </w:trPr>
        <w:tc>
          <w:tcPr>
            <w:tcW w:w="2741" w:type="dxa"/>
          </w:tcPr>
          <w:p>
            <w:pPr/>
          </w:p>
        </w:tc>
        <w:tc>
          <w:tcPr>
            <w:tcW w:w="3111" w:type="dxa"/>
          </w:tcPr>
          <w:p>
            <w:pPr>
              <w:pStyle w:val="TableParagraph"/>
              <w:spacing w:line="226" w:lineRule="exact"/>
              <w:ind w:left="196"/>
              <w:rPr>
                <w:sz w:val="20"/>
              </w:rPr>
            </w:pPr>
            <w:r>
              <w:rPr>
                <w:sz w:val="20"/>
              </w:rPr>
              <w:t>Bachelor degree</w:t>
            </w:r>
          </w:p>
        </w:tc>
        <w:tc>
          <w:tcPr>
            <w:tcW w:w="3164" w:type="dxa"/>
          </w:tcPr>
          <w:p>
            <w:pPr>
              <w:pStyle w:val="TableParagraph"/>
              <w:spacing w:line="226" w:lineRule="exact"/>
              <w:ind w:left="488"/>
              <w:rPr>
                <w:sz w:val="20"/>
              </w:rPr>
            </w:pPr>
            <w:r>
              <w:rPr>
                <w:sz w:val="20"/>
              </w:rPr>
              <w:t>7.1% (1)</w:t>
            </w:r>
          </w:p>
        </w:tc>
      </w:tr>
      <w:tr>
        <w:trPr>
          <w:trHeight w:val="244" w:hRule="exact"/>
        </w:trPr>
        <w:tc>
          <w:tcPr>
            <w:tcW w:w="2741" w:type="dxa"/>
          </w:tcPr>
          <w:p>
            <w:pPr/>
          </w:p>
        </w:tc>
        <w:tc>
          <w:tcPr>
            <w:tcW w:w="3111" w:type="dxa"/>
          </w:tcPr>
          <w:p>
            <w:pPr>
              <w:pStyle w:val="TableParagraph"/>
              <w:spacing w:line="226" w:lineRule="exact"/>
              <w:ind w:left="196"/>
              <w:rPr>
                <w:sz w:val="20"/>
              </w:rPr>
            </w:pPr>
            <w:r>
              <w:rPr>
                <w:sz w:val="20"/>
              </w:rPr>
              <w:t>Graduate Certificate</w:t>
            </w:r>
          </w:p>
        </w:tc>
        <w:tc>
          <w:tcPr>
            <w:tcW w:w="3164" w:type="dxa"/>
          </w:tcPr>
          <w:p>
            <w:pPr>
              <w:pStyle w:val="TableParagraph"/>
              <w:spacing w:line="226" w:lineRule="exact"/>
              <w:ind w:left="488"/>
              <w:rPr>
                <w:sz w:val="20"/>
              </w:rPr>
            </w:pPr>
            <w:r>
              <w:rPr>
                <w:sz w:val="20"/>
              </w:rPr>
              <w:t>7.1% (1)</w:t>
            </w:r>
          </w:p>
        </w:tc>
      </w:tr>
      <w:tr>
        <w:trPr>
          <w:trHeight w:val="227" w:hRule="exact"/>
        </w:trPr>
        <w:tc>
          <w:tcPr>
            <w:tcW w:w="2741" w:type="dxa"/>
          </w:tcPr>
          <w:p>
            <w:pPr/>
          </w:p>
        </w:tc>
        <w:tc>
          <w:tcPr>
            <w:tcW w:w="3111" w:type="dxa"/>
          </w:tcPr>
          <w:p>
            <w:pPr>
              <w:pStyle w:val="TableParagraph"/>
              <w:spacing w:line="225" w:lineRule="exact"/>
              <w:ind w:left="196"/>
              <w:rPr>
                <w:sz w:val="20"/>
              </w:rPr>
            </w:pPr>
            <w:r>
              <w:rPr>
                <w:sz w:val="20"/>
              </w:rPr>
              <w:t>Postgraduate Degree</w:t>
            </w:r>
          </w:p>
        </w:tc>
        <w:tc>
          <w:tcPr>
            <w:tcW w:w="3164" w:type="dxa"/>
          </w:tcPr>
          <w:p>
            <w:pPr>
              <w:pStyle w:val="TableParagraph"/>
              <w:spacing w:line="225" w:lineRule="exact"/>
              <w:ind w:left="488"/>
              <w:rPr>
                <w:sz w:val="20"/>
              </w:rPr>
            </w:pPr>
            <w:r>
              <w:rPr>
                <w:sz w:val="20"/>
              </w:rPr>
              <w:t>7.1% (1)</w:t>
            </w:r>
          </w:p>
        </w:tc>
      </w:tr>
      <w:tr>
        <w:trPr>
          <w:trHeight w:val="261" w:hRule="exact"/>
        </w:trPr>
        <w:tc>
          <w:tcPr>
            <w:tcW w:w="2741" w:type="dxa"/>
            <w:shd w:val="clear" w:color="auto" w:fill="E4DFEB"/>
          </w:tcPr>
          <w:p>
            <w:pPr>
              <w:pStyle w:val="TableParagraph"/>
              <w:spacing w:line="243" w:lineRule="exact"/>
              <w:ind w:left="108"/>
              <w:rPr>
                <w:b/>
                <w:sz w:val="20"/>
              </w:rPr>
            </w:pPr>
            <w:r>
              <w:rPr>
                <w:b/>
                <w:sz w:val="20"/>
              </w:rPr>
              <w:t>Length of time prescribed</w:t>
            </w:r>
          </w:p>
        </w:tc>
        <w:tc>
          <w:tcPr>
            <w:tcW w:w="3111" w:type="dxa"/>
            <w:shd w:val="clear" w:color="auto" w:fill="E4DFEB"/>
          </w:tcPr>
          <w:p>
            <w:pPr>
              <w:pStyle w:val="TableParagraph"/>
              <w:spacing w:line="243" w:lineRule="exact"/>
              <w:ind w:left="196"/>
              <w:rPr>
                <w:sz w:val="20"/>
              </w:rPr>
            </w:pPr>
            <w:r>
              <w:rPr>
                <w:sz w:val="20"/>
              </w:rPr>
              <w:t>0 to 4 years</w:t>
            </w:r>
          </w:p>
        </w:tc>
        <w:tc>
          <w:tcPr>
            <w:tcW w:w="3164" w:type="dxa"/>
            <w:shd w:val="clear" w:color="auto" w:fill="E4DFEB"/>
          </w:tcPr>
          <w:p>
            <w:pPr>
              <w:pStyle w:val="TableParagraph"/>
              <w:spacing w:line="243" w:lineRule="exact"/>
              <w:ind w:left="488"/>
              <w:rPr>
                <w:sz w:val="20"/>
              </w:rPr>
            </w:pPr>
            <w:r>
              <w:rPr>
                <w:sz w:val="20"/>
              </w:rPr>
              <w:t>35.7% (5)</w:t>
            </w:r>
          </w:p>
        </w:tc>
      </w:tr>
      <w:tr>
        <w:trPr>
          <w:trHeight w:val="244" w:hRule="exact"/>
        </w:trPr>
        <w:tc>
          <w:tcPr>
            <w:tcW w:w="2741" w:type="dxa"/>
            <w:shd w:val="clear" w:color="auto" w:fill="E4DFEB"/>
          </w:tcPr>
          <w:p>
            <w:pPr>
              <w:pStyle w:val="TableParagraph"/>
              <w:spacing w:line="226" w:lineRule="exact"/>
              <w:ind w:left="108"/>
              <w:rPr>
                <w:b/>
                <w:sz w:val="20"/>
              </w:rPr>
            </w:pPr>
            <w:r>
              <w:rPr>
                <w:b/>
                <w:sz w:val="20"/>
              </w:rPr>
              <w:t>opioids for chronic pain</w:t>
            </w:r>
          </w:p>
        </w:tc>
        <w:tc>
          <w:tcPr>
            <w:tcW w:w="3111" w:type="dxa"/>
            <w:shd w:val="clear" w:color="auto" w:fill="E4DFEB"/>
          </w:tcPr>
          <w:p>
            <w:pPr>
              <w:pStyle w:val="TableParagraph"/>
              <w:spacing w:line="226" w:lineRule="exact"/>
              <w:ind w:left="196"/>
              <w:rPr>
                <w:sz w:val="20"/>
              </w:rPr>
            </w:pPr>
            <w:r>
              <w:rPr>
                <w:sz w:val="20"/>
              </w:rPr>
              <w:t>5 to 9 years</w:t>
            </w:r>
          </w:p>
        </w:tc>
        <w:tc>
          <w:tcPr>
            <w:tcW w:w="3164" w:type="dxa"/>
            <w:shd w:val="clear" w:color="auto" w:fill="E4DFEB"/>
          </w:tcPr>
          <w:p>
            <w:pPr>
              <w:pStyle w:val="TableParagraph"/>
              <w:spacing w:line="226" w:lineRule="exact"/>
              <w:ind w:left="488"/>
              <w:rPr>
                <w:sz w:val="20"/>
              </w:rPr>
            </w:pPr>
            <w:r>
              <w:rPr>
                <w:sz w:val="20"/>
              </w:rPr>
              <w:t>42.9% (6)</w:t>
            </w:r>
          </w:p>
        </w:tc>
      </w:tr>
      <w:tr>
        <w:trPr>
          <w:trHeight w:val="244" w:hRule="exact"/>
        </w:trPr>
        <w:tc>
          <w:tcPr>
            <w:tcW w:w="2741" w:type="dxa"/>
            <w:shd w:val="clear" w:color="auto" w:fill="E4DFEB"/>
          </w:tcPr>
          <w:p>
            <w:pPr/>
          </w:p>
        </w:tc>
        <w:tc>
          <w:tcPr>
            <w:tcW w:w="3111" w:type="dxa"/>
            <w:shd w:val="clear" w:color="auto" w:fill="E4DFEB"/>
          </w:tcPr>
          <w:p>
            <w:pPr>
              <w:pStyle w:val="TableParagraph"/>
              <w:spacing w:line="226" w:lineRule="exact"/>
              <w:ind w:left="196"/>
              <w:rPr>
                <w:sz w:val="20"/>
              </w:rPr>
            </w:pPr>
            <w:r>
              <w:rPr>
                <w:sz w:val="20"/>
              </w:rPr>
              <w:t>10 to 14 years</w:t>
            </w:r>
          </w:p>
        </w:tc>
        <w:tc>
          <w:tcPr>
            <w:tcW w:w="3164" w:type="dxa"/>
            <w:shd w:val="clear" w:color="auto" w:fill="E4DFEB"/>
          </w:tcPr>
          <w:p>
            <w:pPr>
              <w:pStyle w:val="TableParagraph"/>
              <w:spacing w:line="226" w:lineRule="exact"/>
              <w:ind w:left="488"/>
              <w:rPr>
                <w:sz w:val="20"/>
              </w:rPr>
            </w:pPr>
            <w:r>
              <w:rPr>
                <w:sz w:val="20"/>
              </w:rPr>
              <w:t>7.1% (1)</w:t>
            </w:r>
          </w:p>
        </w:tc>
      </w:tr>
      <w:tr>
        <w:trPr>
          <w:trHeight w:val="227" w:hRule="exact"/>
        </w:trPr>
        <w:tc>
          <w:tcPr>
            <w:tcW w:w="2741" w:type="dxa"/>
            <w:shd w:val="clear" w:color="auto" w:fill="E4DFEB"/>
          </w:tcPr>
          <w:p>
            <w:pPr/>
          </w:p>
        </w:tc>
        <w:tc>
          <w:tcPr>
            <w:tcW w:w="3111" w:type="dxa"/>
            <w:shd w:val="clear" w:color="auto" w:fill="E4DFEB"/>
          </w:tcPr>
          <w:p>
            <w:pPr>
              <w:pStyle w:val="TableParagraph"/>
              <w:spacing w:line="226" w:lineRule="exact"/>
              <w:ind w:left="196"/>
              <w:rPr>
                <w:sz w:val="20"/>
              </w:rPr>
            </w:pPr>
            <w:r>
              <w:rPr>
                <w:sz w:val="20"/>
              </w:rPr>
              <w:t>15 years or more</w:t>
            </w:r>
          </w:p>
        </w:tc>
        <w:tc>
          <w:tcPr>
            <w:tcW w:w="3164" w:type="dxa"/>
            <w:shd w:val="clear" w:color="auto" w:fill="E4DFEB"/>
          </w:tcPr>
          <w:p>
            <w:pPr>
              <w:pStyle w:val="TableParagraph"/>
              <w:spacing w:line="226" w:lineRule="exact"/>
              <w:ind w:left="488"/>
              <w:rPr>
                <w:sz w:val="20"/>
              </w:rPr>
            </w:pPr>
            <w:r>
              <w:rPr>
                <w:sz w:val="20"/>
              </w:rPr>
              <w:t>14.3% (2)</w:t>
            </w:r>
          </w:p>
        </w:tc>
      </w:tr>
      <w:tr>
        <w:trPr>
          <w:trHeight w:val="261" w:hRule="exact"/>
        </w:trPr>
        <w:tc>
          <w:tcPr>
            <w:tcW w:w="2741" w:type="dxa"/>
          </w:tcPr>
          <w:p>
            <w:pPr>
              <w:pStyle w:val="TableParagraph"/>
              <w:spacing w:line="243" w:lineRule="exact"/>
              <w:ind w:left="108"/>
              <w:rPr>
                <w:b/>
                <w:sz w:val="20"/>
              </w:rPr>
            </w:pPr>
            <w:r>
              <w:rPr>
                <w:b/>
                <w:sz w:val="20"/>
              </w:rPr>
              <w:t>Type of opioids prescribed*</w:t>
            </w:r>
          </w:p>
        </w:tc>
        <w:tc>
          <w:tcPr>
            <w:tcW w:w="3111" w:type="dxa"/>
          </w:tcPr>
          <w:p>
            <w:pPr>
              <w:pStyle w:val="TableParagraph"/>
              <w:spacing w:line="243" w:lineRule="exact"/>
              <w:ind w:left="196"/>
              <w:rPr>
                <w:sz w:val="20"/>
              </w:rPr>
            </w:pPr>
            <w:r>
              <w:rPr>
                <w:sz w:val="20"/>
              </w:rPr>
              <w:t>Oxycodone</w:t>
            </w:r>
          </w:p>
        </w:tc>
        <w:tc>
          <w:tcPr>
            <w:tcW w:w="3164" w:type="dxa"/>
          </w:tcPr>
          <w:p>
            <w:pPr>
              <w:pStyle w:val="TableParagraph"/>
              <w:spacing w:line="243" w:lineRule="exact"/>
              <w:ind w:left="488"/>
              <w:rPr>
                <w:sz w:val="20"/>
              </w:rPr>
            </w:pPr>
            <w:r>
              <w:rPr>
                <w:sz w:val="20"/>
              </w:rPr>
              <w:t>64.3% (9)</w:t>
            </w:r>
          </w:p>
        </w:tc>
      </w:tr>
      <w:tr>
        <w:trPr>
          <w:trHeight w:val="244" w:hRule="exact"/>
        </w:trPr>
        <w:tc>
          <w:tcPr>
            <w:tcW w:w="2741" w:type="dxa"/>
          </w:tcPr>
          <w:p>
            <w:pPr/>
          </w:p>
        </w:tc>
        <w:tc>
          <w:tcPr>
            <w:tcW w:w="3111" w:type="dxa"/>
          </w:tcPr>
          <w:p>
            <w:pPr>
              <w:pStyle w:val="TableParagraph"/>
              <w:spacing w:line="226" w:lineRule="exact"/>
              <w:ind w:left="196"/>
              <w:rPr>
                <w:sz w:val="20"/>
              </w:rPr>
            </w:pPr>
            <w:r>
              <w:rPr>
                <w:sz w:val="20"/>
              </w:rPr>
              <w:t>Tramadol</w:t>
            </w:r>
          </w:p>
        </w:tc>
        <w:tc>
          <w:tcPr>
            <w:tcW w:w="3164" w:type="dxa"/>
          </w:tcPr>
          <w:p>
            <w:pPr>
              <w:pStyle w:val="TableParagraph"/>
              <w:spacing w:line="226" w:lineRule="exact"/>
              <w:ind w:left="488"/>
              <w:rPr>
                <w:sz w:val="20"/>
              </w:rPr>
            </w:pPr>
            <w:r>
              <w:rPr>
                <w:sz w:val="20"/>
              </w:rPr>
              <w:t>28.6% (4)</w:t>
            </w:r>
          </w:p>
        </w:tc>
      </w:tr>
      <w:tr>
        <w:trPr>
          <w:trHeight w:val="244" w:hRule="exact"/>
        </w:trPr>
        <w:tc>
          <w:tcPr>
            <w:tcW w:w="2741" w:type="dxa"/>
          </w:tcPr>
          <w:p>
            <w:pPr/>
          </w:p>
        </w:tc>
        <w:tc>
          <w:tcPr>
            <w:tcW w:w="3111" w:type="dxa"/>
          </w:tcPr>
          <w:p>
            <w:pPr>
              <w:pStyle w:val="TableParagraph"/>
              <w:spacing w:line="226" w:lineRule="exact"/>
              <w:ind w:left="196"/>
              <w:rPr>
                <w:sz w:val="20"/>
              </w:rPr>
            </w:pPr>
            <w:r>
              <w:rPr>
                <w:sz w:val="20"/>
              </w:rPr>
              <w:t>Tapentadol</w:t>
            </w:r>
          </w:p>
        </w:tc>
        <w:tc>
          <w:tcPr>
            <w:tcW w:w="3164" w:type="dxa"/>
          </w:tcPr>
          <w:p>
            <w:pPr>
              <w:pStyle w:val="TableParagraph"/>
              <w:spacing w:line="226" w:lineRule="exact"/>
              <w:ind w:left="488"/>
              <w:rPr>
                <w:sz w:val="20"/>
              </w:rPr>
            </w:pPr>
            <w:r>
              <w:rPr>
                <w:sz w:val="20"/>
              </w:rPr>
              <w:t>14.3% (2)</w:t>
            </w:r>
          </w:p>
        </w:tc>
      </w:tr>
      <w:tr>
        <w:trPr>
          <w:trHeight w:val="244" w:hRule="exact"/>
        </w:trPr>
        <w:tc>
          <w:tcPr>
            <w:tcW w:w="2741" w:type="dxa"/>
          </w:tcPr>
          <w:p>
            <w:pPr/>
          </w:p>
        </w:tc>
        <w:tc>
          <w:tcPr>
            <w:tcW w:w="3111" w:type="dxa"/>
          </w:tcPr>
          <w:p>
            <w:pPr>
              <w:pStyle w:val="TableParagraph"/>
              <w:spacing w:line="226" w:lineRule="exact"/>
              <w:ind w:left="196"/>
              <w:rPr>
                <w:sz w:val="20"/>
              </w:rPr>
            </w:pPr>
            <w:r>
              <w:rPr>
                <w:sz w:val="20"/>
              </w:rPr>
              <w:t>Codeine</w:t>
            </w:r>
          </w:p>
        </w:tc>
        <w:tc>
          <w:tcPr>
            <w:tcW w:w="3164" w:type="dxa"/>
          </w:tcPr>
          <w:p>
            <w:pPr>
              <w:pStyle w:val="TableParagraph"/>
              <w:spacing w:line="226" w:lineRule="exact"/>
              <w:ind w:left="488"/>
              <w:rPr>
                <w:sz w:val="20"/>
              </w:rPr>
            </w:pPr>
            <w:r>
              <w:rPr>
                <w:sz w:val="20"/>
              </w:rPr>
              <w:t>14.3% (2)</w:t>
            </w:r>
          </w:p>
        </w:tc>
      </w:tr>
      <w:tr>
        <w:trPr>
          <w:trHeight w:val="227" w:hRule="exact"/>
        </w:trPr>
        <w:tc>
          <w:tcPr>
            <w:tcW w:w="2741" w:type="dxa"/>
          </w:tcPr>
          <w:p>
            <w:pPr/>
          </w:p>
        </w:tc>
        <w:tc>
          <w:tcPr>
            <w:tcW w:w="3111" w:type="dxa"/>
          </w:tcPr>
          <w:p>
            <w:pPr>
              <w:pStyle w:val="TableParagraph"/>
              <w:spacing w:line="226" w:lineRule="exact"/>
              <w:ind w:left="196"/>
              <w:rPr>
                <w:sz w:val="20"/>
              </w:rPr>
            </w:pPr>
            <w:r>
              <w:rPr>
                <w:sz w:val="20"/>
              </w:rPr>
              <w:t>Buprenorphine</w:t>
            </w:r>
          </w:p>
        </w:tc>
        <w:tc>
          <w:tcPr>
            <w:tcW w:w="3164" w:type="dxa"/>
          </w:tcPr>
          <w:p>
            <w:pPr>
              <w:pStyle w:val="TableParagraph"/>
              <w:spacing w:line="226" w:lineRule="exact"/>
              <w:ind w:left="488"/>
              <w:rPr>
                <w:sz w:val="20"/>
              </w:rPr>
            </w:pPr>
            <w:r>
              <w:rPr>
                <w:sz w:val="20"/>
              </w:rPr>
              <w:t>7.1% (1)</w:t>
            </w:r>
          </w:p>
        </w:tc>
      </w:tr>
      <w:tr>
        <w:trPr>
          <w:trHeight w:val="261" w:hRule="exact"/>
        </w:trPr>
        <w:tc>
          <w:tcPr>
            <w:tcW w:w="2741" w:type="dxa"/>
            <w:shd w:val="clear" w:color="auto" w:fill="E4DFEB"/>
          </w:tcPr>
          <w:p>
            <w:pPr>
              <w:pStyle w:val="TableParagraph"/>
              <w:spacing w:line="243" w:lineRule="exact"/>
              <w:ind w:left="108"/>
              <w:rPr>
                <w:b/>
                <w:sz w:val="20"/>
              </w:rPr>
            </w:pPr>
            <w:r>
              <w:rPr>
                <w:b/>
                <w:sz w:val="20"/>
              </w:rPr>
              <w:t>Highest daily prescribed dose</w:t>
            </w:r>
          </w:p>
        </w:tc>
        <w:tc>
          <w:tcPr>
            <w:tcW w:w="3111" w:type="dxa"/>
            <w:shd w:val="clear" w:color="auto" w:fill="E4DFEB"/>
          </w:tcPr>
          <w:p>
            <w:pPr>
              <w:pStyle w:val="TableParagraph"/>
              <w:spacing w:line="243" w:lineRule="exact"/>
              <w:ind w:left="196"/>
              <w:rPr>
                <w:sz w:val="20"/>
              </w:rPr>
            </w:pPr>
            <w:r>
              <w:rPr>
                <w:sz w:val="20"/>
              </w:rPr>
              <w:t>0-49mg</w:t>
            </w:r>
          </w:p>
        </w:tc>
        <w:tc>
          <w:tcPr>
            <w:tcW w:w="3164" w:type="dxa"/>
            <w:shd w:val="clear" w:color="auto" w:fill="E4DFEB"/>
          </w:tcPr>
          <w:p>
            <w:pPr>
              <w:pStyle w:val="TableParagraph"/>
              <w:spacing w:line="243" w:lineRule="exact"/>
              <w:ind w:left="488"/>
              <w:rPr>
                <w:sz w:val="20"/>
              </w:rPr>
            </w:pPr>
            <w:r>
              <w:rPr>
                <w:sz w:val="20"/>
              </w:rPr>
              <w:t>21.4% (3)</w:t>
            </w:r>
          </w:p>
        </w:tc>
      </w:tr>
      <w:tr>
        <w:trPr>
          <w:trHeight w:val="244" w:hRule="exact"/>
        </w:trPr>
        <w:tc>
          <w:tcPr>
            <w:tcW w:w="2741" w:type="dxa"/>
            <w:shd w:val="clear" w:color="auto" w:fill="E4DFEB"/>
          </w:tcPr>
          <w:p>
            <w:pPr>
              <w:pStyle w:val="TableParagraph"/>
              <w:spacing w:line="226" w:lineRule="exact"/>
              <w:ind w:left="108"/>
              <w:rPr>
                <w:b/>
                <w:sz w:val="20"/>
              </w:rPr>
            </w:pPr>
            <w:r>
              <w:rPr>
                <w:b/>
                <w:sz w:val="20"/>
              </w:rPr>
              <w:t>(oral morphine equivalent)</w:t>
            </w:r>
          </w:p>
        </w:tc>
        <w:tc>
          <w:tcPr>
            <w:tcW w:w="3111" w:type="dxa"/>
            <w:shd w:val="clear" w:color="auto" w:fill="E4DFEB"/>
          </w:tcPr>
          <w:p>
            <w:pPr>
              <w:pStyle w:val="TableParagraph"/>
              <w:spacing w:line="226" w:lineRule="exact"/>
              <w:ind w:left="196"/>
              <w:rPr>
                <w:sz w:val="20"/>
              </w:rPr>
            </w:pPr>
            <w:r>
              <w:rPr>
                <w:sz w:val="20"/>
              </w:rPr>
              <w:t>50-99mg</w:t>
            </w:r>
          </w:p>
        </w:tc>
        <w:tc>
          <w:tcPr>
            <w:tcW w:w="3164" w:type="dxa"/>
            <w:shd w:val="clear" w:color="auto" w:fill="E4DFEB"/>
          </w:tcPr>
          <w:p>
            <w:pPr>
              <w:pStyle w:val="TableParagraph"/>
              <w:spacing w:line="226" w:lineRule="exact"/>
              <w:ind w:left="488"/>
              <w:rPr>
                <w:sz w:val="20"/>
              </w:rPr>
            </w:pPr>
            <w:r>
              <w:rPr>
                <w:sz w:val="20"/>
              </w:rPr>
              <w:t>28.6% (4)</w:t>
            </w:r>
          </w:p>
        </w:tc>
      </w:tr>
      <w:tr>
        <w:trPr>
          <w:trHeight w:val="244" w:hRule="exact"/>
        </w:trPr>
        <w:tc>
          <w:tcPr>
            <w:tcW w:w="2741" w:type="dxa"/>
            <w:shd w:val="clear" w:color="auto" w:fill="E4DFEB"/>
          </w:tcPr>
          <w:p>
            <w:pPr/>
          </w:p>
        </w:tc>
        <w:tc>
          <w:tcPr>
            <w:tcW w:w="3111" w:type="dxa"/>
            <w:shd w:val="clear" w:color="auto" w:fill="E4DFEB"/>
          </w:tcPr>
          <w:p>
            <w:pPr>
              <w:pStyle w:val="TableParagraph"/>
              <w:spacing w:line="226" w:lineRule="exact"/>
              <w:ind w:left="196"/>
              <w:rPr>
                <w:sz w:val="20"/>
              </w:rPr>
            </w:pPr>
            <w:r>
              <w:rPr>
                <w:sz w:val="20"/>
              </w:rPr>
              <w:t>100-149mg</w:t>
            </w:r>
          </w:p>
        </w:tc>
        <w:tc>
          <w:tcPr>
            <w:tcW w:w="3164" w:type="dxa"/>
            <w:shd w:val="clear" w:color="auto" w:fill="E4DFEB"/>
          </w:tcPr>
          <w:p>
            <w:pPr>
              <w:pStyle w:val="TableParagraph"/>
              <w:spacing w:line="226" w:lineRule="exact"/>
              <w:ind w:left="488"/>
              <w:rPr>
                <w:sz w:val="20"/>
              </w:rPr>
            </w:pPr>
            <w:r>
              <w:rPr>
                <w:sz w:val="20"/>
              </w:rPr>
              <w:t>21.4% (3)</w:t>
            </w:r>
          </w:p>
        </w:tc>
      </w:tr>
      <w:tr>
        <w:trPr>
          <w:trHeight w:val="232" w:hRule="exact"/>
        </w:trPr>
        <w:tc>
          <w:tcPr>
            <w:tcW w:w="2741" w:type="dxa"/>
            <w:tcBorders>
              <w:bottom w:val="single" w:sz="4" w:space="0" w:color="8063A1"/>
            </w:tcBorders>
            <w:shd w:val="clear" w:color="auto" w:fill="E4DFEB"/>
          </w:tcPr>
          <w:p>
            <w:pPr/>
          </w:p>
        </w:tc>
        <w:tc>
          <w:tcPr>
            <w:tcW w:w="3111" w:type="dxa"/>
            <w:tcBorders>
              <w:bottom w:val="single" w:sz="4" w:space="0" w:color="8063A1"/>
            </w:tcBorders>
            <w:shd w:val="clear" w:color="auto" w:fill="E4DFEB"/>
          </w:tcPr>
          <w:p>
            <w:pPr>
              <w:pStyle w:val="TableParagraph"/>
              <w:spacing w:line="226" w:lineRule="exact"/>
              <w:ind w:left="196"/>
              <w:rPr>
                <w:sz w:val="20"/>
              </w:rPr>
            </w:pPr>
            <w:r>
              <w:rPr>
                <w:sz w:val="20"/>
              </w:rPr>
              <w:t>150mg+</w:t>
            </w:r>
          </w:p>
        </w:tc>
        <w:tc>
          <w:tcPr>
            <w:tcW w:w="3164" w:type="dxa"/>
            <w:tcBorders>
              <w:bottom w:val="single" w:sz="4" w:space="0" w:color="8063A1"/>
            </w:tcBorders>
            <w:shd w:val="clear" w:color="auto" w:fill="E4DFEB"/>
          </w:tcPr>
          <w:p>
            <w:pPr>
              <w:pStyle w:val="TableParagraph"/>
              <w:spacing w:line="226" w:lineRule="exact"/>
              <w:ind w:left="488"/>
              <w:rPr>
                <w:sz w:val="20"/>
              </w:rPr>
            </w:pPr>
            <w:r>
              <w:rPr>
                <w:sz w:val="20"/>
              </w:rPr>
              <w:t>28.6% (4)</w:t>
            </w:r>
          </w:p>
        </w:tc>
      </w:tr>
    </w:tbl>
    <w:p>
      <w:pPr>
        <w:spacing w:line="239" w:lineRule="exact" w:before="0"/>
        <w:ind w:left="120" w:right="0" w:firstLine="0"/>
        <w:jc w:val="both"/>
        <w:rPr>
          <w:sz w:val="20"/>
        </w:rPr>
      </w:pPr>
      <w:r>
        <w:rPr>
          <w:sz w:val="20"/>
        </w:rPr>
        <w:t>*Percentages do not add up to 100%, due to concurrent prescribing</w:t>
      </w:r>
    </w:p>
    <w:p>
      <w:pPr>
        <w:pStyle w:val="BodyText"/>
        <w:rPr>
          <w:sz w:val="22"/>
        </w:rPr>
      </w:pPr>
    </w:p>
    <w:p>
      <w:pPr>
        <w:pStyle w:val="Heading2"/>
        <w:ind w:left="120"/>
      </w:pPr>
      <w:r>
        <w:rPr/>
        <w:t>Patient knowledge of overdose</w:t>
      </w:r>
    </w:p>
    <w:p>
      <w:pPr>
        <w:pStyle w:val="BodyText"/>
        <w:rPr>
          <w:b/>
        </w:rPr>
      </w:pPr>
    </w:p>
    <w:p>
      <w:pPr>
        <w:pStyle w:val="BodyText"/>
        <w:spacing w:before="1"/>
        <w:ind w:left="119" w:right="116"/>
        <w:jc w:val="both"/>
      </w:pPr>
      <w:r>
        <w:rPr/>
        <w:t>Patients held diverse views about the meaning and causes of ‘overdose’. Participants most commonly</w:t>
      </w:r>
      <w:r>
        <w:rPr>
          <w:spacing w:val="-8"/>
        </w:rPr>
        <w:t> </w:t>
      </w:r>
      <w:r>
        <w:rPr/>
        <w:t>thought</w:t>
      </w:r>
      <w:r>
        <w:rPr>
          <w:spacing w:val="-9"/>
        </w:rPr>
        <w:t> </w:t>
      </w:r>
      <w:r>
        <w:rPr/>
        <w:t>that</w:t>
      </w:r>
      <w:r>
        <w:rPr>
          <w:spacing w:val="-8"/>
        </w:rPr>
        <w:t> </w:t>
      </w:r>
      <w:r>
        <w:rPr/>
        <w:t>overdose</w:t>
      </w:r>
      <w:r>
        <w:rPr>
          <w:spacing w:val="-8"/>
        </w:rPr>
        <w:t> </w:t>
      </w:r>
      <w:r>
        <w:rPr/>
        <w:t>refers</w:t>
      </w:r>
      <w:r>
        <w:rPr>
          <w:spacing w:val="-9"/>
        </w:rPr>
        <w:t> </w:t>
      </w:r>
      <w:r>
        <w:rPr/>
        <w:t>to</w:t>
      </w:r>
      <w:r>
        <w:rPr>
          <w:spacing w:val="-9"/>
        </w:rPr>
        <w:t> </w:t>
      </w:r>
      <w:r>
        <w:rPr/>
        <w:t>‘taking</w:t>
      </w:r>
      <w:r>
        <w:rPr>
          <w:spacing w:val="-9"/>
        </w:rPr>
        <w:t> </w:t>
      </w:r>
      <w:r>
        <w:rPr/>
        <w:t>too</w:t>
      </w:r>
      <w:r>
        <w:rPr>
          <w:spacing w:val="-9"/>
        </w:rPr>
        <w:t> </w:t>
      </w:r>
      <w:r>
        <w:rPr/>
        <w:t>much’,</w:t>
      </w:r>
      <w:r>
        <w:rPr>
          <w:spacing w:val="-7"/>
        </w:rPr>
        <w:t> </w:t>
      </w:r>
      <w:r>
        <w:rPr/>
        <w:t>especially</w:t>
      </w:r>
      <w:r>
        <w:rPr>
          <w:spacing w:val="-8"/>
        </w:rPr>
        <w:t> </w:t>
      </w:r>
      <w:r>
        <w:rPr/>
        <w:t>taking</w:t>
      </w:r>
      <w:r>
        <w:rPr>
          <w:spacing w:val="-9"/>
        </w:rPr>
        <w:t> </w:t>
      </w:r>
      <w:r>
        <w:rPr/>
        <w:t>more</w:t>
      </w:r>
      <w:r>
        <w:rPr>
          <w:spacing w:val="-8"/>
        </w:rPr>
        <w:t> </w:t>
      </w:r>
      <w:r>
        <w:rPr/>
        <w:t>than</w:t>
      </w:r>
      <w:r>
        <w:rPr>
          <w:spacing w:val="-9"/>
        </w:rPr>
        <w:t> </w:t>
      </w:r>
      <w:r>
        <w:rPr/>
        <w:t>the prescribed dose. Another common belief was that overdose was related to illicit substance use (including associations with ‘druggies’ and ‘IV drug users’). Other beliefs included that overdose was strongly related to addiction, with some patients using ‘addiction’ and ‘overdose’</w:t>
      </w:r>
      <w:r>
        <w:rPr>
          <w:spacing w:val="-10"/>
        </w:rPr>
        <w:t> </w:t>
      </w:r>
      <w:r>
        <w:rPr/>
        <w:t>interchangeably.</w:t>
      </w:r>
      <w:r>
        <w:rPr>
          <w:spacing w:val="-10"/>
        </w:rPr>
        <w:t> </w:t>
      </w:r>
      <w:r>
        <w:rPr/>
        <w:t>Patients</w:t>
      </w:r>
      <w:r>
        <w:rPr>
          <w:spacing w:val="-10"/>
        </w:rPr>
        <w:t> </w:t>
      </w:r>
      <w:r>
        <w:rPr/>
        <w:t>also</w:t>
      </w:r>
      <w:r>
        <w:rPr>
          <w:spacing w:val="-10"/>
        </w:rPr>
        <w:t> </w:t>
      </w:r>
      <w:r>
        <w:rPr/>
        <w:t>associated</w:t>
      </w:r>
      <w:r>
        <w:rPr>
          <w:spacing w:val="-10"/>
        </w:rPr>
        <w:t> </w:t>
      </w:r>
      <w:r>
        <w:rPr/>
        <w:t>overdose</w:t>
      </w:r>
      <w:r>
        <w:rPr>
          <w:spacing w:val="-9"/>
        </w:rPr>
        <w:t> </w:t>
      </w:r>
      <w:r>
        <w:rPr/>
        <w:t>with</w:t>
      </w:r>
      <w:r>
        <w:rPr>
          <w:spacing w:val="-10"/>
        </w:rPr>
        <w:t> </w:t>
      </w:r>
      <w:r>
        <w:rPr/>
        <w:t>certain</w:t>
      </w:r>
      <w:r>
        <w:rPr>
          <w:spacing w:val="-10"/>
        </w:rPr>
        <w:t> </w:t>
      </w:r>
      <w:r>
        <w:rPr/>
        <w:t>types</w:t>
      </w:r>
      <w:r>
        <w:rPr>
          <w:spacing w:val="-10"/>
        </w:rPr>
        <w:t> </w:t>
      </w:r>
      <w:r>
        <w:rPr/>
        <w:t>of</w:t>
      </w:r>
      <w:r>
        <w:rPr>
          <w:spacing w:val="-10"/>
        </w:rPr>
        <w:t> </w:t>
      </w:r>
      <w:r>
        <w:rPr/>
        <w:t>people</w:t>
      </w:r>
      <w:r>
        <w:rPr>
          <w:spacing w:val="-9"/>
        </w:rPr>
        <w:t> </w:t>
      </w:r>
      <w:r>
        <w:rPr/>
        <w:t>or behaviour, including people who show carelessness, people who ‘like to be out of it’, people without social supports, people with mental health difficulties (including suicidality), and people experiencing financial stressors. Only two patients mentioned mixing opioids with alcohol or other medicines as a cause of</w:t>
      </w:r>
      <w:r>
        <w:rPr>
          <w:spacing w:val="-22"/>
        </w:rPr>
        <w:t> </w:t>
      </w:r>
      <w:r>
        <w:rPr/>
        <w:t>overdose.</w:t>
      </w:r>
    </w:p>
    <w:p>
      <w:pPr>
        <w:pStyle w:val="BodyText"/>
        <w:spacing w:before="12"/>
        <w:rPr>
          <w:sz w:val="23"/>
        </w:rPr>
      </w:pPr>
    </w:p>
    <w:p>
      <w:pPr>
        <w:pStyle w:val="BodyText"/>
        <w:ind w:left="119" w:right="118"/>
        <w:jc w:val="both"/>
      </w:pPr>
      <w:r>
        <w:rPr/>
        <w:t>Patients</w:t>
      </w:r>
      <w:r>
        <w:rPr>
          <w:spacing w:val="-10"/>
        </w:rPr>
        <w:t> </w:t>
      </w:r>
      <w:r>
        <w:rPr/>
        <w:t>also</w:t>
      </w:r>
      <w:r>
        <w:rPr>
          <w:spacing w:val="-10"/>
        </w:rPr>
        <w:t> </w:t>
      </w:r>
      <w:r>
        <w:rPr/>
        <w:t>expressed</w:t>
      </w:r>
      <w:r>
        <w:rPr>
          <w:spacing w:val="-11"/>
        </w:rPr>
        <w:t> </w:t>
      </w:r>
      <w:r>
        <w:rPr/>
        <w:t>different</w:t>
      </w:r>
      <w:r>
        <w:rPr>
          <w:spacing w:val="-10"/>
        </w:rPr>
        <w:t> </w:t>
      </w:r>
      <w:r>
        <w:rPr/>
        <w:t>understandings</w:t>
      </w:r>
      <w:r>
        <w:rPr>
          <w:spacing w:val="-10"/>
        </w:rPr>
        <w:t> </w:t>
      </w:r>
      <w:r>
        <w:rPr/>
        <w:t>of</w:t>
      </w:r>
      <w:r>
        <w:rPr>
          <w:spacing w:val="-10"/>
        </w:rPr>
        <w:t> </w:t>
      </w:r>
      <w:r>
        <w:rPr/>
        <w:t>the</w:t>
      </w:r>
      <w:r>
        <w:rPr>
          <w:spacing w:val="-9"/>
        </w:rPr>
        <w:t> </w:t>
      </w:r>
      <w:r>
        <w:rPr/>
        <w:t>signs</w:t>
      </w:r>
      <w:r>
        <w:rPr>
          <w:spacing w:val="-10"/>
        </w:rPr>
        <w:t> </w:t>
      </w:r>
      <w:r>
        <w:rPr/>
        <w:t>and</w:t>
      </w:r>
      <w:r>
        <w:rPr>
          <w:spacing w:val="-10"/>
        </w:rPr>
        <w:t> </w:t>
      </w:r>
      <w:r>
        <w:rPr/>
        <w:t>symptoms</w:t>
      </w:r>
      <w:r>
        <w:rPr>
          <w:spacing w:val="-10"/>
        </w:rPr>
        <w:t> </w:t>
      </w:r>
      <w:r>
        <w:rPr/>
        <w:t>of</w:t>
      </w:r>
      <w:r>
        <w:rPr>
          <w:spacing w:val="-10"/>
        </w:rPr>
        <w:t> </w:t>
      </w:r>
      <w:r>
        <w:rPr/>
        <w:t>overdose.</w:t>
      </w:r>
      <w:r>
        <w:rPr>
          <w:spacing w:val="-10"/>
        </w:rPr>
        <w:t> </w:t>
      </w:r>
      <w:r>
        <w:rPr/>
        <w:t>The most common signs and symptoms mentioned included those related to drowsiness (including falling asleep, loss of consciousness, being unresponsive, and slowed reactions). Less</w:t>
      </w:r>
      <w:r>
        <w:rPr>
          <w:spacing w:val="-12"/>
        </w:rPr>
        <w:t> </w:t>
      </w:r>
      <w:r>
        <w:rPr/>
        <w:t>common</w:t>
      </w:r>
      <w:r>
        <w:rPr>
          <w:spacing w:val="-12"/>
        </w:rPr>
        <w:t> </w:t>
      </w:r>
      <w:r>
        <w:rPr/>
        <w:t>signs</w:t>
      </w:r>
      <w:r>
        <w:rPr>
          <w:spacing w:val="-11"/>
        </w:rPr>
        <w:t> </w:t>
      </w:r>
      <w:r>
        <w:rPr/>
        <w:t>or</w:t>
      </w:r>
      <w:r>
        <w:rPr>
          <w:spacing w:val="-12"/>
        </w:rPr>
        <w:t> </w:t>
      </w:r>
      <w:r>
        <w:rPr/>
        <w:t>symptoms</w:t>
      </w:r>
      <w:r>
        <w:rPr>
          <w:spacing w:val="-12"/>
        </w:rPr>
        <w:t> </w:t>
      </w:r>
      <w:r>
        <w:rPr/>
        <w:t>reported</w:t>
      </w:r>
      <w:r>
        <w:rPr>
          <w:spacing w:val="-12"/>
        </w:rPr>
        <w:t> </w:t>
      </w:r>
      <w:r>
        <w:rPr/>
        <w:t>included</w:t>
      </w:r>
      <w:r>
        <w:rPr>
          <w:spacing w:val="-12"/>
        </w:rPr>
        <w:t> </w:t>
      </w:r>
      <w:r>
        <w:rPr/>
        <w:t>stopped</w:t>
      </w:r>
      <w:r>
        <w:rPr>
          <w:spacing w:val="-11"/>
        </w:rPr>
        <w:t> </w:t>
      </w:r>
      <w:r>
        <w:rPr/>
        <w:t>breathing,</w:t>
      </w:r>
      <w:r>
        <w:rPr>
          <w:spacing w:val="-12"/>
        </w:rPr>
        <w:t> </w:t>
      </w:r>
      <w:r>
        <w:rPr/>
        <w:t>constipation,</w:t>
      </w:r>
      <w:r>
        <w:rPr>
          <w:spacing w:val="-11"/>
        </w:rPr>
        <w:t> </w:t>
      </w:r>
      <w:r>
        <w:rPr/>
        <w:t>foaming at the mouth, convulsions, changes in heartbeat, slurred speech and altered vision. Patients often described scenarios included stigmatised ideas of overdose (including ‘sitting on a lino floor’, being on the street, and illicit drugs), and ‘worst case scenarios’ (‘family finding  </w:t>
      </w:r>
      <w:r>
        <w:rPr>
          <w:spacing w:val="3"/>
        </w:rPr>
        <w:t> </w:t>
      </w:r>
      <w:r>
        <w:rPr/>
        <w:t>you’,</w:t>
      </w:r>
    </w:p>
    <w:p>
      <w:pPr>
        <w:spacing w:after="0"/>
        <w:jc w:val="both"/>
        <w:sectPr>
          <w:footerReference w:type="default" r:id="rId10"/>
          <w:pgSz w:w="11910" w:h="16840"/>
          <w:pgMar w:footer="1328" w:header="0" w:top="1580" w:bottom="1520" w:left="1320" w:right="1320"/>
        </w:sectPr>
      </w:pPr>
    </w:p>
    <w:p>
      <w:pPr>
        <w:pStyle w:val="BodyText"/>
        <w:spacing w:before="37"/>
        <w:ind w:left="119" w:right="118"/>
        <w:jc w:val="both"/>
      </w:pPr>
      <w:r>
        <w:rPr/>
        <w:t>hospitalisation, and death). These scenarios illustrate that the term ‘overdose’ holds heavy connotations for patients, which may be loaded with strong emotions.</w:t>
      </w:r>
    </w:p>
    <w:p>
      <w:pPr>
        <w:pStyle w:val="BodyText"/>
        <w:spacing w:before="11"/>
        <w:rPr>
          <w:sz w:val="23"/>
        </w:rPr>
      </w:pPr>
    </w:p>
    <w:p>
      <w:pPr>
        <w:pStyle w:val="BodyText"/>
        <w:ind w:left="119" w:right="116"/>
        <w:jc w:val="both"/>
      </w:pPr>
      <w:r>
        <w:rPr/>
        <w:t>When asked about how they knew this information about overdose, patients listed a range of</w:t>
      </w:r>
      <w:r>
        <w:rPr>
          <w:spacing w:val="-5"/>
        </w:rPr>
        <w:t> </w:t>
      </w:r>
      <w:r>
        <w:rPr/>
        <w:t>information</w:t>
      </w:r>
      <w:r>
        <w:rPr>
          <w:spacing w:val="-5"/>
        </w:rPr>
        <w:t> </w:t>
      </w:r>
      <w:r>
        <w:rPr/>
        <w:t>sources.</w:t>
      </w:r>
      <w:r>
        <w:rPr>
          <w:spacing w:val="-4"/>
        </w:rPr>
        <w:t> </w:t>
      </w:r>
      <w:r>
        <w:rPr/>
        <w:t>Some</w:t>
      </w:r>
      <w:r>
        <w:rPr>
          <w:spacing w:val="-4"/>
        </w:rPr>
        <w:t> </w:t>
      </w:r>
      <w:r>
        <w:rPr/>
        <w:t>patients</w:t>
      </w:r>
      <w:r>
        <w:rPr>
          <w:spacing w:val="-5"/>
        </w:rPr>
        <w:t> </w:t>
      </w:r>
      <w:r>
        <w:rPr/>
        <w:t>received</w:t>
      </w:r>
      <w:r>
        <w:rPr>
          <w:spacing w:val="-5"/>
        </w:rPr>
        <w:t> </w:t>
      </w:r>
      <w:r>
        <w:rPr/>
        <w:t>information</w:t>
      </w:r>
      <w:r>
        <w:rPr>
          <w:spacing w:val="-5"/>
        </w:rPr>
        <w:t> </w:t>
      </w:r>
      <w:r>
        <w:rPr/>
        <w:t>from</w:t>
      </w:r>
      <w:r>
        <w:rPr>
          <w:spacing w:val="-5"/>
        </w:rPr>
        <w:t> </w:t>
      </w:r>
      <w:r>
        <w:rPr/>
        <w:t>their</w:t>
      </w:r>
      <w:r>
        <w:rPr>
          <w:spacing w:val="-4"/>
        </w:rPr>
        <w:t> </w:t>
      </w:r>
      <w:r>
        <w:rPr/>
        <w:t>doctor</w:t>
      </w:r>
      <w:r>
        <w:rPr>
          <w:spacing w:val="-5"/>
        </w:rPr>
        <w:t> </w:t>
      </w:r>
      <w:r>
        <w:rPr/>
        <w:t>or</w:t>
      </w:r>
      <w:r>
        <w:rPr>
          <w:spacing w:val="-5"/>
        </w:rPr>
        <w:t> </w:t>
      </w:r>
      <w:r>
        <w:rPr/>
        <w:t>pharmacist, although one participant discussed wanting to learn about opioid risks, but not receiving information from their doctor, and receiving only a medicine printout from their pharmacist. Many participants listed media sources, including news about celebrity overdose deaths and ambulance television shows. Other sources included social media, internet searches, and discussions with friends (who may be health</w:t>
      </w:r>
      <w:r>
        <w:rPr>
          <w:spacing w:val="-24"/>
        </w:rPr>
        <w:t> </w:t>
      </w:r>
      <w:r>
        <w:rPr/>
        <w:t>professionals).</w:t>
      </w:r>
    </w:p>
    <w:p>
      <w:pPr>
        <w:pStyle w:val="BodyText"/>
        <w:spacing w:before="11"/>
        <w:rPr>
          <w:sz w:val="23"/>
        </w:rPr>
      </w:pPr>
    </w:p>
    <w:p>
      <w:pPr>
        <w:pStyle w:val="Heading2"/>
      </w:pPr>
      <w:r>
        <w:rPr/>
        <w:t>Patient knowledge of naloxone</w:t>
      </w:r>
    </w:p>
    <w:p>
      <w:pPr>
        <w:pStyle w:val="BodyText"/>
        <w:rPr>
          <w:b/>
        </w:rPr>
      </w:pPr>
    </w:p>
    <w:p>
      <w:pPr>
        <w:pStyle w:val="BodyText"/>
        <w:ind w:left="119" w:right="116"/>
        <w:jc w:val="both"/>
      </w:pPr>
      <w:r>
        <w:rPr/>
        <w:t>Most (n=12) patients had heard of naloxone, and most (n=9) patients were aware that naloxone was used to reverse the effects of opioids, or stop an overdose. However, it was evident that there was little understanding of the practicalities of naloxone administration, including</w:t>
      </w:r>
      <w:r>
        <w:rPr>
          <w:spacing w:val="-7"/>
        </w:rPr>
        <w:t> </w:t>
      </w:r>
      <w:r>
        <w:rPr/>
        <w:t>who</w:t>
      </w:r>
      <w:r>
        <w:rPr>
          <w:spacing w:val="-7"/>
        </w:rPr>
        <w:t> </w:t>
      </w:r>
      <w:r>
        <w:rPr/>
        <w:t>can</w:t>
      </w:r>
      <w:r>
        <w:rPr>
          <w:spacing w:val="-6"/>
        </w:rPr>
        <w:t> </w:t>
      </w:r>
      <w:r>
        <w:rPr/>
        <w:t>access</w:t>
      </w:r>
      <w:r>
        <w:rPr>
          <w:spacing w:val="-7"/>
        </w:rPr>
        <w:t> </w:t>
      </w:r>
      <w:r>
        <w:rPr/>
        <w:t>or</w:t>
      </w:r>
      <w:r>
        <w:rPr>
          <w:spacing w:val="-5"/>
        </w:rPr>
        <w:t> </w:t>
      </w:r>
      <w:r>
        <w:rPr/>
        <w:t>administer</w:t>
      </w:r>
      <w:r>
        <w:rPr>
          <w:spacing w:val="-6"/>
        </w:rPr>
        <w:t> </w:t>
      </w:r>
      <w:r>
        <w:rPr/>
        <w:t>naloxone.</w:t>
      </w:r>
      <w:r>
        <w:rPr>
          <w:spacing w:val="-7"/>
        </w:rPr>
        <w:t> </w:t>
      </w:r>
      <w:r>
        <w:rPr/>
        <w:t>For</w:t>
      </w:r>
      <w:r>
        <w:rPr>
          <w:spacing w:val="-6"/>
        </w:rPr>
        <w:t> </w:t>
      </w:r>
      <w:r>
        <w:rPr/>
        <w:t>instance,</w:t>
      </w:r>
      <w:r>
        <w:rPr>
          <w:spacing w:val="-6"/>
        </w:rPr>
        <w:t> </w:t>
      </w:r>
      <w:r>
        <w:rPr/>
        <w:t>some</w:t>
      </w:r>
      <w:r>
        <w:rPr>
          <w:spacing w:val="-6"/>
        </w:rPr>
        <w:t> </w:t>
      </w:r>
      <w:r>
        <w:rPr/>
        <w:t>patients</w:t>
      </w:r>
      <w:r>
        <w:rPr>
          <w:spacing w:val="-7"/>
        </w:rPr>
        <w:t> </w:t>
      </w:r>
      <w:r>
        <w:rPr/>
        <w:t>believed</w:t>
      </w:r>
      <w:r>
        <w:rPr>
          <w:spacing w:val="-6"/>
        </w:rPr>
        <w:t> </w:t>
      </w:r>
      <w:r>
        <w:rPr/>
        <w:t>that</w:t>
      </w:r>
      <w:r>
        <w:rPr>
          <w:spacing w:val="-5"/>
        </w:rPr>
        <w:t> </w:t>
      </w:r>
      <w:r>
        <w:rPr/>
        <w:t>a qualification was required to administer naloxone, while others thought that naloxone must be administered by paramedics and other health professionals. They were also unsure about how a layperson can access naloxone, and how to administer naloxone. Naloxone was only known amongst participants in its injection form, with no patients expressing awareness of its nasal spray form. As with patient perceptions about overdose, some participants strongly associated naloxone with illicit drug use, including perceptions that it was for heroin or ‘drug users’. Participants also expressed uncertainty around the ‘safety’ of naloxone, including concerns</w:t>
      </w:r>
      <w:r>
        <w:rPr>
          <w:spacing w:val="-11"/>
        </w:rPr>
        <w:t> </w:t>
      </w:r>
      <w:r>
        <w:rPr/>
        <w:t>around</w:t>
      </w:r>
      <w:r>
        <w:rPr>
          <w:spacing w:val="-11"/>
        </w:rPr>
        <w:t> </w:t>
      </w:r>
      <w:r>
        <w:rPr/>
        <w:t>the</w:t>
      </w:r>
      <w:r>
        <w:rPr>
          <w:spacing w:val="-10"/>
        </w:rPr>
        <w:t> </w:t>
      </w:r>
      <w:r>
        <w:rPr/>
        <w:t>effects</w:t>
      </w:r>
      <w:r>
        <w:rPr>
          <w:spacing w:val="-11"/>
        </w:rPr>
        <w:t> </w:t>
      </w:r>
      <w:r>
        <w:rPr/>
        <w:t>of</w:t>
      </w:r>
      <w:r>
        <w:rPr>
          <w:spacing w:val="-11"/>
        </w:rPr>
        <w:t> </w:t>
      </w:r>
      <w:r>
        <w:rPr/>
        <w:t>naloxone</w:t>
      </w:r>
      <w:r>
        <w:rPr>
          <w:spacing w:val="-10"/>
        </w:rPr>
        <w:t> </w:t>
      </w:r>
      <w:r>
        <w:rPr/>
        <w:t>if</w:t>
      </w:r>
      <w:r>
        <w:rPr>
          <w:spacing w:val="-11"/>
        </w:rPr>
        <w:t> </w:t>
      </w:r>
      <w:r>
        <w:rPr/>
        <w:t>administered</w:t>
      </w:r>
      <w:r>
        <w:rPr>
          <w:spacing w:val="-11"/>
        </w:rPr>
        <w:t> </w:t>
      </w:r>
      <w:r>
        <w:rPr/>
        <w:t>in</w:t>
      </w:r>
      <w:r>
        <w:rPr>
          <w:spacing w:val="-11"/>
        </w:rPr>
        <w:t> </w:t>
      </w:r>
      <w:r>
        <w:rPr/>
        <w:t>a</w:t>
      </w:r>
      <w:r>
        <w:rPr>
          <w:spacing w:val="-11"/>
        </w:rPr>
        <w:t> </w:t>
      </w:r>
      <w:r>
        <w:rPr/>
        <w:t>situation</w:t>
      </w:r>
      <w:r>
        <w:rPr>
          <w:spacing w:val="-11"/>
        </w:rPr>
        <w:t> </w:t>
      </w:r>
      <w:r>
        <w:rPr/>
        <w:t>where</w:t>
      </w:r>
      <w:r>
        <w:rPr>
          <w:spacing w:val="-10"/>
        </w:rPr>
        <w:t> </w:t>
      </w:r>
      <w:r>
        <w:rPr/>
        <w:t>an</w:t>
      </w:r>
      <w:r>
        <w:rPr>
          <w:spacing w:val="-11"/>
        </w:rPr>
        <w:t> </w:t>
      </w:r>
      <w:r>
        <w:rPr/>
        <w:t>overdose</w:t>
      </w:r>
      <w:r>
        <w:rPr>
          <w:spacing w:val="-10"/>
        </w:rPr>
        <w:t> </w:t>
      </w:r>
      <w:r>
        <w:rPr/>
        <w:t>had not</w:t>
      </w:r>
      <w:r>
        <w:rPr>
          <w:spacing w:val="-8"/>
        </w:rPr>
        <w:t> </w:t>
      </w:r>
      <w:r>
        <w:rPr/>
        <w:t>occurred.</w:t>
      </w:r>
    </w:p>
    <w:p>
      <w:pPr>
        <w:pStyle w:val="BodyText"/>
      </w:pPr>
    </w:p>
    <w:p>
      <w:pPr>
        <w:pStyle w:val="Heading2"/>
      </w:pPr>
      <w:r>
        <w:rPr/>
        <w:t>Desired content areas</w:t>
      </w:r>
    </w:p>
    <w:p>
      <w:pPr>
        <w:pStyle w:val="BodyText"/>
        <w:spacing w:before="11"/>
        <w:rPr>
          <w:b/>
          <w:sz w:val="23"/>
        </w:rPr>
      </w:pPr>
    </w:p>
    <w:p>
      <w:pPr>
        <w:pStyle w:val="BodyText"/>
        <w:ind w:left="119" w:right="116"/>
        <w:jc w:val="both"/>
      </w:pPr>
      <w:r>
        <w:rPr/>
        <w:t>Most (n=12) patients expressed that they would like to receive information about overdose in the pharmacy setting, including how naloxone could be useful to them. Patients’ desired content is summarised in Table 3. The most commonly discussed content area was advice on how to prevent an overdose. This was followed by the signs and symptoms of overdose, general information about opioid risks, how to respond to overdose symptoms, how to use naloxone,</w:t>
      </w:r>
      <w:r>
        <w:rPr>
          <w:spacing w:val="-4"/>
        </w:rPr>
        <w:t> </w:t>
      </w:r>
      <w:r>
        <w:rPr/>
        <w:t>information</w:t>
      </w:r>
      <w:r>
        <w:rPr>
          <w:spacing w:val="-4"/>
        </w:rPr>
        <w:t> </w:t>
      </w:r>
      <w:r>
        <w:rPr/>
        <w:t>about</w:t>
      </w:r>
      <w:r>
        <w:rPr>
          <w:spacing w:val="-4"/>
        </w:rPr>
        <w:t> </w:t>
      </w:r>
      <w:r>
        <w:rPr/>
        <w:t>the</w:t>
      </w:r>
      <w:r>
        <w:rPr>
          <w:spacing w:val="-4"/>
        </w:rPr>
        <w:t> </w:t>
      </w:r>
      <w:r>
        <w:rPr/>
        <w:t>safety</w:t>
      </w:r>
      <w:r>
        <w:rPr>
          <w:spacing w:val="-4"/>
        </w:rPr>
        <w:t> </w:t>
      </w:r>
      <w:r>
        <w:rPr/>
        <w:t>of</w:t>
      </w:r>
      <w:r>
        <w:rPr>
          <w:spacing w:val="-4"/>
        </w:rPr>
        <w:t> </w:t>
      </w:r>
      <w:r>
        <w:rPr/>
        <w:t>naloxone,</w:t>
      </w:r>
      <w:r>
        <w:rPr>
          <w:spacing w:val="-4"/>
        </w:rPr>
        <w:t> </w:t>
      </w:r>
      <w:r>
        <w:rPr/>
        <w:t>and</w:t>
      </w:r>
      <w:r>
        <w:rPr>
          <w:spacing w:val="-4"/>
        </w:rPr>
        <w:t> </w:t>
      </w:r>
      <w:r>
        <w:rPr/>
        <w:t>where</w:t>
      </w:r>
      <w:r>
        <w:rPr>
          <w:spacing w:val="-5"/>
        </w:rPr>
        <w:t> </w:t>
      </w:r>
      <w:r>
        <w:rPr/>
        <w:t>and</w:t>
      </w:r>
      <w:r>
        <w:rPr>
          <w:spacing w:val="-4"/>
        </w:rPr>
        <w:t> </w:t>
      </w:r>
      <w:r>
        <w:rPr/>
        <w:t>how</w:t>
      </w:r>
      <w:r>
        <w:rPr>
          <w:spacing w:val="-4"/>
        </w:rPr>
        <w:t> </w:t>
      </w:r>
      <w:r>
        <w:rPr/>
        <w:t>to</w:t>
      </w:r>
      <w:r>
        <w:rPr>
          <w:spacing w:val="-5"/>
        </w:rPr>
        <w:t> </w:t>
      </w:r>
      <w:r>
        <w:rPr/>
        <w:t>obtain</w:t>
      </w:r>
      <w:r>
        <w:rPr>
          <w:spacing w:val="-4"/>
        </w:rPr>
        <w:t> </w:t>
      </w:r>
      <w:r>
        <w:rPr/>
        <w:t>naloxone. Less frequently discussed content areas were ‘what is naloxone’, discussing naloxone with family and friends, how to store naloxone, alternative strategies to manage pain and how naloxone</w:t>
      </w:r>
      <w:r>
        <w:rPr>
          <w:spacing w:val="-6"/>
        </w:rPr>
        <w:t> </w:t>
      </w:r>
      <w:r>
        <w:rPr/>
        <w:t>works.</w:t>
      </w:r>
    </w:p>
    <w:p>
      <w:pPr>
        <w:pStyle w:val="BodyText"/>
        <w:spacing w:before="11"/>
        <w:rPr>
          <w:sz w:val="23"/>
        </w:rPr>
      </w:pPr>
    </w:p>
    <w:p>
      <w:pPr>
        <w:pStyle w:val="BodyText"/>
        <w:ind w:left="119" w:right="116"/>
        <w:jc w:val="both"/>
      </w:pPr>
      <w:r>
        <w:rPr/>
        <w:t>Although most patients expressed that they would like to receive information from their pharmacist about overdose and naloxone, a minority did not. These patients expressed that they would prefer to receive a leaflet (while other patients expressed that they did not like reading leaflets). These findings confirm that it is important that pharmacist and patient materials</w:t>
      </w:r>
      <w:r>
        <w:rPr>
          <w:spacing w:val="-14"/>
        </w:rPr>
        <w:t> </w:t>
      </w:r>
      <w:r>
        <w:rPr/>
        <w:t>are</w:t>
      </w:r>
      <w:r>
        <w:rPr>
          <w:spacing w:val="-13"/>
        </w:rPr>
        <w:t> </w:t>
      </w:r>
      <w:r>
        <w:rPr/>
        <w:t>able</w:t>
      </w:r>
      <w:r>
        <w:rPr>
          <w:spacing w:val="-13"/>
        </w:rPr>
        <w:t> </w:t>
      </w:r>
      <w:r>
        <w:rPr/>
        <w:t>to</w:t>
      </w:r>
      <w:r>
        <w:rPr>
          <w:spacing w:val="-14"/>
        </w:rPr>
        <w:t> </w:t>
      </w:r>
      <w:r>
        <w:rPr/>
        <w:t>communicate</w:t>
      </w:r>
      <w:r>
        <w:rPr>
          <w:spacing w:val="-13"/>
        </w:rPr>
        <w:t> </w:t>
      </w:r>
      <w:r>
        <w:rPr/>
        <w:t>key</w:t>
      </w:r>
      <w:r>
        <w:rPr>
          <w:spacing w:val="-13"/>
        </w:rPr>
        <w:t> </w:t>
      </w:r>
      <w:r>
        <w:rPr/>
        <w:t>message</w:t>
      </w:r>
      <w:r>
        <w:rPr>
          <w:spacing w:val="-14"/>
        </w:rPr>
        <w:t> </w:t>
      </w:r>
      <w:r>
        <w:rPr/>
        <w:t>in</w:t>
      </w:r>
      <w:r>
        <w:rPr>
          <w:spacing w:val="-14"/>
        </w:rPr>
        <w:t> </w:t>
      </w:r>
      <w:r>
        <w:rPr/>
        <w:t>standalone</w:t>
      </w:r>
      <w:r>
        <w:rPr>
          <w:spacing w:val="-13"/>
        </w:rPr>
        <w:t> </w:t>
      </w:r>
      <w:r>
        <w:rPr/>
        <w:t>form,</w:t>
      </w:r>
      <w:r>
        <w:rPr>
          <w:spacing w:val="-13"/>
        </w:rPr>
        <w:t> </w:t>
      </w:r>
      <w:r>
        <w:rPr/>
        <w:t>as</w:t>
      </w:r>
      <w:r>
        <w:rPr>
          <w:spacing w:val="-13"/>
        </w:rPr>
        <w:t> </w:t>
      </w:r>
      <w:r>
        <w:rPr/>
        <w:t>well</w:t>
      </w:r>
      <w:r>
        <w:rPr>
          <w:spacing w:val="-13"/>
        </w:rPr>
        <w:t> </w:t>
      </w:r>
      <w:r>
        <w:rPr/>
        <w:t>as</w:t>
      </w:r>
      <w:r>
        <w:rPr>
          <w:spacing w:val="-14"/>
        </w:rPr>
        <w:t> </w:t>
      </w:r>
      <w:r>
        <w:rPr/>
        <w:t>complimenting a pharmacist-delivered</w:t>
      </w:r>
      <w:r>
        <w:rPr>
          <w:spacing w:val="-18"/>
        </w:rPr>
        <w:t> </w:t>
      </w:r>
      <w:r>
        <w:rPr/>
        <w:t>intervention.</w:t>
      </w:r>
    </w:p>
    <w:p>
      <w:pPr>
        <w:pStyle w:val="BodyText"/>
      </w:pPr>
    </w:p>
    <w:p>
      <w:pPr>
        <w:spacing w:before="0"/>
        <w:ind w:left="120" w:right="0" w:firstLine="0"/>
        <w:jc w:val="both"/>
        <w:rPr>
          <w:i/>
          <w:sz w:val="22"/>
        </w:rPr>
      </w:pPr>
      <w:r>
        <w:rPr>
          <w:i/>
          <w:sz w:val="22"/>
        </w:rPr>
        <w:t>Table 3. Summary of desired content areas discussed by patients</w:t>
      </w:r>
    </w:p>
    <w:p>
      <w:pPr>
        <w:spacing w:after="0"/>
        <w:jc w:val="both"/>
        <w:rPr>
          <w:sz w:val="22"/>
        </w:rPr>
        <w:sectPr>
          <w:footerReference w:type="default" r:id="rId11"/>
          <w:pgSz w:w="11910" w:h="16840"/>
          <w:pgMar w:footer="1302" w:header="0" w:top="1480" w:bottom="1500" w:left="1320" w:right="1320"/>
          <w:pgNumType w:start="11"/>
        </w:sectPr>
      </w:pPr>
    </w:p>
    <w:p>
      <w:pPr>
        <w:pStyle w:val="BodyText"/>
        <w:spacing w:before="7"/>
        <w:rPr>
          <w:i/>
          <w:sz w:val="9"/>
        </w:rPr>
      </w:pPr>
    </w:p>
    <w:p>
      <w:pPr>
        <w:tabs>
          <w:tab w:pos="2552" w:val="left" w:leader="none"/>
          <w:tab w:pos="2919" w:val="left" w:leader="none"/>
          <w:tab w:pos="3288" w:val="left" w:leader="none"/>
          <w:tab w:pos="3655" w:val="left" w:leader="none"/>
          <w:tab w:pos="4023" w:val="left" w:leader="none"/>
          <w:tab w:pos="4392" w:val="left" w:leader="none"/>
          <w:tab w:pos="4759" w:val="left" w:leader="none"/>
          <w:tab w:pos="5127" w:val="left" w:leader="none"/>
          <w:tab w:pos="5496" w:val="left" w:leader="none"/>
          <w:tab w:pos="5847" w:val="left" w:leader="none"/>
          <w:tab w:pos="6277" w:val="left" w:leader="none"/>
          <w:tab w:pos="6705" w:val="left" w:leader="none"/>
          <w:tab w:pos="7135" w:val="left" w:leader="none"/>
          <w:tab w:pos="7563" w:val="left" w:leader="none"/>
          <w:tab w:pos="7993" w:val="left" w:leader="none"/>
          <w:tab w:pos="8421" w:val="left" w:leader="none"/>
          <w:tab w:pos="9183" w:val="left" w:leader="none"/>
        </w:tabs>
        <w:spacing w:before="62" w:after="7"/>
        <w:ind w:left="931" w:right="0" w:firstLine="0"/>
        <w:jc w:val="left"/>
        <w:rPr>
          <w:b/>
          <w:sz w:val="20"/>
        </w:rPr>
      </w:pPr>
      <w:r>
        <w:rPr>
          <w:b/>
          <w:sz w:val="20"/>
        </w:rPr>
        <w:t>Content</w:t>
        <w:tab/>
      </w:r>
      <w:r>
        <w:rPr>
          <w:b/>
          <w:position w:val="2"/>
          <w:sz w:val="18"/>
        </w:rPr>
        <w:t>1</w:t>
        <w:tab/>
        <w:t>2</w:t>
        <w:tab/>
        <w:t>3</w:t>
        <w:tab/>
        <w:t>4</w:t>
        <w:tab/>
        <w:t>5</w:t>
        <w:tab/>
        <w:t>6</w:t>
        <w:tab/>
        <w:t>7</w:t>
        <w:tab/>
        <w:t>8</w:t>
        <w:tab/>
        <w:t>9</w:t>
        <w:tab/>
        <w:t>10</w:t>
        <w:tab/>
        <w:t>11</w:t>
        <w:tab/>
        <w:t>12</w:t>
        <w:tab/>
        <w:t>13</w:t>
        <w:tab/>
        <w:t>14</w:t>
        <w:tab/>
        <w:t>15</w:t>
        <w:tab/>
        <w:t>16</w:t>
        <w:tab/>
      </w:r>
      <w:r>
        <w:rPr>
          <w:b/>
          <w:sz w:val="20"/>
        </w:rPr>
        <w:t>n %</w:t>
      </w: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77"/>
        <w:gridCol w:w="414"/>
        <w:gridCol w:w="736"/>
        <w:gridCol w:w="368"/>
        <w:gridCol w:w="368"/>
        <w:gridCol w:w="368"/>
        <w:gridCol w:w="736"/>
        <w:gridCol w:w="371"/>
        <w:gridCol w:w="401"/>
        <w:gridCol w:w="429"/>
        <w:gridCol w:w="429"/>
        <w:gridCol w:w="429"/>
        <w:gridCol w:w="429"/>
        <w:gridCol w:w="429"/>
        <w:gridCol w:w="482"/>
        <w:gridCol w:w="1156"/>
      </w:tblGrid>
      <w:tr>
        <w:trPr>
          <w:trHeight w:val="493" w:hRule="exact"/>
        </w:trPr>
        <w:tc>
          <w:tcPr>
            <w:tcW w:w="2277" w:type="dxa"/>
            <w:tcBorders>
              <w:top w:val="single" w:sz="4" w:space="0" w:color="666666"/>
            </w:tcBorders>
            <w:shd w:val="clear" w:color="auto" w:fill="B1A0C6"/>
          </w:tcPr>
          <w:p>
            <w:pPr>
              <w:pStyle w:val="TableParagraph"/>
              <w:ind w:left="107" w:right="602"/>
              <w:rPr>
                <w:sz w:val="20"/>
              </w:rPr>
            </w:pPr>
            <w:r>
              <w:rPr>
                <w:sz w:val="20"/>
              </w:rPr>
              <w:t>Signs/symptoms of overdose</w:t>
            </w:r>
          </w:p>
        </w:tc>
        <w:tc>
          <w:tcPr>
            <w:tcW w:w="414" w:type="dxa"/>
            <w:tcBorders>
              <w:top w:val="single" w:sz="4" w:space="0" w:color="666666"/>
            </w:tcBorders>
            <w:shd w:val="clear" w:color="auto" w:fill="B1A0C6"/>
          </w:tcPr>
          <w:p>
            <w:pPr>
              <w:pStyle w:val="TableParagraph"/>
              <w:spacing w:before="1"/>
              <w:ind w:left="0" w:right="81"/>
              <w:jc w:val="right"/>
              <w:rPr>
                <w:rFonts w:ascii="Webdings" w:hAnsi="Webdings"/>
                <w:sz w:val="20"/>
              </w:rPr>
            </w:pPr>
            <w:r>
              <w:rPr>
                <w:rFonts w:ascii="Webdings" w:hAnsi="Webdings"/>
                <w:w w:val="100"/>
                <w:sz w:val="20"/>
              </w:rPr>
              <w:t></w:t>
            </w:r>
          </w:p>
        </w:tc>
        <w:tc>
          <w:tcPr>
            <w:tcW w:w="736" w:type="dxa"/>
            <w:tcBorders>
              <w:top w:val="single" w:sz="4" w:space="0" w:color="666666"/>
            </w:tcBorders>
            <w:shd w:val="clear" w:color="auto" w:fill="B1A0C6"/>
          </w:tcPr>
          <w:p>
            <w:pPr>
              <w:pStyle w:val="TableParagraph"/>
              <w:spacing w:before="1"/>
              <w:ind w:left="83"/>
              <w:rPr>
                <w:rFonts w:ascii="Webdings" w:hAnsi="Webdings"/>
                <w:sz w:val="20"/>
              </w:rPr>
            </w:pPr>
            <w:r>
              <w:rPr>
                <w:rFonts w:ascii="Webdings" w:hAnsi="Webdings"/>
                <w:w w:val="100"/>
                <w:sz w:val="20"/>
              </w:rPr>
              <w:t></w:t>
            </w:r>
          </w:p>
        </w:tc>
        <w:tc>
          <w:tcPr>
            <w:tcW w:w="368" w:type="dxa"/>
            <w:tcBorders>
              <w:top w:val="single" w:sz="4" w:space="0" w:color="666666"/>
            </w:tcBorders>
            <w:shd w:val="clear" w:color="auto" w:fill="B1A0C6"/>
          </w:tcPr>
          <w:p>
            <w:pPr>
              <w:pStyle w:val="TableParagraph"/>
              <w:spacing w:before="1"/>
              <w:ind w:left="0"/>
              <w:jc w:val="center"/>
              <w:rPr>
                <w:rFonts w:ascii="Webdings" w:hAnsi="Webdings"/>
                <w:sz w:val="20"/>
              </w:rPr>
            </w:pPr>
            <w:r>
              <w:rPr>
                <w:rFonts w:ascii="Webdings" w:hAnsi="Webdings"/>
                <w:w w:val="100"/>
                <w:sz w:val="20"/>
              </w:rPr>
              <w:t></w:t>
            </w:r>
          </w:p>
        </w:tc>
        <w:tc>
          <w:tcPr>
            <w:tcW w:w="368" w:type="dxa"/>
            <w:tcBorders>
              <w:top w:val="single" w:sz="4" w:space="0" w:color="666666"/>
            </w:tcBorders>
            <w:shd w:val="clear" w:color="auto" w:fill="B1A0C6"/>
          </w:tcPr>
          <w:p>
            <w:pPr>
              <w:pStyle w:val="TableParagraph"/>
              <w:spacing w:before="1"/>
              <w:ind w:left="0"/>
              <w:jc w:val="center"/>
              <w:rPr>
                <w:rFonts w:ascii="Webdings" w:hAnsi="Webdings"/>
                <w:sz w:val="20"/>
              </w:rPr>
            </w:pPr>
            <w:r>
              <w:rPr>
                <w:rFonts w:ascii="Webdings" w:hAnsi="Webdings"/>
                <w:w w:val="100"/>
                <w:sz w:val="20"/>
              </w:rPr>
              <w:t></w:t>
            </w:r>
          </w:p>
        </w:tc>
        <w:tc>
          <w:tcPr>
            <w:tcW w:w="368" w:type="dxa"/>
            <w:tcBorders>
              <w:top w:val="single" w:sz="4" w:space="0" w:color="666666"/>
            </w:tcBorders>
            <w:shd w:val="clear" w:color="auto" w:fill="B1A0C6"/>
          </w:tcPr>
          <w:p>
            <w:pPr>
              <w:pStyle w:val="TableParagraph"/>
              <w:spacing w:before="1"/>
              <w:ind w:left="0" w:right="81"/>
              <w:jc w:val="right"/>
              <w:rPr>
                <w:rFonts w:ascii="Webdings" w:hAnsi="Webdings"/>
                <w:sz w:val="20"/>
              </w:rPr>
            </w:pPr>
            <w:r>
              <w:rPr>
                <w:rFonts w:ascii="Webdings" w:hAnsi="Webdings"/>
                <w:w w:val="100"/>
                <w:sz w:val="20"/>
              </w:rPr>
              <w:t></w:t>
            </w:r>
          </w:p>
        </w:tc>
        <w:tc>
          <w:tcPr>
            <w:tcW w:w="736" w:type="dxa"/>
            <w:tcBorders>
              <w:top w:val="single" w:sz="4" w:space="0" w:color="666666"/>
            </w:tcBorders>
            <w:shd w:val="clear" w:color="auto" w:fill="B1A0C6"/>
          </w:tcPr>
          <w:p>
            <w:pPr>
              <w:pStyle w:val="TableParagraph"/>
              <w:spacing w:before="1"/>
              <w:ind w:left="83"/>
              <w:rPr>
                <w:rFonts w:ascii="Webdings" w:hAnsi="Webdings"/>
                <w:sz w:val="20"/>
              </w:rPr>
            </w:pPr>
            <w:r>
              <w:rPr>
                <w:rFonts w:ascii="Webdings" w:hAnsi="Webdings"/>
                <w:w w:val="100"/>
                <w:sz w:val="20"/>
              </w:rPr>
              <w:t></w:t>
            </w:r>
          </w:p>
        </w:tc>
        <w:tc>
          <w:tcPr>
            <w:tcW w:w="371" w:type="dxa"/>
            <w:tcBorders>
              <w:top w:val="single" w:sz="4" w:space="0" w:color="666666"/>
            </w:tcBorders>
            <w:shd w:val="clear" w:color="auto" w:fill="B1A0C6"/>
          </w:tcPr>
          <w:p>
            <w:pPr/>
          </w:p>
        </w:tc>
        <w:tc>
          <w:tcPr>
            <w:tcW w:w="401" w:type="dxa"/>
            <w:tcBorders>
              <w:top w:val="single" w:sz="4" w:space="0" w:color="666666"/>
            </w:tcBorders>
            <w:shd w:val="clear" w:color="auto" w:fill="B1A0C6"/>
          </w:tcPr>
          <w:p>
            <w:pPr/>
          </w:p>
        </w:tc>
        <w:tc>
          <w:tcPr>
            <w:tcW w:w="429" w:type="dxa"/>
            <w:tcBorders>
              <w:top w:val="single" w:sz="4" w:space="0" w:color="666666"/>
            </w:tcBorders>
            <w:shd w:val="clear" w:color="auto" w:fill="B1A0C6"/>
          </w:tcPr>
          <w:p>
            <w:pPr>
              <w:pStyle w:val="TableParagraph"/>
              <w:spacing w:before="1"/>
              <w:ind w:left="0"/>
              <w:jc w:val="center"/>
              <w:rPr>
                <w:rFonts w:ascii="Webdings" w:hAnsi="Webdings"/>
                <w:sz w:val="20"/>
              </w:rPr>
            </w:pPr>
            <w:r>
              <w:rPr>
                <w:rFonts w:ascii="Webdings" w:hAnsi="Webdings"/>
                <w:w w:val="100"/>
                <w:sz w:val="20"/>
              </w:rPr>
              <w:t></w:t>
            </w:r>
          </w:p>
        </w:tc>
        <w:tc>
          <w:tcPr>
            <w:tcW w:w="429" w:type="dxa"/>
            <w:tcBorders>
              <w:top w:val="single" w:sz="4" w:space="0" w:color="666666"/>
            </w:tcBorders>
            <w:shd w:val="clear" w:color="auto" w:fill="B1A0C6"/>
          </w:tcPr>
          <w:p>
            <w:pPr>
              <w:pStyle w:val="TableParagraph"/>
              <w:spacing w:before="1"/>
              <w:ind w:left="0"/>
              <w:jc w:val="center"/>
              <w:rPr>
                <w:rFonts w:ascii="Webdings" w:hAnsi="Webdings"/>
                <w:sz w:val="20"/>
              </w:rPr>
            </w:pPr>
            <w:r>
              <w:rPr>
                <w:rFonts w:ascii="Webdings" w:hAnsi="Webdings"/>
                <w:w w:val="100"/>
                <w:sz w:val="20"/>
              </w:rPr>
              <w:t></w:t>
            </w:r>
          </w:p>
        </w:tc>
        <w:tc>
          <w:tcPr>
            <w:tcW w:w="429" w:type="dxa"/>
            <w:tcBorders>
              <w:top w:val="single" w:sz="4" w:space="0" w:color="666666"/>
            </w:tcBorders>
            <w:shd w:val="clear" w:color="auto" w:fill="B1A0C6"/>
          </w:tcPr>
          <w:p>
            <w:pPr/>
          </w:p>
        </w:tc>
        <w:tc>
          <w:tcPr>
            <w:tcW w:w="429" w:type="dxa"/>
            <w:tcBorders>
              <w:top w:val="single" w:sz="4" w:space="0" w:color="666666"/>
            </w:tcBorders>
            <w:shd w:val="clear" w:color="auto" w:fill="B1A0C6"/>
          </w:tcPr>
          <w:p>
            <w:pPr/>
          </w:p>
        </w:tc>
        <w:tc>
          <w:tcPr>
            <w:tcW w:w="429" w:type="dxa"/>
            <w:tcBorders>
              <w:top w:val="single" w:sz="4" w:space="0" w:color="666666"/>
            </w:tcBorders>
            <w:shd w:val="clear" w:color="auto" w:fill="B1A0C6"/>
          </w:tcPr>
          <w:p>
            <w:pPr/>
          </w:p>
        </w:tc>
        <w:tc>
          <w:tcPr>
            <w:tcW w:w="482" w:type="dxa"/>
            <w:tcBorders>
              <w:top w:val="single" w:sz="4" w:space="0" w:color="666666"/>
            </w:tcBorders>
            <w:shd w:val="clear" w:color="auto" w:fill="B1A0C6"/>
          </w:tcPr>
          <w:p>
            <w:pPr/>
          </w:p>
        </w:tc>
        <w:tc>
          <w:tcPr>
            <w:tcW w:w="1156" w:type="dxa"/>
            <w:tcBorders>
              <w:top w:val="single" w:sz="4" w:space="0" w:color="666666"/>
            </w:tcBorders>
            <w:shd w:val="clear" w:color="auto" w:fill="B1A0C6"/>
          </w:tcPr>
          <w:p>
            <w:pPr>
              <w:pStyle w:val="TableParagraph"/>
              <w:spacing w:line="243" w:lineRule="exact"/>
              <w:ind w:left="0" w:right="294"/>
              <w:jc w:val="right"/>
              <w:rPr>
                <w:sz w:val="20"/>
              </w:rPr>
            </w:pPr>
            <w:r>
              <w:rPr>
                <w:sz w:val="20"/>
              </w:rPr>
              <w:t>50% (8)</w:t>
            </w:r>
          </w:p>
        </w:tc>
      </w:tr>
      <w:tr>
        <w:trPr>
          <w:trHeight w:val="244" w:hRule="exact"/>
        </w:trPr>
        <w:tc>
          <w:tcPr>
            <w:tcW w:w="2277" w:type="dxa"/>
            <w:shd w:val="clear" w:color="auto" w:fill="CCC0D9"/>
          </w:tcPr>
          <w:p>
            <w:pPr>
              <w:pStyle w:val="TableParagraph"/>
              <w:spacing w:line="243" w:lineRule="exact"/>
              <w:ind w:left="107"/>
              <w:rPr>
                <w:sz w:val="20"/>
              </w:rPr>
            </w:pPr>
            <w:r>
              <w:rPr>
                <w:sz w:val="20"/>
              </w:rPr>
              <w:t>Opioid risks</w:t>
            </w:r>
          </w:p>
        </w:tc>
        <w:tc>
          <w:tcPr>
            <w:tcW w:w="414" w:type="dxa"/>
            <w:shd w:val="clear" w:color="auto" w:fill="CCC0D9"/>
          </w:tcPr>
          <w:p>
            <w:pPr/>
          </w:p>
        </w:tc>
        <w:tc>
          <w:tcPr>
            <w:tcW w:w="736" w:type="dxa"/>
            <w:shd w:val="clear" w:color="auto" w:fill="CCC0D9"/>
          </w:tcPr>
          <w:p>
            <w:pPr>
              <w:pStyle w:val="TableParagraph"/>
              <w:spacing w:before="1"/>
              <w:ind w:left="451"/>
              <w:rPr>
                <w:rFonts w:ascii="Webdings" w:hAnsi="Webdings"/>
                <w:sz w:val="20"/>
              </w:rPr>
            </w:pPr>
            <w:r>
              <w:rPr>
                <w:rFonts w:ascii="Webdings" w:hAnsi="Webdings"/>
                <w:w w:val="100"/>
                <w:sz w:val="20"/>
              </w:rPr>
              <w:t></w:t>
            </w:r>
          </w:p>
        </w:tc>
        <w:tc>
          <w:tcPr>
            <w:tcW w:w="368" w:type="dxa"/>
            <w:shd w:val="clear" w:color="auto" w:fill="CCC0D9"/>
          </w:tcPr>
          <w:p>
            <w:pPr>
              <w:pStyle w:val="TableParagraph"/>
              <w:spacing w:before="1"/>
              <w:ind w:left="0"/>
              <w:jc w:val="center"/>
              <w:rPr>
                <w:rFonts w:ascii="Webdings" w:hAnsi="Webdings"/>
                <w:sz w:val="20"/>
              </w:rPr>
            </w:pPr>
            <w:r>
              <w:rPr>
                <w:rFonts w:ascii="Webdings" w:hAnsi="Webdings"/>
                <w:w w:val="100"/>
                <w:sz w:val="20"/>
              </w:rPr>
              <w:t></w:t>
            </w:r>
          </w:p>
        </w:tc>
        <w:tc>
          <w:tcPr>
            <w:tcW w:w="368" w:type="dxa"/>
            <w:shd w:val="clear" w:color="auto" w:fill="CCC0D9"/>
          </w:tcPr>
          <w:p>
            <w:pPr/>
          </w:p>
        </w:tc>
        <w:tc>
          <w:tcPr>
            <w:tcW w:w="368" w:type="dxa"/>
            <w:shd w:val="clear" w:color="auto" w:fill="CCC0D9"/>
          </w:tcPr>
          <w:p>
            <w:pPr/>
          </w:p>
        </w:tc>
        <w:tc>
          <w:tcPr>
            <w:tcW w:w="736" w:type="dxa"/>
            <w:shd w:val="clear" w:color="auto" w:fill="CCC0D9"/>
          </w:tcPr>
          <w:p>
            <w:pPr>
              <w:pStyle w:val="TableParagraph"/>
              <w:spacing w:before="1"/>
              <w:ind w:left="0" w:right="83"/>
              <w:jc w:val="right"/>
              <w:rPr>
                <w:rFonts w:ascii="Webdings" w:hAnsi="Webdings"/>
                <w:sz w:val="20"/>
              </w:rPr>
            </w:pPr>
            <w:r>
              <w:rPr>
                <w:rFonts w:ascii="Webdings" w:hAnsi="Webdings"/>
                <w:w w:val="100"/>
                <w:sz w:val="20"/>
              </w:rPr>
              <w:t></w:t>
            </w:r>
          </w:p>
        </w:tc>
        <w:tc>
          <w:tcPr>
            <w:tcW w:w="371" w:type="dxa"/>
            <w:shd w:val="clear" w:color="auto" w:fill="CCC0D9"/>
          </w:tcPr>
          <w:p>
            <w:pPr/>
          </w:p>
        </w:tc>
        <w:tc>
          <w:tcPr>
            <w:tcW w:w="401" w:type="dxa"/>
            <w:shd w:val="clear" w:color="auto" w:fill="CCC0D9"/>
          </w:tcPr>
          <w:p>
            <w:pPr/>
          </w:p>
        </w:tc>
        <w:tc>
          <w:tcPr>
            <w:tcW w:w="429" w:type="dxa"/>
            <w:shd w:val="clear" w:color="auto" w:fill="CCC0D9"/>
          </w:tcPr>
          <w:p>
            <w:pPr/>
          </w:p>
        </w:tc>
        <w:tc>
          <w:tcPr>
            <w:tcW w:w="429" w:type="dxa"/>
            <w:shd w:val="clear" w:color="auto" w:fill="CCC0D9"/>
          </w:tcPr>
          <w:p>
            <w:pPr/>
          </w:p>
        </w:tc>
        <w:tc>
          <w:tcPr>
            <w:tcW w:w="429" w:type="dxa"/>
            <w:shd w:val="clear" w:color="auto" w:fill="CCC0D9"/>
          </w:tcPr>
          <w:p>
            <w:pPr>
              <w:pStyle w:val="TableParagraph"/>
              <w:spacing w:before="1"/>
              <w:ind w:left="0"/>
              <w:jc w:val="center"/>
              <w:rPr>
                <w:rFonts w:ascii="Webdings" w:hAnsi="Webdings"/>
                <w:sz w:val="20"/>
              </w:rPr>
            </w:pPr>
            <w:r>
              <w:rPr>
                <w:rFonts w:ascii="Webdings" w:hAnsi="Webdings"/>
                <w:w w:val="100"/>
                <w:sz w:val="20"/>
              </w:rPr>
              <w:t></w:t>
            </w:r>
          </w:p>
        </w:tc>
        <w:tc>
          <w:tcPr>
            <w:tcW w:w="429" w:type="dxa"/>
            <w:shd w:val="clear" w:color="auto" w:fill="CCC0D9"/>
          </w:tcPr>
          <w:p>
            <w:pPr>
              <w:pStyle w:val="TableParagraph"/>
              <w:spacing w:before="1"/>
              <w:ind w:left="0"/>
              <w:jc w:val="center"/>
              <w:rPr>
                <w:rFonts w:ascii="Webdings" w:hAnsi="Webdings"/>
                <w:sz w:val="20"/>
              </w:rPr>
            </w:pPr>
            <w:r>
              <w:rPr>
                <w:rFonts w:ascii="Webdings" w:hAnsi="Webdings"/>
                <w:w w:val="100"/>
                <w:sz w:val="20"/>
              </w:rPr>
              <w:t></w:t>
            </w:r>
          </w:p>
        </w:tc>
        <w:tc>
          <w:tcPr>
            <w:tcW w:w="429" w:type="dxa"/>
            <w:shd w:val="clear" w:color="auto" w:fill="CCC0D9"/>
          </w:tcPr>
          <w:p>
            <w:pPr>
              <w:pStyle w:val="TableParagraph"/>
              <w:spacing w:before="1"/>
              <w:ind w:left="0"/>
              <w:jc w:val="center"/>
              <w:rPr>
                <w:rFonts w:ascii="Webdings" w:hAnsi="Webdings"/>
                <w:sz w:val="20"/>
              </w:rPr>
            </w:pPr>
            <w:r>
              <w:rPr>
                <w:rFonts w:ascii="Webdings" w:hAnsi="Webdings"/>
                <w:w w:val="100"/>
                <w:sz w:val="20"/>
              </w:rPr>
              <w:t></w:t>
            </w:r>
          </w:p>
        </w:tc>
        <w:tc>
          <w:tcPr>
            <w:tcW w:w="482" w:type="dxa"/>
            <w:shd w:val="clear" w:color="auto" w:fill="CCC0D9"/>
          </w:tcPr>
          <w:p>
            <w:pPr>
              <w:pStyle w:val="TableParagraph"/>
              <w:spacing w:before="1"/>
              <w:ind w:left="113"/>
              <w:rPr>
                <w:rFonts w:ascii="Webdings" w:hAnsi="Webdings"/>
                <w:sz w:val="20"/>
              </w:rPr>
            </w:pPr>
            <w:r>
              <w:rPr>
                <w:rFonts w:ascii="Webdings" w:hAnsi="Webdings"/>
                <w:w w:val="100"/>
                <w:sz w:val="20"/>
              </w:rPr>
              <w:t></w:t>
            </w:r>
          </w:p>
        </w:tc>
        <w:tc>
          <w:tcPr>
            <w:tcW w:w="1156" w:type="dxa"/>
            <w:shd w:val="clear" w:color="auto" w:fill="CCC0D9"/>
          </w:tcPr>
          <w:p>
            <w:pPr>
              <w:pStyle w:val="TableParagraph"/>
              <w:spacing w:line="243" w:lineRule="exact"/>
              <w:ind w:left="0" w:right="219"/>
              <w:jc w:val="right"/>
              <w:rPr>
                <w:sz w:val="20"/>
              </w:rPr>
            </w:pPr>
            <w:r>
              <w:rPr>
                <w:sz w:val="20"/>
              </w:rPr>
              <w:t>43.8% (7)</w:t>
            </w:r>
          </w:p>
        </w:tc>
      </w:tr>
      <w:tr>
        <w:trPr>
          <w:trHeight w:val="488" w:hRule="exact"/>
        </w:trPr>
        <w:tc>
          <w:tcPr>
            <w:tcW w:w="2277" w:type="dxa"/>
            <w:shd w:val="clear" w:color="auto" w:fill="B1A0C6"/>
          </w:tcPr>
          <w:p>
            <w:pPr>
              <w:pStyle w:val="TableParagraph"/>
              <w:ind w:left="107" w:right="409"/>
              <w:rPr>
                <w:sz w:val="20"/>
              </w:rPr>
            </w:pPr>
            <w:r>
              <w:rPr>
                <w:sz w:val="20"/>
              </w:rPr>
              <w:t>How to reduce risk of overdose</w:t>
            </w:r>
          </w:p>
        </w:tc>
        <w:tc>
          <w:tcPr>
            <w:tcW w:w="414" w:type="dxa"/>
            <w:shd w:val="clear" w:color="auto" w:fill="B1A0C6"/>
          </w:tcPr>
          <w:p>
            <w:pPr>
              <w:pStyle w:val="TableParagraph"/>
              <w:spacing w:before="1"/>
              <w:ind w:left="0" w:right="81"/>
              <w:jc w:val="right"/>
              <w:rPr>
                <w:rFonts w:ascii="Webdings" w:hAnsi="Webdings"/>
                <w:sz w:val="20"/>
              </w:rPr>
            </w:pPr>
            <w:r>
              <w:rPr>
                <w:rFonts w:ascii="Webdings" w:hAnsi="Webdings"/>
                <w:w w:val="100"/>
                <w:sz w:val="20"/>
              </w:rPr>
              <w:t></w:t>
            </w:r>
          </w:p>
        </w:tc>
        <w:tc>
          <w:tcPr>
            <w:tcW w:w="736" w:type="dxa"/>
            <w:shd w:val="clear" w:color="auto" w:fill="B1A0C6"/>
          </w:tcPr>
          <w:p>
            <w:pPr>
              <w:pStyle w:val="TableParagraph"/>
              <w:spacing w:before="1"/>
              <w:ind w:left="83"/>
              <w:rPr>
                <w:rFonts w:ascii="Webdings" w:hAnsi="Webdings"/>
                <w:sz w:val="20"/>
              </w:rPr>
            </w:pPr>
            <w:r>
              <w:rPr>
                <w:rFonts w:ascii="Webdings" w:hAnsi="Webdings"/>
                <w:w w:val="100"/>
                <w:sz w:val="20"/>
              </w:rPr>
              <w:t></w:t>
            </w:r>
          </w:p>
        </w:tc>
        <w:tc>
          <w:tcPr>
            <w:tcW w:w="368" w:type="dxa"/>
            <w:shd w:val="clear" w:color="auto" w:fill="B1A0C6"/>
          </w:tcPr>
          <w:p>
            <w:pPr/>
          </w:p>
        </w:tc>
        <w:tc>
          <w:tcPr>
            <w:tcW w:w="368" w:type="dxa"/>
            <w:shd w:val="clear" w:color="auto" w:fill="B1A0C6"/>
          </w:tcPr>
          <w:p>
            <w:pPr/>
          </w:p>
        </w:tc>
        <w:tc>
          <w:tcPr>
            <w:tcW w:w="368" w:type="dxa"/>
            <w:shd w:val="clear" w:color="auto" w:fill="B1A0C6"/>
          </w:tcPr>
          <w:p>
            <w:pPr/>
          </w:p>
        </w:tc>
        <w:tc>
          <w:tcPr>
            <w:tcW w:w="736" w:type="dxa"/>
            <w:shd w:val="clear" w:color="auto" w:fill="B1A0C6"/>
          </w:tcPr>
          <w:p>
            <w:pPr>
              <w:pStyle w:val="TableParagraph"/>
              <w:spacing w:before="1"/>
              <w:ind w:left="0" w:right="83"/>
              <w:jc w:val="right"/>
              <w:rPr>
                <w:rFonts w:ascii="Webdings" w:hAnsi="Webdings"/>
                <w:sz w:val="20"/>
              </w:rPr>
            </w:pPr>
            <w:r>
              <w:rPr>
                <w:rFonts w:ascii="Webdings" w:hAnsi="Webdings"/>
                <w:w w:val="100"/>
                <w:sz w:val="20"/>
              </w:rPr>
              <w:t></w:t>
            </w:r>
          </w:p>
        </w:tc>
        <w:tc>
          <w:tcPr>
            <w:tcW w:w="371" w:type="dxa"/>
            <w:shd w:val="clear" w:color="auto" w:fill="B1A0C6"/>
          </w:tcPr>
          <w:p>
            <w:pPr>
              <w:pStyle w:val="TableParagraph"/>
              <w:spacing w:before="1"/>
              <w:ind w:left="0"/>
              <w:jc w:val="center"/>
              <w:rPr>
                <w:rFonts w:ascii="Webdings" w:hAnsi="Webdings"/>
                <w:sz w:val="20"/>
              </w:rPr>
            </w:pPr>
            <w:r>
              <w:rPr>
                <w:rFonts w:ascii="Webdings" w:hAnsi="Webdings"/>
                <w:w w:val="100"/>
                <w:sz w:val="20"/>
              </w:rPr>
              <w:t></w:t>
            </w:r>
          </w:p>
        </w:tc>
        <w:tc>
          <w:tcPr>
            <w:tcW w:w="401" w:type="dxa"/>
            <w:shd w:val="clear" w:color="auto" w:fill="B1A0C6"/>
          </w:tcPr>
          <w:p>
            <w:pPr>
              <w:pStyle w:val="TableParagraph"/>
              <w:spacing w:before="1"/>
              <w:ind w:left="0" w:right="26"/>
              <w:jc w:val="center"/>
              <w:rPr>
                <w:rFonts w:ascii="Webdings" w:hAnsi="Webdings"/>
                <w:sz w:val="20"/>
              </w:rPr>
            </w:pPr>
            <w:r>
              <w:rPr>
                <w:rFonts w:ascii="Webdings" w:hAnsi="Webdings"/>
                <w:w w:val="100"/>
                <w:sz w:val="20"/>
              </w:rPr>
              <w:t></w:t>
            </w:r>
          </w:p>
        </w:tc>
        <w:tc>
          <w:tcPr>
            <w:tcW w:w="429" w:type="dxa"/>
            <w:shd w:val="clear" w:color="auto" w:fill="B1A0C6"/>
          </w:tcPr>
          <w:p>
            <w:pPr>
              <w:pStyle w:val="TableParagraph"/>
              <w:spacing w:before="1"/>
              <w:ind w:left="0"/>
              <w:jc w:val="center"/>
              <w:rPr>
                <w:rFonts w:ascii="Webdings" w:hAnsi="Webdings"/>
                <w:sz w:val="20"/>
              </w:rPr>
            </w:pPr>
            <w:r>
              <w:rPr>
                <w:rFonts w:ascii="Webdings" w:hAnsi="Webdings"/>
                <w:w w:val="100"/>
                <w:sz w:val="20"/>
              </w:rPr>
              <w:t></w:t>
            </w:r>
          </w:p>
        </w:tc>
        <w:tc>
          <w:tcPr>
            <w:tcW w:w="429" w:type="dxa"/>
            <w:shd w:val="clear" w:color="auto" w:fill="B1A0C6"/>
          </w:tcPr>
          <w:p>
            <w:pPr/>
          </w:p>
        </w:tc>
        <w:tc>
          <w:tcPr>
            <w:tcW w:w="429" w:type="dxa"/>
            <w:shd w:val="clear" w:color="auto" w:fill="B1A0C6"/>
          </w:tcPr>
          <w:p>
            <w:pPr>
              <w:pStyle w:val="TableParagraph"/>
              <w:spacing w:before="1"/>
              <w:ind w:left="0"/>
              <w:jc w:val="center"/>
              <w:rPr>
                <w:rFonts w:ascii="Webdings" w:hAnsi="Webdings"/>
                <w:sz w:val="20"/>
              </w:rPr>
            </w:pPr>
            <w:r>
              <w:rPr>
                <w:rFonts w:ascii="Webdings" w:hAnsi="Webdings"/>
                <w:w w:val="100"/>
                <w:sz w:val="20"/>
              </w:rPr>
              <w:t></w:t>
            </w:r>
          </w:p>
        </w:tc>
        <w:tc>
          <w:tcPr>
            <w:tcW w:w="429" w:type="dxa"/>
            <w:shd w:val="clear" w:color="auto" w:fill="B1A0C6"/>
          </w:tcPr>
          <w:p>
            <w:pPr>
              <w:pStyle w:val="TableParagraph"/>
              <w:spacing w:before="1"/>
              <w:ind w:left="0"/>
              <w:jc w:val="center"/>
              <w:rPr>
                <w:rFonts w:ascii="Webdings" w:hAnsi="Webdings"/>
                <w:sz w:val="20"/>
              </w:rPr>
            </w:pPr>
            <w:r>
              <w:rPr>
                <w:rFonts w:ascii="Webdings" w:hAnsi="Webdings"/>
                <w:w w:val="100"/>
                <w:sz w:val="20"/>
              </w:rPr>
              <w:t></w:t>
            </w:r>
          </w:p>
        </w:tc>
        <w:tc>
          <w:tcPr>
            <w:tcW w:w="429" w:type="dxa"/>
            <w:shd w:val="clear" w:color="auto" w:fill="B1A0C6"/>
          </w:tcPr>
          <w:p>
            <w:pPr>
              <w:pStyle w:val="TableParagraph"/>
              <w:spacing w:before="1"/>
              <w:ind w:left="0"/>
              <w:jc w:val="center"/>
              <w:rPr>
                <w:rFonts w:ascii="Webdings" w:hAnsi="Webdings"/>
                <w:sz w:val="20"/>
              </w:rPr>
            </w:pPr>
            <w:r>
              <w:rPr>
                <w:rFonts w:ascii="Webdings" w:hAnsi="Webdings"/>
                <w:w w:val="100"/>
                <w:sz w:val="20"/>
              </w:rPr>
              <w:t></w:t>
            </w:r>
          </w:p>
        </w:tc>
        <w:tc>
          <w:tcPr>
            <w:tcW w:w="482" w:type="dxa"/>
            <w:shd w:val="clear" w:color="auto" w:fill="B1A0C6"/>
          </w:tcPr>
          <w:p>
            <w:pPr/>
          </w:p>
        </w:tc>
        <w:tc>
          <w:tcPr>
            <w:tcW w:w="1156" w:type="dxa"/>
            <w:shd w:val="clear" w:color="auto" w:fill="B1A0C6"/>
          </w:tcPr>
          <w:p>
            <w:pPr>
              <w:pStyle w:val="TableParagraph"/>
              <w:spacing w:line="243" w:lineRule="exact"/>
              <w:ind w:left="0" w:right="219"/>
              <w:jc w:val="right"/>
              <w:rPr>
                <w:sz w:val="20"/>
              </w:rPr>
            </w:pPr>
            <w:r>
              <w:rPr>
                <w:sz w:val="20"/>
              </w:rPr>
              <w:t>56.3% (9)</w:t>
            </w:r>
          </w:p>
        </w:tc>
      </w:tr>
      <w:tr>
        <w:trPr>
          <w:trHeight w:val="488" w:hRule="exact"/>
        </w:trPr>
        <w:tc>
          <w:tcPr>
            <w:tcW w:w="2277" w:type="dxa"/>
            <w:shd w:val="clear" w:color="auto" w:fill="E4DFEB"/>
          </w:tcPr>
          <w:p>
            <w:pPr>
              <w:pStyle w:val="TableParagraph"/>
              <w:ind w:left="107" w:right="190"/>
              <w:rPr>
                <w:sz w:val="20"/>
              </w:rPr>
            </w:pPr>
            <w:r>
              <w:rPr>
                <w:sz w:val="20"/>
              </w:rPr>
              <w:t>Alternative strategies to manage pain</w:t>
            </w:r>
          </w:p>
        </w:tc>
        <w:tc>
          <w:tcPr>
            <w:tcW w:w="414" w:type="dxa"/>
            <w:shd w:val="clear" w:color="auto" w:fill="E4DFEB"/>
          </w:tcPr>
          <w:p>
            <w:pPr/>
          </w:p>
        </w:tc>
        <w:tc>
          <w:tcPr>
            <w:tcW w:w="736" w:type="dxa"/>
            <w:shd w:val="clear" w:color="auto" w:fill="E4DFEB"/>
          </w:tcPr>
          <w:p>
            <w:pPr/>
          </w:p>
        </w:tc>
        <w:tc>
          <w:tcPr>
            <w:tcW w:w="368" w:type="dxa"/>
            <w:shd w:val="clear" w:color="auto" w:fill="E4DFEB"/>
          </w:tcPr>
          <w:p>
            <w:pPr>
              <w:pStyle w:val="TableParagraph"/>
              <w:spacing w:before="1"/>
              <w:ind w:left="0"/>
              <w:jc w:val="center"/>
              <w:rPr>
                <w:rFonts w:ascii="Webdings" w:hAnsi="Webdings"/>
                <w:sz w:val="20"/>
              </w:rPr>
            </w:pPr>
            <w:r>
              <w:rPr>
                <w:rFonts w:ascii="Webdings" w:hAnsi="Webdings"/>
                <w:w w:val="100"/>
                <w:sz w:val="20"/>
              </w:rPr>
              <w:t></w:t>
            </w:r>
          </w:p>
        </w:tc>
        <w:tc>
          <w:tcPr>
            <w:tcW w:w="368" w:type="dxa"/>
            <w:shd w:val="clear" w:color="auto" w:fill="E4DFEB"/>
          </w:tcPr>
          <w:p>
            <w:pPr>
              <w:pStyle w:val="TableParagraph"/>
              <w:spacing w:before="1"/>
              <w:ind w:left="0"/>
              <w:jc w:val="center"/>
              <w:rPr>
                <w:rFonts w:ascii="Webdings" w:hAnsi="Webdings"/>
                <w:sz w:val="20"/>
              </w:rPr>
            </w:pPr>
            <w:r>
              <w:rPr>
                <w:rFonts w:ascii="Webdings" w:hAnsi="Webdings"/>
                <w:w w:val="100"/>
                <w:sz w:val="20"/>
              </w:rPr>
              <w:t></w:t>
            </w:r>
          </w:p>
        </w:tc>
        <w:tc>
          <w:tcPr>
            <w:tcW w:w="368" w:type="dxa"/>
            <w:shd w:val="clear" w:color="auto" w:fill="E4DFEB"/>
          </w:tcPr>
          <w:p>
            <w:pPr/>
          </w:p>
        </w:tc>
        <w:tc>
          <w:tcPr>
            <w:tcW w:w="736" w:type="dxa"/>
            <w:shd w:val="clear" w:color="auto" w:fill="E4DFEB"/>
          </w:tcPr>
          <w:p>
            <w:pPr/>
          </w:p>
        </w:tc>
        <w:tc>
          <w:tcPr>
            <w:tcW w:w="371" w:type="dxa"/>
            <w:shd w:val="clear" w:color="auto" w:fill="E4DFEB"/>
          </w:tcPr>
          <w:p>
            <w:pPr/>
          </w:p>
        </w:tc>
        <w:tc>
          <w:tcPr>
            <w:tcW w:w="401" w:type="dxa"/>
            <w:shd w:val="clear" w:color="auto" w:fill="E4DFEB"/>
          </w:tcPr>
          <w:p>
            <w:pPr/>
          </w:p>
        </w:tc>
        <w:tc>
          <w:tcPr>
            <w:tcW w:w="429" w:type="dxa"/>
            <w:shd w:val="clear" w:color="auto" w:fill="E4DFEB"/>
          </w:tcPr>
          <w:p>
            <w:pPr/>
          </w:p>
        </w:tc>
        <w:tc>
          <w:tcPr>
            <w:tcW w:w="429" w:type="dxa"/>
            <w:shd w:val="clear" w:color="auto" w:fill="E4DFEB"/>
          </w:tcPr>
          <w:p>
            <w:pPr/>
          </w:p>
        </w:tc>
        <w:tc>
          <w:tcPr>
            <w:tcW w:w="429" w:type="dxa"/>
            <w:shd w:val="clear" w:color="auto" w:fill="E4DFEB"/>
          </w:tcPr>
          <w:p>
            <w:pPr/>
          </w:p>
        </w:tc>
        <w:tc>
          <w:tcPr>
            <w:tcW w:w="429" w:type="dxa"/>
            <w:shd w:val="clear" w:color="auto" w:fill="E4DFEB"/>
          </w:tcPr>
          <w:p>
            <w:pPr/>
          </w:p>
        </w:tc>
        <w:tc>
          <w:tcPr>
            <w:tcW w:w="429" w:type="dxa"/>
            <w:shd w:val="clear" w:color="auto" w:fill="E4DFEB"/>
          </w:tcPr>
          <w:p>
            <w:pPr/>
          </w:p>
        </w:tc>
        <w:tc>
          <w:tcPr>
            <w:tcW w:w="482" w:type="dxa"/>
            <w:shd w:val="clear" w:color="auto" w:fill="E4DFEB"/>
          </w:tcPr>
          <w:p>
            <w:pPr/>
          </w:p>
        </w:tc>
        <w:tc>
          <w:tcPr>
            <w:tcW w:w="1156" w:type="dxa"/>
            <w:shd w:val="clear" w:color="auto" w:fill="E4DFEB"/>
          </w:tcPr>
          <w:p>
            <w:pPr>
              <w:pStyle w:val="TableParagraph"/>
              <w:spacing w:line="243" w:lineRule="exact"/>
              <w:ind w:left="0" w:right="219"/>
              <w:jc w:val="right"/>
              <w:rPr>
                <w:sz w:val="20"/>
              </w:rPr>
            </w:pPr>
            <w:r>
              <w:rPr>
                <w:sz w:val="20"/>
              </w:rPr>
              <w:t>12.5% (2)</w:t>
            </w:r>
          </w:p>
        </w:tc>
      </w:tr>
      <w:tr>
        <w:trPr>
          <w:trHeight w:val="487" w:hRule="exact"/>
        </w:trPr>
        <w:tc>
          <w:tcPr>
            <w:tcW w:w="2277" w:type="dxa"/>
            <w:shd w:val="clear" w:color="auto" w:fill="CCC0D9"/>
          </w:tcPr>
          <w:p>
            <w:pPr>
              <w:pStyle w:val="TableParagraph"/>
              <w:ind w:left="107" w:right="507"/>
              <w:rPr>
                <w:sz w:val="20"/>
              </w:rPr>
            </w:pPr>
            <w:r>
              <w:rPr>
                <w:sz w:val="20"/>
              </w:rPr>
              <w:t>How to respond to overdose symptoms</w:t>
            </w:r>
          </w:p>
        </w:tc>
        <w:tc>
          <w:tcPr>
            <w:tcW w:w="414" w:type="dxa"/>
            <w:shd w:val="clear" w:color="auto" w:fill="CCC0D9"/>
          </w:tcPr>
          <w:p>
            <w:pPr/>
          </w:p>
        </w:tc>
        <w:tc>
          <w:tcPr>
            <w:tcW w:w="736" w:type="dxa"/>
            <w:shd w:val="clear" w:color="auto" w:fill="CCC0D9"/>
          </w:tcPr>
          <w:p>
            <w:pPr/>
          </w:p>
        </w:tc>
        <w:tc>
          <w:tcPr>
            <w:tcW w:w="368" w:type="dxa"/>
            <w:shd w:val="clear" w:color="auto" w:fill="CCC0D9"/>
          </w:tcPr>
          <w:p>
            <w:pPr>
              <w:pStyle w:val="TableParagraph"/>
              <w:spacing w:before="1"/>
              <w:ind w:left="0"/>
              <w:jc w:val="center"/>
              <w:rPr>
                <w:rFonts w:ascii="Webdings" w:hAnsi="Webdings"/>
                <w:sz w:val="20"/>
              </w:rPr>
            </w:pPr>
            <w:r>
              <w:rPr>
                <w:rFonts w:ascii="Webdings" w:hAnsi="Webdings"/>
                <w:w w:val="100"/>
                <w:sz w:val="20"/>
              </w:rPr>
              <w:t></w:t>
            </w:r>
          </w:p>
        </w:tc>
        <w:tc>
          <w:tcPr>
            <w:tcW w:w="368" w:type="dxa"/>
            <w:shd w:val="clear" w:color="auto" w:fill="CCC0D9"/>
          </w:tcPr>
          <w:p>
            <w:pPr>
              <w:pStyle w:val="TableParagraph"/>
              <w:spacing w:before="1"/>
              <w:ind w:left="0"/>
              <w:jc w:val="center"/>
              <w:rPr>
                <w:rFonts w:ascii="Webdings" w:hAnsi="Webdings"/>
                <w:sz w:val="20"/>
              </w:rPr>
            </w:pPr>
            <w:r>
              <w:rPr>
                <w:rFonts w:ascii="Webdings" w:hAnsi="Webdings"/>
                <w:w w:val="100"/>
                <w:sz w:val="20"/>
              </w:rPr>
              <w:t></w:t>
            </w:r>
          </w:p>
        </w:tc>
        <w:tc>
          <w:tcPr>
            <w:tcW w:w="368" w:type="dxa"/>
            <w:shd w:val="clear" w:color="auto" w:fill="CCC0D9"/>
          </w:tcPr>
          <w:p>
            <w:pPr/>
          </w:p>
        </w:tc>
        <w:tc>
          <w:tcPr>
            <w:tcW w:w="736" w:type="dxa"/>
            <w:shd w:val="clear" w:color="auto" w:fill="CCC0D9"/>
          </w:tcPr>
          <w:p>
            <w:pPr>
              <w:pStyle w:val="TableParagraph"/>
              <w:spacing w:before="1"/>
              <w:ind w:left="83"/>
              <w:rPr>
                <w:rFonts w:ascii="Webdings" w:hAnsi="Webdings"/>
                <w:sz w:val="20"/>
              </w:rPr>
            </w:pPr>
            <w:r>
              <w:rPr>
                <w:rFonts w:ascii="Webdings" w:hAnsi="Webdings"/>
                <w:w w:val="100"/>
                <w:sz w:val="20"/>
              </w:rPr>
              <w:t></w:t>
            </w:r>
          </w:p>
        </w:tc>
        <w:tc>
          <w:tcPr>
            <w:tcW w:w="371" w:type="dxa"/>
            <w:shd w:val="clear" w:color="auto" w:fill="CCC0D9"/>
          </w:tcPr>
          <w:p>
            <w:pPr/>
          </w:p>
        </w:tc>
        <w:tc>
          <w:tcPr>
            <w:tcW w:w="401" w:type="dxa"/>
            <w:shd w:val="clear" w:color="auto" w:fill="CCC0D9"/>
          </w:tcPr>
          <w:p>
            <w:pPr>
              <w:pStyle w:val="TableParagraph"/>
              <w:spacing w:before="1"/>
              <w:ind w:left="0" w:right="26"/>
              <w:jc w:val="center"/>
              <w:rPr>
                <w:rFonts w:ascii="Webdings" w:hAnsi="Webdings"/>
                <w:sz w:val="20"/>
              </w:rPr>
            </w:pPr>
            <w:r>
              <w:rPr>
                <w:rFonts w:ascii="Webdings" w:hAnsi="Webdings"/>
                <w:w w:val="100"/>
                <w:sz w:val="20"/>
              </w:rPr>
              <w:t></w:t>
            </w:r>
          </w:p>
        </w:tc>
        <w:tc>
          <w:tcPr>
            <w:tcW w:w="429" w:type="dxa"/>
            <w:shd w:val="clear" w:color="auto" w:fill="CCC0D9"/>
          </w:tcPr>
          <w:p>
            <w:pPr>
              <w:pStyle w:val="TableParagraph"/>
              <w:spacing w:before="1"/>
              <w:ind w:left="0"/>
              <w:jc w:val="center"/>
              <w:rPr>
                <w:rFonts w:ascii="Webdings" w:hAnsi="Webdings"/>
                <w:sz w:val="20"/>
              </w:rPr>
            </w:pPr>
            <w:r>
              <w:rPr>
                <w:rFonts w:ascii="Webdings" w:hAnsi="Webdings"/>
                <w:w w:val="100"/>
                <w:sz w:val="20"/>
              </w:rPr>
              <w:t></w:t>
            </w:r>
          </w:p>
        </w:tc>
        <w:tc>
          <w:tcPr>
            <w:tcW w:w="429" w:type="dxa"/>
            <w:shd w:val="clear" w:color="auto" w:fill="CCC0D9"/>
          </w:tcPr>
          <w:p>
            <w:pPr/>
          </w:p>
        </w:tc>
        <w:tc>
          <w:tcPr>
            <w:tcW w:w="429" w:type="dxa"/>
            <w:shd w:val="clear" w:color="auto" w:fill="CCC0D9"/>
          </w:tcPr>
          <w:p>
            <w:pPr/>
          </w:p>
        </w:tc>
        <w:tc>
          <w:tcPr>
            <w:tcW w:w="429" w:type="dxa"/>
            <w:shd w:val="clear" w:color="auto" w:fill="CCC0D9"/>
          </w:tcPr>
          <w:p>
            <w:pPr/>
          </w:p>
        </w:tc>
        <w:tc>
          <w:tcPr>
            <w:tcW w:w="429" w:type="dxa"/>
            <w:shd w:val="clear" w:color="auto" w:fill="CCC0D9"/>
          </w:tcPr>
          <w:p>
            <w:pPr/>
          </w:p>
        </w:tc>
        <w:tc>
          <w:tcPr>
            <w:tcW w:w="482" w:type="dxa"/>
            <w:shd w:val="clear" w:color="auto" w:fill="CCC0D9"/>
          </w:tcPr>
          <w:p>
            <w:pPr>
              <w:pStyle w:val="TableParagraph"/>
              <w:spacing w:before="1"/>
              <w:ind w:left="113"/>
              <w:rPr>
                <w:rFonts w:ascii="Webdings" w:hAnsi="Webdings"/>
                <w:sz w:val="20"/>
              </w:rPr>
            </w:pPr>
            <w:r>
              <w:rPr>
                <w:rFonts w:ascii="Webdings" w:hAnsi="Webdings"/>
                <w:w w:val="100"/>
                <w:sz w:val="20"/>
              </w:rPr>
              <w:t></w:t>
            </w:r>
          </w:p>
        </w:tc>
        <w:tc>
          <w:tcPr>
            <w:tcW w:w="1156" w:type="dxa"/>
            <w:shd w:val="clear" w:color="auto" w:fill="CCC0D9"/>
          </w:tcPr>
          <w:p>
            <w:pPr>
              <w:pStyle w:val="TableParagraph"/>
              <w:spacing w:line="243" w:lineRule="exact"/>
              <w:ind w:left="0" w:right="219"/>
              <w:jc w:val="right"/>
              <w:rPr>
                <w:sz w:val="20"/>
              </w:rPr>
            </w:pPr>
            <w:r>
              <w:rPr>
                <w:sz w:val="20"/>
              </w:rPr>
              <w:t>37.5% (6)</w:t>
            </w:r>
          </w:p>
        </w:tc>
      </w:tr>
      <w:tr>
        <w:trPr>
          <w:trHeight w:val="251" w:hRule="exact"/>
        </w:trPr>
        <w:tc>
          <w:tcPr>
            <w:tcW w:w="2277" w:type="dxa"/>
            <w:shd w:val="clear" w:color="auto" w:fill="CCC0D9"/>
          </w:tcPr>
          <w:p>
            <w:pPr>
              <w:pStyle w:val="TableParagraph"/>
              <w:spacing w:before="1"/>
              <w:ind w:left="107"/>
              <w:rPr>
                <w:sz w:val="20"/>
              </w:rPr>
            </w:pPr>
            <w:r>
              <w:rPr>
                <w:sz w:val="20"/>
              </w:rPr>
              <w:t>What is naloxone?</w:t>
            </w:r>
          </w:p>
        </w:tc>
        <w:tc>
          <w:tcPr>
            <w:tcW w:w="414" w:type="dxa"/>
            <w:shd w:val="clear" w:color="auto" w:fill="CCC0D9"/>
          </w:tcPr>
          <w:p>
            <w:pPr/>
          </w:p>
        </w:tc>
        <w:tc>
          <w:tcPr>
            <w:tcW w:w="736" w:type="dxa"/>
            <w:shd w:val="clear" w:color="auto" w:fill="CCC0D9"/>
          </w:tcPr>
          <w:p>
            <w:pPr/>
          </w:p>
        </w:tc>
        <w:tc>
          <w:tcPr>
            <w:tcW w:w="368" w:type="dxa"/>
            <w:shd w:val="clear" w:color="auto" w:fill="CCC0D9"/>
          </w:tcPr>
          <w:p>
            <w:pPr/>
          </w:p>
        </w:tc>
        <w:tc>
          <w:tcPr>
            <w:tcW w:w="368" w:type="dxa"/>
            <w:shd w:val="clear" w:color="auto" w:fill="CCC0D9"/>
          </w:tcPr>
          <w:p>
            <w:pPr>
              <w:pStyle w:val="TableParagraph"/>
              <w:spacing w:before="2"/>
              <w:ind w:left="0"/>
              <w:jc w:val="center"/>
              <w:rPr>
                <w:rFonts w:ascii="Webdings" w:hAnsi="Webdings"/>
                <w:sz w:val="20"/>
              </w:rPr>
            </w:pPr>
            <w:r>
              <w:rPr>
                <w:rFonts w:ascii="Webdings" w:hAnsi="Webdings"/>
                <w:w w:val="100"/>
                <w:sz w:val="20"/>
              </w:rPr>
              <w:t></w:t>
            </w:r>
          </w:p>
        </w:tc>
        <w:tc>
          <w:tcPr>
            <w:tcW w:w="368" w:type="dxa"/>
            <w:shd w:val="clear" w:color="auto" w:fill="CCC0D9"/>
          </w:tcPr>
          <w:p>
            <w:pPr/>
          </w:p>
        </w:tc>
        <w:tc>
          <w:tcPr>
            <w:tcW w:w="736" w:type="dxa"/>
            <w:shd w:val="clear" w:color="auto" w:fill="CCC0D9"/>
          </w:tcPr>
          <w:p>
            <w:pPr>
              <w:pStyle w:val="TableParagraph"/>
              <w:spacing w:before="2"/>
              <w:ind w:left="83"/>
              <w:rPr>
                <w:rFonts w:ascii="Webdings" w:hAnsi="Webdings"/>
                <w:sz w:val="20"/>
              </w:rPr>
            </w:pPr>
            <w:r>
              <w:rPr>
                <w:rFonts w:ascii="Webdings" w:hAnsi="Webdings"/>
                <w:w w:val="100"/>
                <w:sz w:val="20"/>
              </w:rPr>
              <w:t></w:t>
            </w:r>
          </w:p>
        </w:tc>
        <w:tc>
          <w:tcPr>
            <w:tcW w:w="371" w:type="dxa"/>
            <w:shd w:val="clear" w:color="auto" w:fill="CCC0D9"/>
          </w:tcPr>
          <w:p>
            <w:pPr/>
          </w:p>
        </w:tc>
        <w:tc>
          <w:tcPr>
            <w:tcW w:w="401" w:type="dxa"/>
            <w:shd w:val="clear" w:color="auto" w:fill="CCC0D9"/>
          </w:tcPr>
          <w:p>
            <w:pPr/>
          </w:p>
        </w:tc>
        <w:tc>
          <w:tcPr>
            <w:tcW w:w="429" w:type="dxa"/>
            <w:shd w:val="clear" w:color="auto" w:fill="CCC0D9"/>
          </w:tcPr>
          <w:p>
            <w:pPr/>
          </w:p>
        </w:tc>
        <w:tc>
          <w:tcPr>
            <w:tcW w:w="429" w:type="dxa"/>
            <w:shd w:val="clear" w:color="auto" w:fill="CCC0D9"/>
          </w:tcPr>
          <w:p>
            <w:pPr>
              <w:pStyle w:val="TableParagraph"/>
              <w:spacing w:before="2"/>
              <w:ind w:left="0"/>
              <w:jc w:val="center"/>
              <w:rPr>
                <w:rFonts w:ascii="Webdings" w:hAnsi="Webdings"/>
                <w:sz w:val="20"/>
              </w:rPr>
            </w:pPr>
            <w:r>
              <w:rPr>
                <w:rFonts w:ascii="Webdings" w:hAnsi="Webdings"/>
                <w:w w:val="100"/>
                <w:sz w:val="20"/>
              </w:rPr>
              <w:t></w:t>
            </w:r>
          </w:p>
        </w:tc>
        <w:tc>
          <w:tcPr>
            <w:tcW w:w="429" w:type="dxa"/>
            <w:shd w:val="clear" w:color="auto" w:fill="CCC0D9"/>
          </w:tcPr>
          <w:p>
            <w:pPr>
              <w:pStyle w:val="TableParagraph"/>
              <w:spacing w:before="2"/>
              <w:ind w:left="0"/>
              <w:jc w:val="center"/>
              <w:rPr>
                <w:rFonts w:ascii="Webdings" w:hAnsi="Webdings"/>
                <w:sz w:val="20"/>
              </w:rPr>
            </w:pPr>
            <w:r>
              <w:rPr>
                <w:rFonts w:ascii="Webdings" w:hAnsi="Webdings"/>
                <w:w w:val="100"/>
                <w:sz w:val="20"/>
              </w:rPr>
              <w:t></w:t>
            </w:r>
          </w:p>
        </w:tc>
        <w:tc>
          <w:tcPr>
            <w:tcW w:w="429" w:type="dxa"/>
            <w:shd w:val="clear" w:color="auto" w:fill="CCC0D9"/>
          </w:tcPr>
          <w:p>
            <w:pPr/>
          </w:p>
        </w:tc>
        <w:tc>
          <w:tcPr>
            <w:tcW w:w="429" w:type="dxa"/>
            <w:shd w:val="clear" w:color="auto" w:fill="CCC0D9"/>
          </w:tcPr>
          <w:p>
            <w:pPr/>
          </w:p>
        </w:tc>
        <w:tc>
          <w:tcPr>
            <w:tcW w:w="482" w:type="dxa"/>
            <w:shd w:val="clear" w:color="auto" w:fill="CCC0D9"/>
          </w:tcPr>
          <w:p>
            <w:pPr/>
          </w:p>
        </w:tc>
        <w:tc>
          <w:tcPr>
            <w:tcW w:w="1156" w:type="dxa"/>
            <w:shd w:val="clear" w:color="auto" w:fill="CCC0D9"/>
          </w:tcPr>
          <w:p>
            <w:pPr>
              <w:pStyle w:val="TableParagraph"/>
              <w:spacing w:before="1"/>
              <w:ind w:left="0" w:right="294"/>
              <w:jc w:val="right"/>
              <w:rPr>
                <w:sz w:val="20"/>
              </w:rPr>
            </w:pPr>
            <w:r>
              <w:rPr>
                <w:sz w:val="20"/>
              </w:rPr>
              <w:t>25% (4)</w:t>
            </w:r>
          </w:p>
        </w:tc>
      </w:tr>
      <w:tr>
        <w:trPr>
          <w:trHeight w:val="243" w:hRule="exact"/>
        </w:trPr>
        <w:tc>
          <w:tcPr>
            <w:tcW w:w="2277" w:type="dxa"/>
            <w:shd w:val="clear" w:color="auto" w:fill="E4DFEB"/>
          </w:tcPr>
          <w:p>
            <w:pPr>
              <w:pStyle w:val="TableParagraph"/>
              <w:spacing w:line="243" w:lineRule="exact"/>
              <w:ind w:left="107"/>
              <w:rPr>
                <w:sz w:val="20"/>
              </w:rPr>
            </w:pPr>
            <w:r>
              <w:rPr>
                <w:sz w:val="20"/>
              </w:rPr>
              <w:t>What is it used for?</w:t>
            </w:r>
          </w:p>
        </w:tc>
        <w:tc>
          <w:tcPr>
            <w:tcW w:w="414" w:type="dxa"/>
            <w:shd w:val="clear" w:color="auto" w:fill="E4DFEB"/>
          </w:tcPr>
          <w:p>
            <w:pPr/>
          </w:p>
        </w:tc>
        <w:tc>
          <w:tcPr>
            <w:tcW w:w="736" w:type="dxa"/>
            <w:shd w:val="clear" w:color="auto" w:fill="E4DFEB"/>
          </w:tcPr>
          <w:p>
            <w:pPr/>
          </w:p>
        </w:tc>
        <w:tc>
          <w:tcPr>
            <w:tcW w:w="368" w:type="dxa"/>
            <w:shd w:val="clear" w:color="auto" w:fill="E4DFEB"/>
          </w:tcPr>
          <w:p>
            <w:pPr/>
          </w:p>
        </w:tc>
        <w:tc>
          <w:tcPr>
            <w:tcW w:w="368" w:type="dxa"/>
            <w:shd w:val="clear" w:color="auto" w:fill="E4DFEB"/>
          </w:tcPr>
          <w:p>
            <w:pPr/>
          </w:p>
        </w:tc>
        <w:tc>
          <w:tcPr>
            <w:tcW w:w="368" w:type="dxa"/>
            <w:shd w:val="clear" w:color="auto" w:fill="E4DFEB"/>
          </w:tcPr>
          <w:p>
            <w:pPr/>
          </w:p>
        </w:tc>
        <w:tc>
          <w:tcPr>
            <w:tcW w:w="736" w:type="dxa"/>
            <w:shd w:val="clear" w:color="auto" w:fill="E4DFEB"/>
          </w:tcPr>
          <w:p>
            <w:pPr>
              <w:pStyle w:val="TableParagraph"/>
              <w:spacing w:before="1"/>
              <w:ind w:left="83"/>
              <w:rPr>
                <w:rFonts w:ascii="Webdings" w:hAnsi="Webdings"/>
                <w:sz w:val="20"/>
              </w:rPr>
            </w:pPr>
            <w:r>
              <w:rPr>
                <w:rFonts w:ascii="Webdings" w:hAnsi="Webdings"/>
                <w:w w:val="100"/>
                <w:sz w:val="20"/>
              </w:rPr>
              <w:t></w:t>
            </w:r>
          </w:p>
        </w:tc>
        <w:tc>
          <w:tcPr>
            <w:tcW w:w="371" w:type="dxa"/>
            <w:shd w:val="clear" w:color="auto" w:fill="E4DFEB"/>
          </w:tcPr>
          <w:p>
            <w:pPr/>
          </w:p>
        </w:tc>
        <w:tc>
          <w:tcPr>
            <w:tcW w:w="401" w:type="dxa"/>
            <w:shd w:val="clear" w:color="auto" w:fill="E4DFEB"/>
          </w:tcPr>
          <w:p>
            <w:pPr/>
          </w:p>
        </w:tc>
        <w:tc>
          <w:tcPr>
            <w:tcW w:w="429" w:type="dxa"/>
            <w:shd w:val="clear" w:color="auto" w:fill="E4DFEB"/>
          </w:tcPr>
          <w:p>
            <w:pPr/>
          </w:p>
        </w:tc>
        <w:tc>
          <w:tcPr>
            <w:tcW w:w="429" w:type="dxa"/>
            <w:shd w:val="clear" w:color="auto" w:fill="E4DFEB"/>
          </w:tcPr>
          <w:p>
            <w:pPr>
              <w:pStyle w:val="TableParagraph"/>
              <w:spacing w:before="1"/>
              <w:ind w:left="0"/>
              <w:jc w:val="center"/>
              <w:rPr>
                <w:rFonts w:ascii="Webdings" w:hAnsi="Webdings"/>
                <w:sz w:val="20"/>
              </w:rPr>
            </w:pPr>
            <w:r>
              <w:rPr>
                <w:rFonts w:ascii="Webdings" w:hAnsi="Webdings"/>
                <w:w w:val="100"/>
                <w:sz w:val="20"/>
              </w:rPr>
              <w:t></w:t>
            </w:r>
          </w:p>
        </w:tc>
        <w:tc>
          <w:tcPr>
            <w:tcW w:w="429" w:type="dxa"/>
            <w:shd w:val="clear" w:color="auto" w:fill="E4DFEB"/>
          </w:tcPr>
          <w:p>
            <w:pPr/>
          </w:p>
        </w:tc>
        <w:tc>
          <w:tcPr>
            <w:tcW w:w="429" w:type="dxa"/>
            <w:shd w:val="clear" w:color="auto" w:fill="E4DFEB"/>
          </w:tcPr>
          <w:p>
            <w:pPr/>
          </w:p>
        </w:tc>
        <w:tc>
          <w:tcPr>
            <w:tcW w:w="429" w:type="dxa"/>
            <w:shd w:val="clear" w:color="auto" w:fill="E4DFEB"/>
          </w:tcPr>
          <w:p>
            <w:pPr/>
          </w:p>
        </w:tc>
        <w:tc>
          <w:tcPr>
            <w:tcW w:w="482" w:type="dxa"/>
            <w:shd w:val="clear" w:color="auto" w:fill="E4DFEB"/>
          </w:tcPr>
          <w:p>
            <w:pPr/>
          </w:p>
        </w:tc>
        <w:tc>
          <w:tcPr>
            <w:tcW w:w="1156" w:type="dxa"/>
            <w:shd w:val="clear" w:color="auto" w:fill="E4DFEB"/>
          </w:tcPr>
          <w:p>
            <w:pPr>
              <w:pStyle w:val="TableParagraph"/>
              <w:spacing w:line="243" w:lineRule="exact"/>
              <w:ind w:left="0" w:right="219"/>
              <w:jc w:val="right"/>
              <w:rPr>
                <w:sz w:val="20"/>
              </w:rPr>
            </w:pPr>
            <w:r>
              <w:rPr>
                <w:sz w:val="20"/>
              </w:rPr>
              <w:t>12.5% (2)</w:t>
            </w:r>
          </w:p>
        </w:tc>
      </w:tr>
      <w:tr>
        <w:trPr>
          <w:trHeight w:val="252" w:hRule="exact"/>
        </w:trPr>
        <w:tc>
          <w:tcPr>
            <w:tcW w:w="2277" w:type="dxa"/>
            <w:shd w:val="clear" w:color="auto" w:fill="E4DFEB"/>
          </w:tcPr>
          <w:p>
            <w:pPr>
              <w:pStyle w:val="TableParagraph"/>
              <w:spacing w:before="1"/>
              <w:ind w:left="107"/>
              <w:rPr>
                <w:sz w:val="20"/>
              </w:rPr>
            </w:pPr>
            <w:r>
              <w:rPr>
                <w:sz w:val="20"/>
              </w:rPr>
              <w:t>How does it work?</w:t>
            </w:r>
          </w:p>
        </w:tc>
        <w:tc>
          <w:tcPr>
            <w:tcW w:w="414" w:type="dxa"/>
            <w:shd w:val="clear" w:color="auto" w:fill="E4DFEB"/>
          </w:tcPr>
          <w:p>
            <w:pPr/>
          </w:p>
        </w:tc>
        <w:tc>
          <w:tcPr>
            <w:tcW w:w="736" w:type="dxa"/>
            <w:shd w:val="clear" w:color="auto" w:fill="E4DFEB"/>
          </w:tcPr>
          <w:p>
            <w:pPr/>
          </w:p>
        </w:tc>
        <w:tc>
          <w:tcPr>
            <w:tcW w:w="368" w:type="dxa"/>
            <w:shd w:val="clear" w:color="auto" w:fill="E4DFEB"/>
          </w:tcPr>
          <w:p>
            <w:pPr/>
          </w:p>
        </w:tc>
        <w:tc>
          <w:tcPr>
            <w:tcW w:w="368" w:type="dxa"/>
            <w:shd w:val="clear" w:color="auto" w:fill="E4DFEB"/>
          </w:tcPr>
          <w:p>
            <w:pPr/>
          </w:p>
        </w:tc>
        <w:tc>
          <w:tcPr>
            <w:tcW w:w="368" w:type="dxa"/>
            <w:shd w:val="clear" w:color="auto" w:fill="E4DFEB"/>
          </w:tcPr>
          <w:p>
            <w:pPr/>
          </w:p>
        </w:tc>
        <w:tc>
          <w:tcPr>
            <w:tcW w:w="736" w:type="dxa"/>
            <w:shd w:val="clear" w:color="auto" w:fill="E4DFEB"/>
          </w:tcPr>
          <w:p>
            <w:pPr>
              <w:pStyle w:val="TableParagraph"/>
              <w:spacing w:before="3"/>
              <w:ind w:left="83"/>
              <w:rPr>
                <w:rFonts w:ascii="Webdings" w:hAnsi="Webdings"/>
                <w:sz w:val="20"/>
              </w:rPr>
            </w:pPr>
            <w:r>
              <w:rPr>
                <w:rFonts w:ascii="Webdings" w:hAnsi="Webdings"/>
                <w:w w:val="100"/>
                <w:sz w:val="20"/>
              </w:rPr>
              <w:t></w:t>
            </w:r>
          </w:p>
        </w:tc>
        <w:tc>
          <w:tcPr>
            <w:tcW w:w="371" w:type="dxa"/>
            <w:shd w:val="clear" w:color="auto" w:fill="E4DFEB"/>
          </w:tcPr>
          <w:p>
            <w:pPr/>
          </w:p>
        </w:tc>
        <w:tc>
          <w:tcPr>
            <w:tcW w:w="401" w:type="dxa"/>
            <w:shd w:val="clear" w:color="auto" w:fill="E4DFEB"/>
          </w:tcPr>
          <w:p>
            <w:pPr/>
          </w:p>
        </w:tc>
        <w:tc>
          <w:tcPr>
            <w:tcW w:w="429" w:type="dxa"/>
            <w:shd w:val="clear" w:color="auto" w:fill="E4DFEB"/>
          </w:tcPr>
          <w:p>
            <w:pPr/>
          </w:p>
        </w:tc>
        <w:tc>
          <w:tcPr>
            <w:tcW w:w="429" w:type="dxa"/>
            <w:shd w:val="clear" w:color="auto" w:fill="E4DFEB"/>
          </w:tcPr>
          <w:p>
            <w:pPr/>
          </w:p>
        </w:tc>
        <w:tc>
          <w:tcPr>
            <w:tcW w:w="429" w:type="dxa"/>
            <w:shd w:val="clear" w:color="auto" w:fill="E4DFEB"/>
          </w:tcPr>
          <w:p>
            <w:pPr/>
          </w:p>
        </w:tc>
        <w:tc>
          <w:tcPr>
            <w:tcW w:w="429" w:type="dxa"/>
            <w:shd w:val="clear" w:color="auto" w:fill="E4DFEB"/>
          </w:tcPr>
          <w:p>
            <w:pPr/>
          </w:p>
        </w:tc>
        <w:tc>
          <w:tcPr>
            <w:tcW w:w="429" w:type="dxa"/>
            <w:shd w:val="clear" w:color="auto" w:fill="E4DFEB"/>
          </w:tcPr>
          <w:p>
            <w:pPr/>
          </w:p>
        </w:tc>
        <w:tc>
          <w:tcPr>
            <w:tcW w:w="482" w:type="dxa"/>
            <w:shd w:val="clear" w:color="auto" w:fill="E4DFEB"/>
          </w:tcPr>
          <w:p>
            <w:pPr/>
          </w:p>
        </w:tc>
        <w:tc>
          <w:tcPr>
            <w:tcW w:w="1156" w:type="dxa"/>
            <w:shd w:val="clear" w:color="auto" w:fill="E4DFEB"/>
          </w:tcPr>
          <w:p>
            <w:pPr>
              <w:pStyle w:val="TableParagraph"/>
              <w:spacing w:before="1"/>
              <w:ind w:left="0" w:right="269"/>
              <w:jc w:val="right"/>
              <w:rPr>
                <w:sz w:val="20"/>
              </w:rPr>
            </w:pPr>
            <w:r>
              <w:rPr>
                <w:sz w:val="20"/>
              </w:rPr>
              <w:t>6.3% (1)</w:t>
            </w:r>
          </w:p>
        </w:tc>
      </w:tr>
      <w:tr>
        <w:trPr>
          <w:trHeight w:val="242" w:hRule="exact"/>
        </w:trPr>
        <w:tc>
          <w:tcPr>
            <w:tcW w:w="2277" w:type="dxa"/>
            <w:shd w:val="clear" w:color="auto" w:fill="CCC0D9"/>
          </w:tcPr>
          <w:p>
            <w:pPr>
              <w:pStyle w:val="TableParagraph"/>
              <w:spacing w:line="243" w:lineRule="exact"/>
              <w:ind w:left="107"/>
              <w:rPr>
                <w:sz w:val="20"/>
              </w:rPr>
            </w:pPr>
            <w:r>
              <w:rPr>
                <w:sz w:val="20"/>
              </w:rPr>
              <w:t>How to use naloxone</w:t>
            </w:r>
          </w:p>
        </w:tc>
        <w:tc>
          <w:tcPr>
            <w:tcW w:w="414" w:type="dxa"/>
            <w:shd w:val="clear" w:color="auto" w:fill="CCC0D9"/>
          </w:tcPr>
          <w:p>
            <w:pPr>
              <w:pStyle w:val="TableParagraph"/>
              <w:spacing w:before="1"/>
              <w:ind w:left="0" w:right="81"/>
              <w:jc w:val="right"/>
              <w:rPr>
                <w:rFonts w:ascii="Webdings" w:hAnsi="Webdings"/>
                <w:sz w:val="20"/>
              </w:rPr>
            </w:pPr>
            <w:r>
              <w:rPr>
                <w:rFonts w:ascii="Webdings" w:hAnsi="Webdings"/>
                <w:w w:val="100"/>
                <w:sz w:val="20"/>
              </w:rPr>
              <w:t></w:t>
            </w:r>
          </w:p>
        </w:tc>
        <w:tc>
          <w:tcPr>
            <w:tcW w:w="736" w:type="dxa"/>
            <w:shd w:val="clear" w:color="auto" w:fill="CCC0D9"/>
          </w:tcPr>
          <w:p>
            <w:pPr>
              <w:pStyle w:val="TableParagraph"/>
              <w:spacing w:before="1"/>
              <w:ind w:left="83"/>
              <w:rPr>
                <w:rFonts w:ascii="Webdings" w:hAnsi="Webdings"/>
                <w:sz w:val="20"/>
              </w:rPr>
            </w:pPr>
            <w:r>
              <w:rPr>
                <w:rFonts w:ascii="Webdings" w:hAnsi="Webdings"/>
                <w:w w:val="100"/>
                <w:sz w:val="20"/>
              </w:rPr>
              <w:t></w:t>
            </w:r>
          </w:p>
        </w:tc>
        <w:tc>
          <w:tcPr>
            <w:tcW w:w="368" w:type="dxa"/>
            <w:shd w:val="clear" w:color="auto" w:fill="CCC0D9"/>
          </w:tcPr>
          <w:p>
            <w:pPr/>
          </w:p>
        </w:tc>
        <w:tc>
          <w:tcPr>
            <w:tcW w:w="368" w:type="dxa"/>
            <w:shd w:val="clear" w:color="auto" w:fill="CCC0D9"/>
          </w:tcPr>
          <w:p>
            <w:pPr>
              <w:pStyle w:val="TableParagraph"/>
              <w:spacing w:before="1"/>
              <w:ind w:left="0"/>
              <w:jc w:val="center"/>
              <w:rPr>
                <w:rFonts w:ascii="Webdings" w:hAnsi="Webdings"/>
                <w:sz w:val="20"/>
              </w:rPr>
            </w:pPr>
            <w:r>
              <w:rPr>
                <w:rFonts w:ascii="Webdings" w:hAnsi="Webdings"/>
                <w:w w:val="100"/>
                <w:sz w:val="20"/>
              </w:rPr>
              <w:t></w:t>
            </w:r>
          </w:p>
        </w:tc>
        <w:tc>
          <w:tcPr>
            <w:tcW w:w="368" w:type="dxa"/>
            <w:shd w:val="clear" w:color="auto" w:fill="CCC0D9"/>
          </w:tcPr>
          <w:p>
            <w:pPr>
              <w:pStyle w:val="TableParagraph"/>
              <w:spacing w:before="1"/>
              <w:ind w:left="0" w:right="81"/>
              <w:jc w:val="right"/>
              <w:rPr>
                <w:rFonts w:ascii="Webdings" w:hAnsi="Webdings"/>
                <w:sz w:val="20"/>
              </w:rPr>
            </w:pPr>
            <w:r>
              <w:rPr>
                <w:rFonts w:ascii="Webdings" w:hAnsi="Webdings"/>
                <w:w w:val="100"/>
                <w:sz w:val="20"/>
              </w:rPr>
              <w:t></w:t>
            </w:r>
          </w:p>
        </w:tc>
        <w:tc>
          <w:tcPr>
            <w:tcW w:w="736" w:type="dxa"/>
            <w:shd w:val="clear" w:color="auto" w:fill="CCC0D9"/>
          </w:tcPr>
          <w:p>
            <w:pPr>
              <w:pStyle w:val="TableParagraph"/>
              <w:spacing w:before="1"/>
              <w:ind w:left="83"/>
              <w:rPr>
                <w:rFonts w:ascii="Webdings" w:hAnsi="Webdings"/>
                <w:sz w:val="20"/>
              </w:rPr>
            </w:pPr>
            <w:r>
              <w:rPr>
                <w:rFonts w:ascii="Webdings" w:hAnsi="Webdings"/>
                <w:w w:val="100"/>
                <w:sz w:val="20"/>
              </w:rPr>
              <w:t></w:t>
            </w:r>
          </w:p>
        </w:tc>
        <w:tc>
          <w:tcPr>
            <w:tcW w:w="371" w:type="dxa"/>
            <w:shd w:val="clear" w:color="auto" w:fill="CCC0D9"/>
          </w:tcPr>
          <w:p>
            <w:pPr/>
          </w:p>
        </w:tc>
        <w:tc>
          <w:tcPr>
            <w:tcW w:w="401" w:type="dxa"/>
            <w:shd w:val="clear" w:color="auto" w:fill="CCC0D9"/>
          </w:tcPr>
          <w:p>
            <w:pPr/>
          </w:p>
        </w:tc>
        <w:tc>
          <w:tcPr>
            <w:tcW w:w="429" w:type="dxa"/>
            <w:shd w:val="clear" w:color="auto" w:fill="CCC0D9"/>
          </w:tcPr>
          <w:p>
            <w:pPr/>
          </w:p>
        </w:tc>
        <w:tc>
          <w:tcPr>
            <w:tcW w:w="429" w:type="dxa"/>
            <w:shd w:val="clear" w:color="auto" w:fill="CCC0D9"/>
          </w:tcPr>
          <w:p>
            <w:pPr/>
          </w:p>
        </w:tc>
        <w:tc>
          <w:tcPr>
            <w:tcW w:w="429" w:type="dxa"/>
            <w:shd w:val="clear" w:color="auto" w:fill="CCC0D9"/>
          </w:tcPr>
          <w:p>
            <w:pPr/>
          </w:p>
        </w:tc>
        <w:tc>
          <w:tcPr>
            <w:tcW w:w="429" w:type="dxa"/>
            <w:shd w:val="clear" w:color="auto" w:fill="CCC0D9"/>
          </w:tcPr>
          <w:p>
            <w:pPr/>
          </w:p>
        </w:tc>
        <w:tc>
          <w:tcPr>
            <w:tcW w:w="429" w:type="dxa"/>
            <w:shd w:val="clear" w:color="auto" w:fill="CCC0D9"/>
          </w:tcPr>
          <w:p>
            <w:pPr>
              <w:pStyle w:val="TableParagraph"/>
              <w:spacing w:before="1"/>
              <w:ind w:left="0"/>
              <w:jc w:val="center"/>
              <w:rPr>
                <w:rFonts w:ascii="Webdings" w:hAnsi="Webdings"/>
                <w:sz w:val="20"/>
              </w:rPr>
            </w:pPr>
            <w:r>
              <w:rPr>
                <w:rFonts w:ascii="Webdings" w:hAnsi="Webdings"/>
                <w:w w:val="100"/>
                <w:sz w:val="20"/>
              </w:rPr>
              <w:t></w:t>
            </w:r>
          </w:p>
        </w:tc>
        <w:tc>
          <w:tcPr>
            <w:tcW w:w="482" w:type="dxa"/>
            <w:shd w:val="clear" w:color="auto" w:fill="CCC0D9"/>
          </w:tcPr>
          <w:p>
            <w:pPr/>
          </w:p>
        </w:tc>
        <w:tc>
          <w:tcPr>
            <w:tcW w:w="1156" w:type="dxa"/>
            <w:shd w:val="clear" w:color="auto" w:fill="CCC0D9"/>
          </w:tcPr>
          <w:p>
            <w:pPr>
              <w:pStyle w:val="TableParagraph"/>
              <w:spacing w:line="243" w:lineRule="exact"/>
              <w:ind w:left="0" w:right="218"/>
              <w:jc w:val="right"/>
              <w:rPr>
                <w:sz w:val="20"/>
              </w:rPr>
            </w:pPr>
            <w:r>
              <w:rPr>
                <w:sz w:val="20"/>
              </w:rPr>
              <w:t>37.5% (6)</w:t>
            </w:r>
          </w:p>
        </w:tc>
      </w:tr>
      <w:tr>
        <w:trPr>
          <w:trHeight w:val="488" w:hRule="exact"/>
        </w:trPr>
        <w:tc>
          <w:tcPr>
            <w:tcW w:w="2277" w:type="dxa"/>
            <w:shd w:val="clear" w:color="auto" w:fill="CCC0D9"/>
          </w:tcPr>
          <w:p>
            <w:pPr>
              <w:pStyle w:val="TableParagraph"/>
              <w:spacing w:before="2"/>
              <w:ind w:left="107" w:right="184"/>
              <w:rPr>
                <w:sz w:val="20"/>
              </w:rPr>
            </w:pPr>
            <w:r>
              <w:rPr>
                <w:sz w:val="20"/>
              </w:rPr>
              <w:t>Where/how can you get naloxone?</w:t>
            </w:r>
          </w:p>
        </w:tc>
        <w:tc>
          <w:tcPr>
            <w:tcW w:w="414" w:type="dxa"/>
            <w:shd w:val="clear" w:color="auto" w:fill="CCC0D9"/>
          </w:tcPr>
          <w:p>
            <w:pPr/>
          </w:p>
        </w:tc>
        <w:tc>
          <w:tcPr>
            <w:tcW w:w="736" w:type="dxa"/>
            <w:shd w:val="clear" w:color="auto" w:fill="CCC0D9"/>
          </w:tcPr>
          <w:p>
            <w:pPr/>
          </w:p>
        </w:tc>
        <w:tc>
          <w:tcPr>
            <w:tcW w:w="368" w:type="dxa"/>
            <w:shd w:val="clear" w:color="auto" w:fill="CCC0D9"/>
          </w:tcPr>
          <w:p>
            <w:pPr>
              <w:pStyle w:val="TableParagraph"/>
              <w:spacing w:before="2"/>
              <w:ind w:left="0"/>
              <w:jc w:val="center"/>
              <w:rPr>
                <w:rFonts w:ascii="Webdings" w:hAnsi="Webdings"/>
                <w:sz w:val="20"/>
              </w:rPr>
            </w:pPr>
            <w:r>
              <w:rPr>
                <w:rFonts w:ascii="Webdings" w:hAnsi="Webdings"/>
                <w:w w:val="100"/>
                <w:sz w:val="20"/>
              </w:rPr>
              <w:t></w:t>
            </w:r>
          </w:p>
        </w:tc>
        <w:tc>
          <w:tcPr>
            <w:tcW w:w="368" w:type="dxa"/>
            <w:shd w:val="clear" w:color="auto" w:fill="CCC0D9"/>
          </w:tcPr>
          <w:p>
            <w:pPr/>
          </w:p>
        </w:tc>
        <w:tc>
          <w:tcPr>
            <w:tcW w:w="368" w:type="dxa"/>
            <w:shd w:val="clear" w:color="auto" w:fill="CCC0D9"/>
          </w:tcPr>
          <w:p>
            <w:pPr>
              <w:pStyle w:val="TableParagraph"/>
              <w:spacing w:before="2"/>
              <w:ind w:left="0" w:right="81"/>
              <w:jc w:val="right"/>
              <w:rPr>
                <w:rFonts w:ascii="Webdings" w:hAnsi="Webdings"/>
                <w:sz w:val="20"/>
              </w:rPr>
            </w:pPr>
            <w:r>
              <w:rPr>
                <w:rFonts w:ascii="Webdings" w:hAnsi="Webdings"/>
                <w:w w:val="100"/>
                <w:sz w:val="20"/>
              </w:rPr>
              <w:t></w:t>
            </w:r>
          </w:p>
        </w:tc>
        <w:tc>
          <w:tcPr>
            <w:tcW w:w="736" w:type="dxa"/>
            <w:shd w:val="clear" w:color="auto" w:fill="CCC0D9"/>
          </w:tcPr>
          <w:p>
            <w:pPr/>
          </w:p>
        </w:tc>
        <w:tc>
          <w:tcPr>
            <w:tcW w:w="371" w:type="dxa"/>
            <w:shd w:val="clear" w:color="auto" w:fill="CCC0D9"/>
          </w:tcPr>
          <w:p>
            <w:pPr>
              <w:pStyle w:val="TableParagraph"/>
              <w:spacing w:before="2"/>
              <w:ind w:left="0"/>
              <w:jc w:val="center"/>
              <w:rPr>
                <w:rFonts w:ascii="Webdings" w:hAnsi="Webdings"/>
                <w:sz w:val="20"/>
              </w:rPr>
            </w:pPr>
            <w:r>
              <w:rPr>
                <w:rFonts w:ascii="Webdings" w:hAnsi="Webdings"/>
                <w:w w:val="100"/>
                <w:sz w:val="20"/>
              </w:rPr>
              <w:t></w:t>
            </w:r>
          </w:p>
        </w:tc>
        <w:tc>
          <w:tcPr>
            <w:tcW w:w="401" w:type="dxa"/>
            <w:shd w:val="clear" w:color="auto" w:fill="CCC0D9"/>
          </w:tcPr>
          <w:p>
            <w:pPr/>
          </w:p>
        </w:tc>
        <w:tc>
          <w:tcPr>
            <w:tcW w:w="429" w:type="dxa"/>
            <w:shd w:val="clear" w:color="auto" w:fill="CCC0D9"/>
          </w:tcPr>
          <w:p>
            <w:pPr/>
          </w:p>
        </w:tc>
        <w:tc>
          <w:tcPr>
            <w:tcW w:w="429" w:type="dxa"/>
            <w:shd w:val="clear" w:color="auto" w:fill="CCC0D9"/>
          </w:tcPr>
          <w:p>
            <w:pPr/>
          </w:p>
        </w:tc>
        <w:tc>
          <w:tcPr>
            <w:tcW w:w="429" w:type="dxa"/>
            <w:shd w:val="clear" w:color="auto" w:fill="CCC0D9"/>
          </w:tcPr>
          <w:p>
            <w:pPr/>
          </w:p>
        </w:tc>
        <w:tc>
          <w:tcPr>
            <w:tcW w:w="429" w:type="dxa"/>
            <w:shd w:val="clear" w:color="auto" w:fill="CCC0D9"/>
          </w:tcPr>
          <w:p>
            <w:pPr>
              <w:pStyle w:val="TableParagraph"/>
              <w:spacing w:before="2"/>
              <w:ind w:left="0"/>
              <w:jc w:val="center"/>
              <w:rPr>
                <w:rFonts w:ascii="Webdings" w:hAnsi="Webdings"/>
                <w:sz w:val="20"/>
              </w:rPr>
            </w:pPr>
            <w:r>
              <w:rPr>
                <w:rFonts w:ascii="Webdings" w:hAnsi="Webdings"/>
                <w:w w:val="100"/>
                <w:sz w:val="20"/>
              </w:rPr>
              <w:t></w:t>
            </w:r>
          </w:p>
        </w:tc>
        <w:tc>
          <w:tcPr>
            <w:tcW w:w="429" w:type="dxa"/>
            <w:shd w:val="clear" w:color="auto" w:fill="CCC0D9"/>
          </w:tcPr>
          <w:p>
            <w:pPr/>
          </w:p>
        </w:tc>
        <w:tc>
          <w:tcPr>
            <w:tcW w:w="482" w:type="dxa"/>
            <w:shd w:val="clear" w:color="auto" w:fill="CCC0D9"/>
          </w:tcPr>
          <w:p>
            <w:pPr>
              <w:pStyle w:val="TableParagraph"/>
              <w:spacing w:before="2"/>
              <w:ind w:left="113"/>
              <w:rPr>
                <w:rFonts w:ascii="Webdings" w:hAnsi="Webdings"/>
                <w:sz w:val="20"/>
              </w:rPr>
            </w:pPr>
            <w:r>
              <w:rPr>
                <w:rFonts w:ascii="Webdings" w:hAnsi="Webdings"/>
                <w:w w:val="100"/>
                <w:sz w:val="20"/>
              </w:rPr>
              <w:t></w:t>
            </w:r>
          </w:p>
        </w:tc>
        <w:tc>
          <w:tcPr>
            <w:tcW w:w="1156" w:type="dxa"/>
            <w:shd w:val="clear" w:color="auto" w:fill="CCC0D9"/>
          </w:tcPr>
          <w:p>
            <w:pPr>
              <w:pStyle w:val="TableParagraph"/>
              <w:spacing w:before="2"/>
              <w:ind w:left="0" w:right="219"/>
              <w:jc w:val="right"/>
              <w:rPr>
                <w:sz w:val="20"/>
              </w:rPr>
            </w:pPr>
            <w:r>
              <w:rPr>
                <w:sz w:val="20"/>
              </w:rPr>
              <w:t>31.3% (5)</w:t>
            </w:r>
          </w:p>
        </w:tc>
      </w:tr>
      <w:tr>
        <w:trPr>
          <w:trHeight w:val="504" w:hRule="exact"/>
        </w:trPr>
        <w:tc>
          <w:tcPr>
            <w:tcW w:w="2277" w:type="dxa"/>
            <w:shd w:val="clear" w:color="auto" w:fill="CCC0D9"/>
          </w:tcPr>
          <w:p>
            <w:pPr>
              <w:pStyle w:val="TableParagraph"/>
              <w:spacing w:before="2"/>
              <w:ind w:left="107" w:right="111"/>
              <w:rPr>
                <w:sz w:val="20"/>
              </w:rPr>
            </w:pPr>
            <w:r>
              <w:rPr>
                <w:sz w:val="20"/>
              </w:rPr>
              <w:t>Discussing naloxone with family/friends</w:t>
            </w:r>
          </w:p>
        </w:tc>
        <w:tc>
          <w:tcPr>
            <w:tcW w:w="414" w:type="dxa"/>
            <w:shd w:val="clear" w:color="auto" w:fill="CCC0D9"/>
          </w:tcPr>
          <w:p>
            <w:pPr/>
          </w:p>
        </w:tc>
        <w:tc>
          <w:tcPr>
            <w:tcW w:w="736" w:type="dxa"/>
            <w:shd w:val="clear" w:color="auto" w:fill="CCC0D9"/>
          </w:tcPr>
          <w:p>
            <w:pPr/>
          </w:p>
        </w:tc>
        <w:tc>
          <w:tcPr>
            <w:tcW w:w="368" w:type="dxa"/>
            <w:shd w:val="clear" w:color="auto" w:fill="CCC0D9"/>
          </w:tcPr>
          <w:p>
            <w:pPr>
              <w:pStyle w:val="TableParagraph"/>
              <w:spacing w:before="2"/>
              <w:ind w:left="0"/>
              <w:jc w:val="center"/>
              <w:rPr>
                <w:rFonts w:ascii="Webdings" w:hAnsi="Webdings"/>
                <w:sz w:val="20"/>
              </w:rPr>
            </w:pPr>
            <w:r>
              <w:rPr>
                <w:rFonts w:ascii="Webdings" w:hAnsi="Webdings"/>
                <w:w w:val="100"/>
                <w:sz w:val="20"/>
              </w:rPr>
              <w:t></w:t>
            </w:r>
          </w:p>
        </w:tc>
        <w:tc>
          <w:tcPr>
            <w:tcW w:w="368" w:type="dxa"/>
            <w:shd w:val="clear" w:color="auto" w:fill="CCC0D9"/>
          </w:tcPr>
          <w:p>
            <w:pPr/>
          </w:p>
        </w:tc>
        <w:tc>
          <w:tcPr>
            <w:tcW w:w="368" w:type="dxa"/>
            <w:shd w:val="clear" w:color="auto" w:fill="CCC0D9"/>
          </w:tcPr>
          <w:p>
            <w:pPr/>
          </w:p>
        </w:tc>
        <w:tc>
          <w:tcPr>
            <w:tcW w:w="736" w:type="dxa"/>
            <w:shd w:val="clear" w:color="auto" w:fill="CCC0D9"/>
          </w:tcPr>
          <w:p>
            <w:pPr/>
          </w:p>
        </w:tc>
        <w:tc>
          <w:tcPr>
            <w:tcW w:w="371" w:type="dxa"/>
            <w:shd w:val="clear" w:color="auto" w:fill="CCC0D9"/>
          </w:tcPr>
          <w:p>
            <w:pPr/>
          </w:p>
        </w:tc>
        <w:tc>
          <w:tcPr>
            <w:tcW w:w="401" w:type="dxa"/>
            <w:shd w:val="clear" w:color="auto" w:fill="CCC0D9"/>
          </w:tcPr>
          <w:p>
            <w:pPr/>
          </w:p>
        </w:tc>
        <w:tc>
          <w:tcPr>
            <w:tcW w:w="429" w:type="dxa"/>
            <w:shd w:val="clear" w:color="auto" w:fill="CCC0D9"/>
          </w:tcPr>
          <w:p>
            <w:pPr>
              <w:pStyle w:val="TableParagraph"/>
              <w:spacing w:before="2"/>
              <w:ind w:left="0"/>
              <w:jc w:val="center"/>
              <w:rPr>
                <w:rFonts w:ascii="Webdings" w:hAnsi="Webdings"/>
                <w:sz w:val="20"/>
              </w:rPr>
            </w:pPr>
            <w:r>
              <w:rPr>
                <w:rFonts w:ascii="Webdings" w:hAnsi="Webdings"/>
                <w:w w:val="100"/>
                <w:sz w:val="20"/>
              </w:rPr>
              <w:t></w:t>
            </w:r>
          </w:p>
        </w:tc>
        <w:tc>
          <w:tcPr>
            <w:tcW w:w="429" w:type="dxa"/>
            <w:shd w:val="clear" w:color="auto" w:fill="CCC0D9"/>
          </w:tcPr>
          <w:p>
            <w:pPr/>
          </w:p>
        </w:tc>
        <w:tc>
          <w:tcPr>
            <w:tcW w:w="429" w:type="dxa"/>
            <w:shd w:val="clear" w:color="auto" w:fill="CCC0D9"/>
          </w:tcPr>
          <w:p>
            <w:pPr>
              <w:pStyle w:val="TableParagraph"/>
              <w:spacing w:before="2"/>
              <w:ind w:left="0"/>
              <w:jc w:val="center"/>
              <w:rPr>
                <w:rFonts w:ascii="Webdings" w:hAnsi="Webdings"/>
                <w:sz w:val="20"/>
              </w:rPr>
            </w:pPr>
            <w:r>
              <w:rPr>
                <w:rFonts w:ascii="Webdings" w:hAnsi="Webdings"/>
                <w:w w:val="100"/>
                <w:sz w:val="20"/>
              </w:rPr>
              <w:t></w:t>
            </w:r>
          </w:p>
        </w:tc>
        <w:tc>
          <w:tcPr>
            <w:tcW w:w="429" w:type="dxa"/>
            <w:shd w:val="clear" w:color="auto" w:fill="CCC0D9"/>
          </w:tcPr>
          <w:p>
            <w:pPr/>
          </w:p>
        </w:tc>
        <w:tc>
          <w:tcPr>
            <w:tcW w:w="429" w:type="dxa"/>
            <w:shd w:val="clear" w:color="auto" w:fill="CCC0D9"/>
          </w:tcPr>
          <w:p>
            <w:pPr>
              <w:pStyle w:val="TableParagraph"/>
              <w:spacing w:before="2"/>
              <w:ind w:left="0"/>
              <w:jc w:val="center"/>
              <w:rPr>
                <w:rFonts w:ascii="Webdings" w:hAnsi="Webdings"/>
                <w:sz w:val="20"/>
              </w:rPr>
            </w:pPr>
            <w:r>
              <w:rPr>
                <w:rFonts w:ascii="Webdings" w:hAnsi="Webdings"/>
                <w:w w:val="100"/>
                <w:sz w:val="20"/>
              </w:rPr>
              <w:t></w:t>
            </w:r>
          </w:p>
        </w:tc>
        <w:tc>
          <w:tcPr>
            <w:tcW w:w="482" w:type="dxa"/>
            <w:shd w:val="clear" w:color="auto" w:fill="CCC0D9"/>
          </w:tcPr>
          <w:p>
            <w:pPr/>
          </w:p>
        </w:tc>
        <w:tc>
          <w:tcPr>
            <w:tcW w:w="1156" w:type="dxa"/>
            <w:shd w:val="clear" w:color="auto" w:fill="CCC0D9"/>
          </w:tcPr>
          <w:p>
            <w:pPr>
              <w:pStyle w:val="TableParagraph"/>
              <w:spacing w:before="2"/>
              <w:ind w:left="0" w:right="294"/>
              <w:jc w:val="right"/>
              <w:rPr>
                <w:sz w:val="20"/>
              </w:rPr>
            </w:pPr>
            <w:r>
              <w:rPr>
                <w:sz w:val="20"/>
              </w:rPr>
              <w:t>25% (4)</w:t>
            </w:r>
          </w:p>
        </w:tc>
      </w:tr>
      <w:tr>
        <w:trPr>
          <w:trHeight w:val="244" w:hRule="exact"/>
        </w:trPr>
        <w:tc>
          <w:tcPr>
            <w:tcW w:w="2277" w:type="dxa"/>
            <w:shd w:val="clear" w:color="auto" w:fill="E4DFEB"/>
          </w:tcPr>
          <w:p>
            <w:pPr>
              <w:pStyle w:val="TableParagraph"/>
              <w:spacing w:line="243" w:lineRule="exact"/>
              <w:ind w:left="107"/>
              <w:rPr>
                <w:sz w:val="20"/>
              </w:rPr>
            </w:pPr>
            <w:r>
              <w:rPr>
                <w:sz w:val="20"/>
              </w:rPr>
              <w:t>Storage</w:t>
            </w:r>
          </w:p>
        </w:tc>
        <w:tc>
          <w:tcPr>
            <w:tcW w:w="414" w:type="dxa"/>
            <w:shd w:val="clear" w:color="auto" w:fill="E4DFEB"/>
          </w:tcPr>
          <w:p>
            <w:pPr/>
          </w:p>
        </w:tc>
        <w:tc>
          <w:tcPr>
            <w:tcW w:w="736" w:type="dxa"/>
            <w:shd w:val="clear" w:color="auto" w:fill="E4DFEB"/>
          </w:tcPr>
          <w:p>
            <w:pPr/>
          </w:p>
        </w:tc>
        <w:tc>
          <w:tcPr>
            <w:tcW w:w="368" w:type="dxa"/>
            <w:shd w:val="clear" w:color="auto" w:fill="E4DFEB"/>
          </w:tcPr>
          <w:p>
            <w:pPr/>
          </w:p>
        </w:tc>
        <w:tc>
          <w:tcPr>
            <w:tcW w:w="368" w:type="dxa"/>
            <w:shd w:val="clear" w:color="auto" w:fill="E4DFEB"/>
          </w:tcPr>
          <w:p>
            <w:pPr/>
          </w:p>
        </w:tc>
        <w:tc>
          <w:tcPr>
            <w:tcW w:w="368" w:type="dxa"/>
            <w:shd w:val="clear" w:color="auto" w:fill="E4DFEB"/>
          </w:tcPr>
          <w:p>
            <w:pPr/>
          </w:p>
        </w:tc>
        <w:tc>
          <w:tcPr>
            <w:tcW w:w="736" w:type="dxa"/>
            <w:shd w:val="clear" w:color="auto" w:fill="E4DFEB"/>
          </w:tcPr>
          <w:p>
            <w:pPr/>
          </w:p>
        </w:tc>
        <w:tc>
          <w:tcPr>
            <w:tcW w:w="371" w:type="dxa"/>
            <w:shd w:val="clear" w:color="auto" w:fill="E4DFEB"/>
          </w:tcPr>
          <w:p>
            <w:pPr>
              <w:pStyle w:val="TableParagraph"/>
              <w:spacing w:before="1"/>
              <w:ind w:left="0"/>
              <w:jc w:val="center"/>
              <w:rPr>
                <w:rFonts w:ascii="Webdings" w:hAnsi="Webdings"/>
                <w:sz w:val="20"/>
              </w:rPr>
            </w:pPr>
            <w:r>
              <w:rPr>
                <w:rFonts w:ascii="Webdings" w:hAnsi="Webdings"/>
                <w:w w:val="100"/>
                <w:sz w:val="20"/>
              </w:rPr>
              <w:t></w:t>
            </w:r>
          </w:p>
        </w:tc>
        <w:tc>
          <w:tcPr>
            <w:tcW w:w="401" w:type="dxa"/>
            <w:shd w:val="clear" w:color="auto" w:fill="E4DFEB"/>
          </w:tcPr>
          <w:p>
            <w:pPr/>
          </w:p>
        </w:tc>
        <w:tc>
          <w:tcPr>
            <w:tcW w:w="429" w:type="dxa"/>
            <w:shd w:val="clear" w:color="auto" w:fill="E4DFEB"/>
          </w:tcPr>
          <w:p>
            <w:pPr/>
          </w:p>
        </w:tc>
        <w:tc>
          <w:tcPr>
            <w:tcW w:w="429" w:type="dxa"/>
            <w:shd w:val="clear" w:color="auto" w:fill="E4DFEB"/>
          </w:tcPr>
          <w:p>
            <w:pPr/>
          </w:p>
        </w:tc>
        <w:tc>
          <w:tcPr>
            <w:tcW w:w="429" w:type="dxa"/>
            <w:shd w:val="clear" w:color="auto" w:fill="E4DFEB"/>
          </w:tcPr>
          <w:p>
            <w:pPr>
              <w:pStyle w:val="TableParagraph"/>
              <w:spacing w:before="1"/>
              <w:ind w:left="0"/>
              <w:jc w:val="center"/>
              <w:rPr>
                <w:rFonts w:ascii="Webdings" w:hAnsi="Webdings"/>
                <w:sz w:val="20"/>
              </w:rPr>
            </w:pPr>
            <w:r>
              <w:rPr>
                <w:rFonts w:ascii="Webdings" w:hAnsi="Webdings"/>
                <w:w w:val="100"/>
                <w:sz w:val="20"/>
              </w:rPr>
              <w:t></w:t>
            </w:r>
          </w:p>
        </w:tc>
        <w:tc>
          <w:tcPr>
            <w:tcW w:w="429" w:type="dxa"/>
            <w:shd w:val="clear" w:color="auto" w:fill="E4DFEB"/>
          </w:tcPr>
          <w:p>
            <w:pPr/>
          </w:p>
        </w:tc>
        <w:tc>
          <w:tcPr>
            <w:tcW w:w="429" w:type="dxa"/>
            <w:shd w:val="clear" w:color="auto" w:fill="E4DFEB"/>
          </w:tcPr>
          <w:p>
            <w:pPr>
              <w:pStyle w:val="TableParagraph"/>
              <w:spacing w:before="1"/>
              <w:ind w:left="0"/>
              <w:jc w:val="center"/>
              <w:rPr>
                <w:rFonts w:ascii="Webdings" w:hAnsi="Webdings"/>
                <w:sz w:val="20"/>
              </w:rPr>
            </w:pPr>
            <w:r>
              <w:rPr>
                <w:rFonts w:ascii="Webdings" w:hAnsi="Webdings"/>
                <w:w w:val="100"/>
                <w:sz w:val="20"/>
              </w:rPr>
              <w:t></w:t>
            </w:r>
          </w:p>
        </w:tc>
        <w:tc>
          <w:tcPr>
            <w:tcW w:w="482" w:type="dxa"/>
            <w:shd w:val="clear" w:color="auto" w:fill="E4DFEB"/>
          </w:tcPr>
          <w:p>
            <w:pPr/>
          </w:p>
        </w:tc>
        <w:tc>
          <w:tcPr>
            <w:tcW w:w="1156" w:type="dxa"/>
            <w:shd w:val="clear" w:color="auto" w:fill="E4DFEB"/>
          </w:tcPr>
          <w:p>
            <w:pPr>
              <w:pStyle w:val="TableParagraph"/>
              <w:spacing w:line="243" w:lineRule="exact"/>
              <w:ind w:left="0" w:right="218"/>
              <w:jc w:val="right"/>
              <w:rPr>
                <w:sz w:val="20"/>
              </w:rPr>
            </w:pPr>
            <w:r>
              <w:rPr>
                <w:sz w:val="20"/>
              </w:rPr>
              <w:t>18.8% (3)</w:t>
            </w:r>
          </w:p>
        </w:tc>
      </w:tr>
      <w:tr>
        <w:trPr>
          <w:trHeight w:val="245" w:hRule="exact"/>
        </w:trPr>
        <w:tc>
          <w:tcPr>
            <w:tcW w:w="2277" w:type="dxa"/>
            <w:shd w:val="clear" w:color="auto" w:fill="CCC0D9"/>
          </w:tcPr>
          <w:p>
            <w:pPr>
              <w:pStyle w:val="TableParagraph"/>
              <w:spacing w:line="243" w:lineRule="exact"/>
              <w:ind w:left="107"/>
              <w:rPr>
                <w:sz w:val="20"/>
              </w:rPr>
            </w:pPr>
            <w:r>
              <w:rPr>
                <w:sz w:val="20"/>
              </w:rPr>
              <w:t>Naloxone safety</w:t>
            </w:r>
          </w:p>
        </w:tc>
        <w:tc>
          <w:tcPr>
            <w:tcW w:w="414" w:type="dxa"/>
            <w:shd w:val="clear" w:color="auto" w:fill="CCC0D9"/>
          </w:tcPr>
          <w:p>
            <w:pPr>
              <w:pStyle w:val="TableParagraph"/>
              <w:spacing w:before="1"/>
              <w:ind w:left="0" w:right="81"/>
              <w:jc w:val="right"/>
              <w:rPr>
                <w:rFonts w:ascii="Webdings" w:hAnsi="Webdings"/>
                <w:sz w:val="20"/>
              </w:rPr>
            </w:pPr>
            <w:r>
              <w:rPr>
                <w:rFonts w:ascii="Webdings" w:hAnsi="Webdings"/>
                <w:w w:val="100"/>
                <w:sz w:val="20"/>
              </w:rPr>
              <w:t></w:t>
            </w:r>
          </w:p>
        </w:tc>
        <w:tc>
          <w:tcPr>
            <w:tcW w:w="736" w:type="dxa"/>
            <w:shd w:val="clear" w:color="auto" w:fill="CCC0D9"/>
          </w:tcPr>
          <w:p>
            <w:pPr>
              <w:pStyle w:val="TableParagraph"/>
              <w:spacing w:before="1"/>
              <w:ind w:left="83"/>
              <w:rPr>
                <w:rFonts w:ascii="Webdings" w:hAnsi="Webdings"/>
                <w:sz w:val="20"/>
              </w:rPr>
            </w:pPr>
            <w:r>
              <w:rPr>
                <w:rFonts w:ascii="Webdings" w:hAnsi="Webdings"/>
                <w:w w:val="100"/>
                <w:sz w:val="20"/>
              </w:rPr>
              <w:t></w:t>
            </w:r>
          </w:p>
        </w:tc>
        <w:tc>
          <w:tcPr>
            <w:tcW w:w="368" w:type="dxa"/>
            <w:shd w:val="clear" w:color="auto" w:fill="CCC0D9"/>
          </w:tcPr>
          <w:p>
            <w:pPr/>
          </w:p>
        </w:tc>
        <w:tc>
          <w:tcPr>
            <w:tcW w:w="368" w:type="dxa"/>
            <w:shd w:val="clear" w:color="auto" w:fill="CCC0D9"/>
          </w:tcPr>
          <w:p>
            <w:pPr>
              <w:pStyle w:val="TableParagraph"/>
              <w:spacing w:before="1"/>
              <w:ind w:left="0"/>
              <w:jc w:val="center"/>
              <w:rPr>
                <w:rFonts w:ascii="Webdings" w:hAnsi="Webdings"/>
                <w:sz w:val="20"/>
              </w:rPr>
            </w:pPr>
            <w:r>
              <w:rPr>
                <w:rFonts w:ascii="Webdings" w:hAnsi="Webdings"/>
                <w:w w:val="100"/>
                <w:sz w:val="20"/>
              </w:rPr>
              <w:t></w:t>
            </w:r>
          </w:p>
        </w:tc>
        <w:tc>
          <w:tcPr>
            <w:tcW w:w="368" w:type="dxa"/>
            <w:shd w:val="clear" w:color="auto" w:fill="CCC0D9"/>
          </w:tcPr>
          <w:p>
            <w:pPr/>
          </w:p>
        </w:tc>
        <w:tc>
          <w:tcPr>
            <w:tcW w:w="736" w:type="dxa"/>
            <w:shd w:val="clear" w:color="auto" w:fill="CCC0D9"/>
          </w:tcPr>
          <w:p>
            <w:pPr>
              <w:pStyle w:val="TableParagraph"/>
              <w:spacing w:before="1"/>
              <w:ind w:left="83"/>
              <w:rPr>
                <w:rFonts w:ascii="Webdings" w:hAnsi="Webdings"/>
                <w:sz w:val="20"/>
              </w:rPr>
            </w:pPr>
            <w:r>
              <w:rPr>
                <w:rFonts w:ascii="Webdings" w:hAnsi="Webdings"/>
                <w:w w:val="100"/>
                <w:sz w:val="20"/>
              </w:rPr>
              <w:t></w:t>
            </w:r>
          </w:p>
        </w:tc>
        <w:tc>
          <w:tcPr>
            <w:tcW w:w="371" w:type="dxa"/>
            <w:shd w:val="clear" w:color="auto" w:fill="CCC0D9"/>
          </w:tcPr>
          <w:p>
            <w:pPr>
              <w:pStyle w:val="TableParagraph"/>
              <w:spacing w:before="1"/>
              <w:ind w:left="0"/>
              <w:jc w:val="center"/>
              <w:rPr>
                <w:rFonts w:ascii="Webdings" w:hAnsi="Webdings"/>
                <w:sz w:val="20"/>
              </w:rPr>
            </w:pPr>
            <w:r>
              <w:rPr>
                <w:rFonts w:ascii="Webdings" w:hAnsi="Webdings"/>
                <w:w w:val="100"/>
                <w:sz w:val="20"/>
              </w:rPr>
              <w:t></w:t>
            </w:r>
          </w:p>
        </w:tc>
        <w:tc>
          <w:tcPr>
            <w:tcW w:w="401" w:type="dxa"/>
            <w:shd w:val="clear" w:color="auto" w:fill="CCC0D9"/>
          </w:tcPr>
          <w:p>
            <w:pPr/>
          </w:p>
        </w:tc>
        <w:tc>
          <w:tcPr>
            <w:tcW w:w="429" w:type="dxa"/>
            <w:shd w:val="clear" w:color="auto" w:fill="CCC0D9"/>
          </w:tcPr>
          <w:p>
            <w:pPr/>
          </w:p>
        </w:tc>
        <w:tc>
          <w:tcPr>
            <w:tcW w:w="429" w:type="dxa"/>
            <w:shd w:val="clear" w:color="auto" w:fill="CCC0D9"/>
          </w:tcPr>
          <w:p>
            <w:pPr>
              <w:pStyle w:val="TableParagraph"/>
              <w:spacing w:before="1"/>
              <w:ind w:left="0"/>
              <w:jc w:val="center"/>
              <w:rPr>
                <w:rFonts w:ascii="Webdings" w:hAnsi="Webdings"/>
                <w:sz w:val="20"/>
              </w:rPr>
            </w:pPr>
            <w:r>
              <w:rPr>
                <w:rFonts w:ascii="Webdings" w:hAnsi="Webdings"/>
                <w:w w:val="100"/>
                <w:sz w:val="20"/>
              </w:rPr>
              <w:t></w:t>
            </w:r>
          </w:p>
        </w:tc>
        <w:tc>
          <w:tcPr>
            <w:tcW w:w="429" w:type="dxa"/>
            <w:shd w:val="clear" w:color="auto" w:fill="CCC0D9"/>
          </w:tcPr>
          <w:p>
            <w:pPr/>
          </w:p>
        </w:tc>
        <w:tc>
          <w:tcPr>
            <w:tcW w:w="429" w:type="dxa"/>
            <w:shd w:val="clear" w:color="auto" w:fill="CCC0D9"/>
          </w:tcPr>
          <w:p>
            <w:pPr/>
          </w:p>
        </w:tc>
        <w:tc>
          <w:tcPr>
            <w:tcW w:w="429" w:type="dxa"/>
            <w:shd w:val="clear" w:color="auto" w:fill="CCC0D9"/>
          </w:tcPr>
          <w:p>
            <w:pPr/>
          </w:p>
        </w:tc>
        <w:tc>
          <w:tcPr>
            <w:tcW w:w="482" w:type="dxa"/>
            <w:shd w:val="clear" w:color="auto" w:fill="CCC0D9"/>
          </w:tcPr>
          <w:p>
            <w:pPr/>
          </w:p>
        </w:tc>
        <w:tc>
          <w:tcPr>
            <w:tcW w:w="1156" w:type="dxa"/>
            <w:shd w:val="clear" w:color="auto" w:fill="CCC0D9"/>
          </w:tcPr>
          <w:p>
            <w:pPr>
              <w:pStyle w:val="TableParagraph"/>
              <w:spacing w:line="243" w:lineRule="exact"/>
              <w:ind w:left="0" w:right="218"/>
              <w:jc w:val="right"/>
              <w:rPr>
                <w:sz w:val="20"/>
              </w:rPr>
            </w:pPr>
            <w:r>
              <w:rPr>
                <w:sz w:val="20"/>
              </w:rPr>
              <w:t>37.5% (6)</w:t>
            </w:r>
          </w:p>
        </w:tc>
      </w:tr>
    </w:tbl>
    <w:p>
      <w:pPr>
        <w:spacing w:before="0"/>
        <w:ind w:left="115" w:right="626" w:firstLine="0"/>
        <w:jc w:val="left"/>
        <w:rPr>
          <w:i/>
          <w:sz w:val="20"/>
        </w:rPr>
      </w:pPr>
      <w:r>
        <w:rPr>
          <w:i/>
          <w:sz w:val="20"/>
        </w:rPr>
        <w:t>Note: this is a summary of content areas which were raised spontaneously by patients, rather than being prompted </w:t>
      </w:r>
      <w:r>
        <w:rPr>
          <w:i/>
          <w:sz w:val="20"/>
        </w:rPr>
        <w:t>by the researcher.</w:t>
      </w:r>
    </w:p>
    <w:p>
      <w:pPr>
        <w:spacing w:before="0"/>
        <w:ind w:left="115" w:right="4884" w:firstLine="0"/>
        <w:jc w:val="left"/>
        <w:rPr>
          <w:rFonts w:ascii="Webdings" w:hAnsi="Webdings"/>
          <w:sz w:val="20"/>
        </w:rPr>
      </w:pPr>
      <w:r>
        <w:rPr>
          <w:i/>
          <w:sz w:val="20"/>
        </w:rPr>
        <w:t>Content areas are colour coded by how common the area was: </w:t>
      </w:r>
      <w:r>
        <w:rPr>
          <w:i/>
          <w:sz w:val="20"/>
        </w:rPr>
        <w:t>0-24% (low): lightest </w:t>
      </w:r>
      <w:r>
        <w:rPr>
          <w:rFonts w:ascii="Webdings" w:hAnsi="Webdings"/>
          <w:color w:val="E4DFEB"/>
          <w:sz w:val="20"/>
        </w:rPr>
        <w:t></w:t>
      </w:r>
    </w:p>
    <w:p>
      <w:pPr>
        <w:spacing w:line="244" w:lineRule="exact" w:before="0"/>
        <w:ind w:left="115" w:right="0" w:firstLine="0"/>
        <w:jc w:val="left"/>
        <w:rPr>
          <w:rFonts w:ascii="Webdings" w:hAnsi="Webdings"/>
          <w:sz w:val="20"/>
        </w:rPr>
      </w:pPr>
      <w:r>
        <w:rPr>
          <w:i/>
          <w:sz w:val="20"/>
        </w:rPr>
        <w:t>25-49% (moderate): medium  </w:t>
      </w:r>
      <w:r>
        <w:rPr>
          <w:rFonts w:ascii="Webdings" w:hAnsi="Webdings"/>
          <w:color w:val="CCC0D9"/>
          <w:sz w:val="20"/>
        </w:rPr>
        <w:t></w:t>
      </w:r>
    </w:p>
    <w:p>
      <w:pPr>
        <w:spacing w:line="244" w:lineRule="exact" w:before="0"/>
        <w:ind w:left="115" w:right="0" w:firstLine="0"/>
        <w:jc w:val="left"/>
        <w:rPr>
          <w:rFonts w:ascii="Webdings" w:hAnsi="Webdings"/>
          <w:sz w:val="20"/>
        </w:rPr>
      </w:pPr>
      <w:r>
        <w:rPr>
          <w:i/>
          <w:sz w:val="20"/>
        </w:rPr>
        <w:t>50%+: darkest  </w:t>
      </w:r>
      <w:r>
        <w:rPr>
          <w:rFonts w:ascii="Webdings" w:hAnsi="Webdings"/>
          <w:color w:val="B1A0C6"/>
          <w:sz w:val="20"/>
        </w:rPr>
        <w:t></w:t>
      </w:r>
    </w:p>
    <w:p>
      <w:pPr>
        <w:pStyle w:val="BodyText"/>
        <w:spacing w:before="8"/>
        <w:rPr>
          <w:rFonts w:ascii="Webdings" w:hAnsi="Webdings"/>
          <w:sz w:val="26"/>
        </w:rPr>
      </w:pPr>
    </w:p>
    <w:p>
      <w:pPr>
        <w:pStyle w:val="BodyText"/>
        <w:ind w:left="400" w:right="637"/>
        <w:jc w:val="both"/>
      </w:pPr>
      <w:r>
        <w:rPr/>
        <w:t>As</w:t>
      </w:r>
      <w:r>
        <w:rPr>
          <w:spacing w:val="-11"/>
        </w:rPr>
        <w:t> </w:t>
      </w:r>
      <w:r>
        <w:rPr/>
        <w:t>expected,</w:t>
      </w:r>
      <w:r>
        <w:rPr>
          <w:spacing w:val="-11"/>
        </w:rPr>
        <w:t> </w:t>
      </w:r>
      <w:r>
        <w:rPr/>
        <w:t>most</w:t>
      </w:r>
      <w:r>
        <w:rPr>
          <w:spacing w:val="-11"/>
        </w:rPr>
        <w:t> </w:t>
      </w:r>
      <w:r>
        <w:rPr/>
        <w:t>patients</w:t>
      </w:r>
      <w:r>
        <w:rPr>
          <w:spacing w:val="-11"/>
        </w:rPr>
        <w:t> </w:t>
      </w:r>
      <w:r>
        <w:rPr/>
        <w:t>would</w:t>
      </w:r>
      <w:r>
        <w:rPr>
          <w:spacing w:val="-11"/>
        </w:rPr>
        <w:t> </w:t>
      </w:r>
      <w:r>
        <w:rPr/>
        <w:t>prefer</w:t>
      </w:r>
      <w:r>
        <w:rPr>
          <w:spacing w:val="-11"/>
        </w:rPr>
        <w:t> </w:t>
      </w:r>
      <w:r>
        <w:rPr/>
        <w:t>to</w:t>
      </w:r>
      <w:r>
        <w:rPr>
          <w:spacing w:val="-12"/>
        </w:rPr>
        <w:t> </w:t>
      </w:r>
      <w:r>
        <w:rPr/>
        <w:t>use</w:t>
      </w:r>
      <w:r>
        <w:rPr>
          <w:spacing w:val="-11"/>
        </w:rPr>
        <w:t> </w:t>
      </w:r>
      <w:r>
        <w:rPr/>
        <w:t>a</w:t>
      </w:r>
      <w:r>
        <w:rPr>
          <w:spacing w:val="-11"/>
        </w:rPr>
        <w:t> </w:t>
      </w:r>
      <w:r>
        <w:rPr/>
        <w:t>nasal</w:t>
      </w:r>
      <w:r>
        <w:rPr>
          <w:spacing w:val="-11"/>
        </w:rPr>
        <w:t> </w:t>
      </w:r>
      <w:r>
        <w:rPr/>
        <w:t>spray</w:t>
      </w:r>
      <w:r>
        <w:rPr>
          <w:spacing w:val="-11"/>
        </w:rPr>
        <w:t> </w:t>
      </w:r>
      <w:r>
        <w:rPr/>
        <w:t>form</w:t>
      </w:r>
      <w:r>
        <w:rPr>
          <w:spacing w:val="-11"/>
        </w:rPr>
        <w:t> </w:t>
      </w:r>
      <w:r>
        <w:rPr/>
        <w:t>of</w:t>
      </w:r>
      <w:r>
        <w:rPr>
          <w:spacing w:val="-11"/>
        </w:rPr>
        <w:t> </w:t>
      </w:r>
      <w:r>
        <w:rPr/>
        <w:t>naloxone.</w:t>
      </w:r>
      <w:r>
        <w:rPr>
          <w:spacing w:val="-12"/>
        </w:rPr>
        <w:t> </w:t>
      </w:r>
      <w:r>
        <w:rPr/>
        <w:t>The</w:t>
      </w:r>
      <w:r>
        <w:rPr>
          <w:spacing w:val="-11"/>
        </w:rPr>
        <w:t> </w:t>
      </w:r>
      <w:r>
        <w:rPr/>
        <w:t>exception was one patient with sinus problems, who would prefer an injection. This speaks to the importance of providing both forms as</w:t>
      </w:r>
      <w:r>
        <w:rPr>
          <w:spacing w:val="-20"/>
        </w:rPr>
        <w:t> </w:t>
      </w:r>
      <w:r>
        <w:rPr/>
        <w:t>options.</w:t>
      </w:r>
    </w:p>
    <w:p>
      <w:pPr>
        <w:pStyle w:val="BodyText"/>
      </w:pPr>
    </w:p>
    <w:p>
      <w:pPr>
        <w:pStyle w:val="Heading1"/>
        <w:numPr>
          <w:ilvl w:val="1"/>
          <w:numId w:val="5"/>
        </w:numPr>
        <w:tabs>
          <w:tab w:pos="680" w:val="left" w:leader="none"/>
        </w:tabs>
        <w:spacing w:line="240" w:lineRule="auto" w:before="186" w:after="0"/>
        <w:ind w:left="679" w:right="0" w:hanging="279"/>
        <w:jc w:val="both"/>
      </w:pPr>
      <w:bookmarkStart w:name="3. Consultation with Victorian pharmacis" w:id="12"/>
      <w:bookmarkEnd w:id="12"/>
      <w:r>
        <w:rPr>
          <w:b w:val="0"/>
        </w:rPr>
      </w:r>
      <w:bookmarkStart w:name="_bookmark4" w:id="13"/>
      <w:bookmarkEnd w:id="13"/>
      <w:r>
        <w:rPr>
          <w:b w:val="0"/>
        </w:rPr>
      </w:r>
      <w:bookmarkStart w:name="_bookmark4" w:id="14"/>
      <w:bookmarkEnd w:id="14"/>
      <w:r>
        <w:rPr>
          <w:color w:val="6C1D6C"/>
        </w:rPr>
        <w:t>C</w:t>
      </w:r>
      <w:r>
        <w:rPr>
          <w:color w:val="6C1D6C"/>
        </w:rPr>
        <w:t>onsultation with Victorian</w:t>
      </w:r>
      <w:r>
        <w:rPr>
          <w:color w:val="6C1D6C"/>
          <w:spacing w:val="-18"/>
        </w:rPr>
        <w:t> </w:t>
      </w:r>
      <w:r>
        <w:rPr>
          <w:color w:val="6C1D6C"/>
        </w:rPr>
        <w:t>pharmacists</w:t>
      </w:r>
    </w:p>
    <w:p>
      <w:pPr>
        <w:pStyle w:val="BodyText"/>
        <w:spacing w:before="10"/>
        <w:rPr>
          <w:b/>
          <w:sz w:val="21"/>
        </w:rPr>
      </w:pPr>
    </w:p>
    <w:p>
      <w:pPr>
        <w:pStyle w:val="Heading2"/>
        <w:ind w:left="400"/>
      </w:pPr>
      <w:r>
        <w:rPr/>
        <w:t>Pharmacist characteristics</w:t>
      </w:r>
    </w:p>
    <w:p>
      <w:pPr>
        <w:pStyle w:val="BodyText"/>
        <w:rPr>
          <w:b/>
        </w:rPr>
      </w:pPr>
    </w:p>
    <w:p>
      <w:pPr>
        <w:pStyle w:val="BodyText"/>
        <w:ind w:left="399" w:right="637"/>
        <w:jc w:val="both"/>
      </w:pPr>
      <w:r>
        <w:rPr/>
        <w:t>A total of nine pharmacists who dispense prescription opioids participated in telephone interviews. As illustrated in Table 4, the majority of pharmacists were women and were located in metropolitan Melbourne (although approximately 45% were located in non- metropolitan Melbourne). On average, participants were 35 years old (range from 25-52 years),</w:t>
      </w:r>
      <w:r>
        <w:rPr>
          <w:spacing w:val="-12"/>
        </w:rPr>
        <w:t> </w:t>
      </w:r>
      <w:r>
        <w:rPr/>
        <w:t>and</w:t>
      </w:r>
      <w:r>
        <w:rPr>
          <w:spacing w:val="-12"/>
        </w:rPr>
        <w:t> </w:t>
      </w:r>
      <w:r>
        <w:rPr/>
        <w:t>on</w:t>
      </w:r>
      <w:r>
        <w:rPr>
          <w:spacing w:val="-12"/>
        </w:rPr>
        <w:t> </w:t>
      </w:r>
      <w:r>
        <w:rPr/>
        <w:t>average</w:t>
      </w:r>
      <w:r>
        <w:rPr>
          <w:spacing w:val="-12"/>
        </w:rPr>
        <w:t> </w:t>
      </w:r>
      <w:r>
        <w:rPr/>
        <w:t>participants</w:t>
      </w:r>
      <w:r>
        <w:rPr>
          <w:spacing w:val="-13"/>
        </w:rPr>
        <w:t> </w:t>
      </w:r>
      <w:r>
        <w:rPr/>
        <w:t>had</w:t>
      </w:r>
      <w:r>
        <w:rPr>
          <w:spacing w:val="-12"/>
        </w:rPr>
        <w:t> </w:t>
      </w:r>
      <w:r>
        <w:rPr/>
        <w:t>worked</w:t>
      </w:r>
      <w:r>
        <w:rPr>
          <w:spacing w:val="-11"/>
        </w:rPr>
        <w:t> </w:t>
      </w:r>
      <w:r>
        <w:rPr/>
        <w:t>as</w:t>
      </w:r>
      <w:r>
        <w:rPr>
          <w:spacing w:val="-13"/>
        </w:rPr>
        <w:t> </w:t>
      </w:r>
      <w:r>
        <w:rPr/>
        <w:t>pharmacists</w:t>
      </w:r>
      <w:r>
        <w:rPr>
          <w:spacing w:val="-13"/>
        </w:rPr>
        <w:t> </w:t>
      </w:r>
      <w:r>
        <w:rPr/>
        <w:t>for</w:t>
      </w:r>
      <w:r>
        <w:rPr>
          <w:spacing w:val="-11"/>
        </w:rPr>
        <w:t> </w:t>
      </w:r>
      <w:r>
        <w:rPr/>
        <w:t>11</w:t>
      </w:r>
      <w:r>
        <w:rPr>
          <w:spacing w:val="-12"/>
        </w:rPr>
        <w:t> </w:t>
      </w:r>
      <w:r>
        <w:rPr/>
        <w:t>years</w:t>
      </w:r>
      <w:r>
        <w:rPr>
          <w:spacing w:val="-13"/>
        </w:rPr>
        <w:t> </w:t>
      </w:r>
      <w:r>
        <w:rPr/>
        <w:t>(range</w:t>
      </w:r>
      <w:r>
        <w:rPr>
          <w:spacing w:val="-12"/>
        </w:rPr>
        <w:t> </w:t>
      </w:r>
      <w:r>
        <w:rPr/>
        <w:t>2-29</w:t>
      </w:r>
      <w:r>
        <w:rPr>
          <w:spacing w:val="-13"/>
        </w:rPr>
        <w:t> </w:t>
      </w:r>
      <w:r>
        <w:rPr/>
        <w:t>years, SD=8.5),</w:t>
      </w:r>
      <w:r>
        <w:rPr>
          <w:spacing w:val="-8"/>
        </w:rPr>
        <w:t> </w:t>
      </w:r>
      <w:r>
        <w:rPr/>
        <w:t>although</w:t>
      </w:r>
      <w:r>
        <w:rPr>
          <w:spacing w:val="-9"/>
        </w:rPr>
        <w:t> </w:t>
      </w:r>
      <w:r>
        <w:rPr/>
        <w:t>participants</w:t>
      </w:r>
      <w:r>
        <w:rPr>
          <w:spacing w:val="-9"/>
        </w:rPr>
        <w:t> </w:t>
      </w:r>
      <w:r>
        <w:rPr/>
        <w:t>spanned</w:t>
      </w:r>
      <w:r>
        <w:rPr>
          <w:spacing w:val="-9"/>
        </w:rPr>
        <w:t> </w:t>
      </w:r>
      <w:r>
        <w:rPr/>
        <w:t>the</w:t>
      </w:r>
      <w:r>
        <w:rPr>
          <w:spacing w:val="-8"/>
        </w:rPr>
        <w:t> </w:t>
      </w:r>
      <w:r>
        <w:rPr/>
        <w:t>entire</w:t>
      </w:r>
      <w:r>
        <w:rPr>
          <w:spacing w:val="-8"/>
        </w:rPr>
        <w:t> </w:t>
      </w:r>
      <w:r>
        <w:rPr/>
        <w:t>spectrum</w:t>
      </w:r>
      <w:r>
        <w:rPr>
          <w:spacing w:val="-9"/>
        </w:rPr>
        <w:t> </w:t>
      </w:r>
      <w:r>
        <w:rPr/>
        <w:t>of</w:t>
      </w:r>
      <w:r>
        <w:rPr>
          <w:spacing w:val="-9"/>
        </w:rPr>
        <w:t> </w:t>
      </w:r>
      <w:r>
        <w:rPr/>
        <w:t>experience</w:t>
      </w:r>
      <w:r>
        <w:rPr>
          <w:spacing w:val="-8"/>
        </w:rPr>
        <w:t> </w:t>
      </w:r>
      <w:r>
        <w:rPr/>
        <w:t>and</w:t>
      </w:r>
      <w:r>
        <w:rPr>
          <w:spacing w:val="-9"/>
        </w:rPr>
        <w:t> </w:t>
      </w:r>
      <w:r>
        <w:rPr/>
        <w:t>had</w:t>
      </w:r>
      <w:r>
        <w:rPr>
          <w:spacing w:val="-9"/>
        </w:rPr>
        <w:t> </w:t>
      </w:r>
      <w:r>
        <w:rPr/>
        <w:t>a</w:t>
      </w:r>
      <w:r>
        <w:rPr>
          <w:spacing w:val="-9"/>
        </w:rPr>
        <w:t> </w:t>
      </w:r>
      <w:r>
        <w:rPr/>
        <w:t>range</w:t>
      </w:r>
      <w:r>
        <w:rPr>
          <w:spacing w:val="-8"/>
        </w:rPr>
        <w:t> </w:t>
      </w:r>
      <w:r>
        <w:rPr/>
        <w:t>of education</w:t>
      </w:r>
      <w:r>
        <w:rPr>
          <w:spacing w:val="-17"/>
        </w:rPr>
        <w:t> </w:t>
      </w:r>
      <w:r>
        <w:rPr/>
        <w:t>levels</w:t>
      </w:r>
      <w:r>
        <w:rPr>
          <w:spacing w:val="-17"/>
        </w:rPr>
        <w:t> </w:t>
      </w:r>
      <w:r>
        <w:rPr/>
        <w:t>(minimum</w:t>
      </w:r>
      <w:r>
        <w:rPr>
          <w:spacing w:val="-17"/>
        </w:rPr>
        <w:t> </w:t>
      </w:r>
      <w:r>
        <w:rPr/>
        <w:t>bachelor</w:t>
      </w:r>
      <w:r>
        <w:rPr>
          <w:spacing w:val="-18"/>
        </w:rPr>
        <w:t> </w:t>
      </w:r>
      <w:r>
        <w:rPr/>
        <w:t>degree).</w:t>
      </w:r>
      <w:r>
        <w:rPr>
          <w:spacing w:val="-18"/>
        </w:rPr>
        <w:t> </w:t>
      </w:r>
      <w:r>
        <w:rPr/>
        <w:t>Most</w:t>
      </w:r>
      <w:r>
        <w:rPr>
          <w:spacing w:val="-17"/>
        </w:rPr>
        <w:t> </w:t>
      </w:r>
      <w:r>
        <w:rPr/>
        <w:t>participants</w:t>
      </w:r>
      <w:r>
        <w:rPr>
          <w:spacing w:val="-17"/>
        </w:rPr>
        <w:t> </w:t>
      </w:r>
      <w:r>
        <w:rPr/>
        <w:t>were</w:t>
      </w:r>
      <w:r>
        <w:rPr>
          <w:spacing w:val="-16"/>
        </w:rPr>
        <w:t> </w:t>
      </w:r>
      <w:r>
        <w:rPr/>
        <w:t>community</w:t>
      </w:r>
      <w:r>
        <w:rPr>
          <w:spacing w:val="-16"/>
        </w:rPr>
        <w:t> </w:t>
      </w:r>
      <w:r>
        <w:rPr/>
        <w:t>pharmacists (88.9%), with the exception of one hospital pharmacist (11.1%). There was an even split of pharmacists who did and did not work in pharmacies dispensing medicines for opioid dependence (44.4% each), with one pharmacist working as a locum in both settings (11.1%). Most</w:t>
      </w:r>
      <w:r>
        <w:rPr>
          <w:spacing w:val="-13"/>
        </w:rPr>
        <w:t> </w:t>
      </w:r>
      <w:r>
        <w:rPr/>
        <w:t>pharmacists</w:t>
      </w:r>
      <w:r>
        <w:rPr>
          <w:spacing w:val="-14"/>
        </w:rPr>
        <w:t> </w:t>
      </w:r>
      <w:r>
        <w:rPr/>
        <w:t>considered</w:t>
      </w:r>
      <w:r>
        <w:rPr>
          <w:spacing w:val="-13"/>
        </w:rPr>
        <w:t> </w:t>
      </w:r>
      <w:r>
        <w:rPr/>
        <w:t>their</w:t>
      </w:r>
      <w:r>
        <w:rPr>
          <w:spacing w:val="-13"/>
        </w:rPr>
        <w:t> </w:t>
      </w:r>
      <w:r>
        <w:rPr/>
        <w:t>overdose</w:t>
      </w:r>
      <w:r>
        <w:rPr>
          <w:spacing w:val="-13"/>
        </w:rPr>
        <w:t> </w:t>
      </w:r>
      <w:r>
        <w:rPr/>
        <w:t>knowledge</w:t>
      </w:r>
      <w:r>
        <w:rPr>
          <w:spacing w:val="-13"/>
        </w:rPr>
        <w:t> </w:t>
      </w:r>
      <w:r>
        <w:rPr/>
        <w:t>to</w:t>
      </w:r>
      <w:r>
        <w:rPr>
          <w:spacing w:val="-14"/>
        </w:rPr>
        <w:t> </w:t>
      </w:r>
      <w:r>
        <w:rPr/>
        <w:t>be</w:t>
      </w:r>
      <w:r>
        <w:rPr>
          <w:spacing w:val="-13"/>
        </w:rPr>
        <w:t> </w:t>
      </w:r>
      <w:r>
        <w:rPr/>
        <w:t>‘developing’</w:t>
      </w:r>
      <w:r>
        <w:rPr>
          <w:spacing w:val="-13"/>
        </w:rPr>
        <w:t> </w:t>
      </w:r>
      <w:r>
        <w:rPr/>
        <w:t>(88.9%)</w:t>
      </w:r>
      <w:r>
        <w:rPr>
          <w:spacing w:val="-13"/>
        </w:rPr>
        <w:t> </w:t>
      </w:r>
      <w:r>
        <w:rPr/>
        <w:t>compared to ‘strong’ (11.1%), and all pharmacists rated their naloxone knowledge as ‘developing’ (100%).</w:t>
      </w:r>
    </w:p>
    <w:p>
      <w:pPr>
        <w:spacing w:after="0"/>
        <w:jc w:val="both"/>
        <w:sectPr>
          <w:pgSz w:w="11910" w:h="16840"/>
          <w:pgMar w:header="0" w:footer="1302" w:top="1580" w:bottom="1520" w:left="1040" w:right="800"/>
        </w:sectPr>
      </w:pPr>
    </w:p>
    <w:p>
      <w:pPr>
        <w:spacing w:before="38"/>
        <w:ind w:left="120" w:right="0" w:firstLine="0"/>
        <w:jc w:val="both"/>
        <w:rPr>
          <w:i/>
          <w:sz w:val="22"/>
        </w:rPr>
      </w:pPr>
      <w:r>
        <w:rPr>
          <w:i/>
          <w:sz w:val="22"/>
        </w:rPr>
        <w:t>Table 4. Characteristics of pharmacists (n=9)</w:t>
      </w:r>
    </w:p>
    <w:p>
      <w:pPr>
        <w:pStyle w:val="BodyText"/>
        <w:spacing w:before="1"/>
        <w:rPr>
          <w:i/>
          <w:sz w:val="23"/>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35"/>
        <w:gridCol w:w="2987"/>
        <w:gridCol w:w="3093"/>
      </w:tblGrid>
      <w:tr>
        <w:trPr>
          <w:trHeight w:val="210" w:hRule="exact"/>
        </w:trPr>
        <w:tc>
          <w:tcPr>
            <w:tcW w:w="2935" w:type="dxa"/>
            <w:tcBorders>
              <w:bottom w:val="single" w:sz="4" w:space="0" w:color="B1A0C6"/>
            </w:tcBorders>
          </w:tcPr>
          <w:p>
            <w:pPr>
              <w:pStyle w:val="TableParagraph"/>
              <w:spacing w:line="204" w:lineRule="exact"/>
              <w:ind w:left="108"/>
              <w:rPr>
                <w:b/>
                <w:sz w:val="20"/>
              </w:rPr>
            </w:pPr>
            <w:r>
              <w:rPr>
                <w:b/>
                <w:sz w:val="20"/>
              </w:rPr>
              <w:t>Variable</w:t>
            </w:r>
          </w:p>
        </w:tc>
        <w:tc>
          <w:tcPr>
            <w:tcW w:w="2987" w:type="dxa"/>
            <w:tcBorders>
              <w:bottom w:val="single" w:sz="4" w:space="0" w:color="B1A0C6"/>
            </w:tcBorders>
          </w:tcPr>
          <w:p>
            <w:pPr>
              <w:pStyle w:val="TableParagraph"/>
              <w:spacing w:line="204" w:lineRule="exact"/>
              <w:ind w:left="145"/>
              <w:rPr>
                <w:b/>
                <w:sz w:val="20"/>
              </w:rPr>
            </w:pPr>
            <w:r>
              <w:rPr>
                <w:b/>
                <w:sz w:val="20"/>
              </w:rPr>
              <w:t>Category</w:t>
            </w:r>
          </w:p>
        </w:tc>
        <w:tc>
          <w:tcPr>
            <w:tcW w:w="3093" w:type="dxa"/>
            <w:tcBorders>
              <w:bottom w:val="single" w:sz="4" w:space="0" w:color="B1A0C6"/>
            </w:tcBorders>
          </w:tcPr>
          <w:p>
            <w:pPr>
              <w:pStyle w:val="TableParagraph"/>
              <w:spacing w:line="204" w:lineRule="exact"/>
              <w:ind w:left="416"/>
              <w:rPr>
                <w:b/>
                <w:sz w:val="20"/>
              </w:rPr>
            </w:pPr>
            <w:r>
              <w:rPr>
                <w:b/>
                <w:sz w:val="20"/>
              </w:rPr>
              <w:t>Statistic</w:t>
            </w:r>
          </w:p>
        </w:tc>
      </w:tr>
      <w:tr>
        <w:trPr>
          <w:trHeight w:val="266" w:hRule="exact"/>
        </w:trPr>
        <w:tc>
          <w:tcPr>
            <w:tcW w:w="2935" w:type="dxa"/>
            <w:tcBorders>
              <w:top w:val="single" w:sz="4" w:space="0" w:color="B1A0C6"/>
            </w:tcBorders>
            <w:shd w:val="clear" w:color="auto" w:fill="E4DFEB"/>
          </w:tcPr>
          <w:p>
            <w:pPr>
              <w:pStyle w:val="TableParagraph"/>
              <w:spacing w:line="243" w:lineRule="exact"/>
              <w:ind w:left="108"/>
              <w:rPr>
                <w:sz w:val="20"/>
              </w:rPr>
            </w:pPr>
            <w:r>
              <w:rPr>
                <w:sz w:val="20"/>
              </w:rPr>
              <w:t>Gender</w:t>
            </w:r>
          </w:p>
        </w:tc>
        <w:tc>
          <w:tcPr>
            <w:tcW w:w="2987" w:type="dxa"/>
            <w:tcBorders>
              <w:top w:val="single" w:sz="4" w:space="0" w:color="B1A0C6"/>
            </w:tcBorders>
            <w:shd w:val="clear" w:color="auto" w:fill="E4DFEB"/>
          </w:tcPr>
          <w:p>
            <w:pPr>
              <w:pStyle w:val="TableParagraph"/>
              <w:spacing w:line="243" w:lineRule="exact"/>
              <w:ind w:left="145"/>
              <w:rPr>
                <w:sz w:val="20"/>
              </w:rPr>
            </w:pPr>
            <w:r>
              <w:rPr>
                <w:sz w:val="20"/>
              </w:rPr>
              <w:t>Female</w:t>
            </w:r>
          </w:p>
        </w:tc>
        <w:tc>
          <w:tcPr>
            <w:tcW w:w="3093" w:type="dxa"/>
            <w:tcBorders>
              <w:top w:val="single" w:sz="4" w:space="0" w:color="B1A0C6"/>
            </w:tcBorders>
            <w:shd w:val="clear" w:color="auto" w:fill="E4DFEB"/>
          </w:tcPr>
          <w:p>
            <w:pPr>
              <w:pStyle w:val="TableParagraph"/>
              <w:spacing w:line="243" w:lineRule="exact"/>
              <w:ind w:left="416"/>
              <w:rPr>
                <w:sz w:val="20"/>
              </w:rPr>
            </w:pPr>
            <w:r>
              <w:rPr>
                <w:sz w:val="20"/>
              </w:rPr>
              <w:t>66.7% (6)</w:t>
            </w:r>
          </w:p>
        </w:tc>
      </w:tr>
      <w:tr>
        <w:trPr>
          <w:trHeight w:val="244" w:hRule="exact"/>
        </w:trPr>
        <w:tc>
          <w:tcPr>
            <w:tcW w:w="2935" w:type="dxa"/>
            <w:shd w:val="clear" w:color="auto" w:fill="E4DFEB"/>
          </w:tcPr>
          <w:p>
            <w:pPr/>
          </w:p>
        </w:tc>
        <w:tc>
          <w:tcPr>
            <w:tcW w:w="2987" w:type="dxa"/>
            <w:shd w:val="clear" w:color="auto" w:fill="E4DFEB"/>
          </w:tcPr>
          <w:p>
            <w:pPr>
              <w:pStyle w:val="TableParagraph"/>
              <w:spacing w:line="226" w:lineRule="exact"/>
              <w:ind w:left="145"/>
              <w:rPr>
                <w:sz w:val="20"/>
              </w:rPr>
            </w:pPr>
            <w:r>
              <w:rPr>
                <w:sz w:val="20"/>
              </w:rPr>
              <w:t>Male</w:t>
            </w:r>
          </w:p>
        </w:tc>
        <w:tc>
          <w:tcPr>
            <w:tcW w:w="3093" w:type="dxa"/>
            <w:shd w:val="clear" w:color="auto" w:fill="E4DFEB"/>
          </w:tcPr>
          <w:p>
            <w:pPr>
              <w:pStyle w:val="TableParagraph"/>
              <w:spacing w:line="226" w:lineRule="exact"/>
              <w:ind w:left="416"/>
              <w:rPr>
                <w:sz w:val="20"/>
              </w:rPr>
            </w:pPr>
            <w:r>
              <w:rPr>
                <w:sz w:val="20"/>
              </w:rPr>
              <w:t>33.3% (3)</w:t>
            </w:r>
          </w:p>
        </w:tc>
      </w:tr>
      <w:tr>
        <w:trPr>
          <w:trHeight w:val="227" w:hRule="exact"/>
        </w:trPr>
        <w:tc>
          <w:tcPr>
            <w:tcW w:w="2935" w:type="dxa"/>
            <w:shd w:val="clear" w:color="auto" w:fill="E4DFEB"/>
          </w:tcPr>
          <w:p>
            <w:pPr/>
          </w:p>
        </w:tc>
        <w:tc>
          <w:tcPr>
            <w:tcW w:w="2987" w:type="dxa"/>
            <w:shd w:val="clear" w:color="auto" w:fill="E4DFEB"/>
          </w:tcPr>
          <w:p>
            <w:pPr>
              <w:pStyle w:val="TableParagraph"/>
              <w:spacing w:line="226" w:lineRule="exact"/>
              <w:ind w:left="145"/>
              <w:rPr>
                <w:sz w:val="20"/>
              </w:rPr>
            </w:pPr>
            <w:r>
              <w:rPr>
                <w:sz w:val="20"/>
              </w:rPr>
              <w:t>Other</w:t>
            </w:r>
          </w:p>
        </w:tc>
        <w:tc>
          <w:tcPr>
            <w:tcW w:w="3093" w:type="dxa"/>
            <w:shd w:val="clear" w:color="auto" w:fill="E4DFEB"/>
          </w:tcPr>
          <w:p>
            <w:pPr>
              <w:pStyle w:val="TableParagraph"/>
              <w:spacing w:line="226" w:lineRule="exact"/>
              <w:ind w:left="416"/>
              <w:rPr>
                <w:sz w:val="20"/>
              </w:rPr>
            </w:pPr>
            <w:r>
              <w:rPr>
                <w:w w:val="100"/>
                <w:sz w:val="20"/>
              </w:rPr>
              <w:t>0</w:t>
            </w:r>
          </w:p>
        </w:tc>
      </w:tr>
      <w:tr>
        <w:trPr>
          <w:trHeight w:val="262" w:hRule="exact"/>
        </w:trPr>
        <w:tc>
          <w:tcPr>
            <w:tcW w:w="2935" w:type="dxa"/>
          </w:tcPr>
          <w:p>
            <w:pPr>
              <w:pStyle w:val="TableParagraph"/>
              <w:spacing w:line="243" w:lineRule="exact"/>
              <w:ind w:left="108"/>
              <w:rPr>
                <w:sz w:val="20"/>
              </w:rPr>
            </w:pPr>
            <w:r>
              <w:rPr>
                <w:sz w:val="20"/>
              </w:rPr>
              <w:t>Age</w:t>
            </w:r>
          </w:p>
        </w:tc>
        <w:tc>
          <w:tcPr>
            <w:tcW w:w="2987" w:type="dxa"/>
          </w:tcPr>
          <w:p>
            <w:pPr>
              <w:pStyle w:val="TableParagraph"/>
              <w:spacing w:line="243" w:lineRule="exact"/>
              <w:ind w:left="145"/>
              <w:rPr>
                <w:sz w:val="20"/>
              </w:rPr>
            </w:pPr>
            <w:r>
              <w:rPr>
                <w:sz w:val="20"/>
              </w:rPr>
              <w:t>Mean</w:t>
            </w:r>
          </w:p>
        </w:tc>
        <w:tc>
          <w:tcPr>
            <w:tcW w:w="3093" w:type="dxa"/>
          </w:tcPr>
          <w:p>
            <w:pPr>
              <w:pStyle w:val="TableParagraph"/>
              <w:spacing w:line="243" w:lineRule="exact"/>
              <w:ind w:left="416"/>
              <w:rPr>
                <w:sz w:val="20"/>
              </w:rPr>
            </w:pPr>
            <w:r>
              <w:rPr>
                <w:sz w:val="20"/>
              </w:rPr>
              <w:t>34.7 (SD=8.4)</w:t>
            </w:r>
          </w:p>
        </w:tc>
      </w:tr>
      <w:tr>
        <w:trPr>
          <w:trHeight w:val="227" w:hRule="exact"/>
        </w:trPr>
        <w:tc>
          <w:tcPr>
            <w:tcW w:w="2935" w:type="dxa"/>
          </w:tcPr>
          <w:p>
            <w:pPr/>
          </w:p>
        </w:tc>
        <w:tc>
          <w:tcPr>
            <w:tcW w:w="2987" w:type="dxa"/>
          </w:tcPr>
          <w:p>
            <w:pPr>
              <w:pStyle w:val="TableParagraph"/>
              <w:spacing w:line="226" w:lineRule="exact"/>
              <w:ind w:left="145"/>
              <w:rPr>
                <w:sz w:val="20"/>
              </w:rPr>
            </w:pPr>
            <w:r>
              <w:rPr>
                <w:sz w:val="20"/>
              </w:rPr>
              <w:t>Range</w:t>
            </w:r>
          </w:p>
        </w:tc>
        <w:tc>
          <w:tcPr>
            <w:tcW w:w="3093" w:type="dxa"/>
          </w:tcPr>
          <w:p>
            <w:pPr>
              <w:pStyle w:val="TableParagraph"/>
              <w:spacing w:line="226" w:lineRule="exact"/>
              <w:ind w:left="416"/>
              <w:rPr>
                <w:sz w:val="20"/>
              </w:rPr>
            </w:pPr>
            <w:r>
              <w:rPr>
                <w:sz w:val="20"/>
              </w:rPr>
              <w:t>25-52 years</w:t>
            </w:r>
          </w:p>
        </w:tc>
      </w:tr>
      <w:tr>
        <w:trPr>
          <w:trHeight w:val="262" w:hRule="exact"/>
        </w:trPr>
        <w:tc>
          <w:tcPr>
            <w:tcW w:w="2935" w:type="dxa"/>
            <w:shd w:val="clear" w:color="auto" w:fill="E4DFEB"/>
          </w:tcPr>
          <w:p>
            <w:pPr>
              <w:pStyle w:val="TableParagraph"/>
              <w:spacing w:line="243" w:lineRule="exact"/>
              <w:ind w:left="108"/>
              <w:rPr>
                <w:sz w:val="20"/>
              </w:rPr>
            </w:pPr>
            <w:r>
              <w:rPr>
                <w:sz w:val="20"/>
              </w:rPr>
              <w:t>Location</w:t>
            </w:r>
          </w:p>
        </w:tc>
        <w:tc>
          <w:tcPr>
            <w:tcW w:w="2987" w:type="dxa"/>
            <w:shd w:val="clear" w:color="auto" w:fill="E4DFEB"/>
          </w:tcPr>
          <w:p>
            <w:pPr>
              <w:pStyle w:val="TableParagraph"/>
              <w:spacing w:line="243" w:lineRule="exact"/>
              <w:ind w:left="145"/>
              <w:rPr>
                <w:sz w:val="20"/>
              </w:rPr>
            </w:pPr>
            <w:r>
              <w:rPr>
                <w:sz w:val="20"/>
              </w:rPr>
              <w:t>Metropolitan Melbourne</w:t>
            </w:r>
          </w:p>
        </w:tc>
        <w:tc>
          <w:tcPr>
            <w:tcW w:w="3093" w:type="dxa"/>
            <w:shd w:val="clear" w:color="auto" w:fill="E4DFEB"/>
          </w:tcPr>
          <w:p>
            <w:pPr>
              <w:pStyle w:val="TableParagraph"/>
              <w:spacing w:line="243" w:lineRule="exact"/>
              <w:ind w:left="416"/>
              <w:rPr>
                <w:sz w:val="20"/>
              </w:rPr>
            </w:pPr>
            <w:r>
              <w:rPr>
                <w:sz w:val="20"/>
              </w:rPr>
              <w:t>55.6% (5)</w:t>
            </w:r>
          </w:p>
        </w:tc>
      </w:tr>
      <w:tr>
        <w:trPr>
          <w:trHeight w:val="227" w:hRule="exact"/>
        </w:trPr>
        <w:tc>
          <w:tcPr>
            <w:tcW w:w="2935" w:type="dxa"/>
            <w:shd w:val="clear" w:color="auto" w:fill="E4DFEB"/>
          </w:tcPr>
          <w:p>
            <w:pPr/>
          </w:p>
        </w:tc>
        <w:tc>
          <w:tcPr>
            <w:tcW w:w="2987" w:type="dxa"/>
            <w:shd w:val="clear" w:color="auto" w:fill="E4DFEB"/>
          </w:tcPr>
          <w:p>
            <w:pPr>
              <w:pStyle w:val="TableParagraph"/>
              <w:spacing w:line="226" w:lineRule="exact"/>
              <w:ind w:left="145"/>
              <w:rPr>
                <w:sz w:val="20"/>
              </w:rPr>
            </w:pPr>
            <w:r>
              <w:rPr>
                <w:sz w:val="20"/>
              </w:rPr>
              <w:t>Non-metropolitan Melbourne</w:t>
            </w:r>
          </w:p>
        </w:tc>
        <w:tc>
          <w:tcPr>
            <w:tcW w:w="3093" w:type="dxa"/>
            <w:shd w:val="clear" w:color="auto" w:fill="E4DFEB"/>
          </w:tcPr>
          <w:p>
            <w:pPr>
              <w:pStyle w:val="TableParagraph"/>
              <w:spacing w:line="226" w:lineRule="exact"/>
              <w:ind w:left="416"/>
              <w:rPr>
                <w:sz w:val="20"/>
              </w:rPr>
            </w:pPr>
            <w:r>
              <w:rPr>
                <w:sz w:val="20"/>
              </w:rPr>
              <w:t>44.4% (4)</w:t>
            </w:r>
          </w:p>
        </w:tc>
      </w:tr>
      <w:tr>
        <w:trPr>
          <w:trHeight w:val="262" w:hRule="exact"/>
        </w:trPr>
        <w:tc>
          <w:tcPr>
            <w:tcW w:w="2935" w:type="dxa"/>
          </w:tcPr>
          <w:p>
            <w:pPr>
              <w:pStyle w:val="TableParagraph"/>
              <w:spacing w:line="243" w:lineRule="exact"/>
              <w:ind w:left="108"/>
              <w:rPr>
                <w:sz w:val="20"/>
              </w:rPr>
            </w:pPr>
            <w:r>
              <w:rPr>
                <w:sz w:val="20"/>
              </w:rPr>
              <w:t>Highest level of education</w:t>
            </w:r>
          </w:p>
        </w:tc>
        <w:tc>
          <w:tcPr>
            <w:tcW w:w="2987" w:type="dxa"/>
          </w:tcPr>
          <w:p>
            <w:pPr>
              <w:pStyle w:val="TableParagraph"/>
              <w:spacing w:line="243" w:lineRule="exact"/>
              <w:ind w:left="145"/>
              <w:rPr>
                <w:sz w:val="20"/>
              </w:rPr>
            </w:pPr>
            <w:r>
              <w:rPr>
                <w:sz w:val="20"/>
              </w:rPr>
              <w:t>Bachelor degree</w:t>
            </w:r>
          </w:p>
        </w:tc>
        <w:tc>
          <w:tcPr>
            <w:tcW w:w="3093" w:type="dxa"/>
          </w:tcPr>
          <w:p>
            <w:pPr>
              <w:pStyle w:val="TableParagraph"/>
              <w:spacing w:line="243" w:lineRule="exact"/>
              <w:ind w:left="416"/>
              <w:rPr>
                <w:sz w:val="20"/>
              </w:rPr>
            </w:pPr>
            <w:r>
              <w:rPr>
                <w:sz w:val="20"/>
              </w:rPr>
              <w:t>44.4% (4)</w:t>
            </w:r>
          </w:p>
        </w:tc>
      </w:tr>
      <w:tr>
        <w:trPr>
          <w:trHeight w:val="244" w:hRule="exact"/>
        </w:trPr>
        <w:tc>
          <w:tcPr>
            <w:tcW w:w="2935" w:type="dxa"/>
          </w:tcPr>
          <w:p>
            <w:pPr/>
          </w:p>
        </w:tc>
        <w:tc>
          <w:tcPr>
            <w:tcW w:w="2987" w:type="dxa"/>
          </w:tcPr>
          <w:p>
            <w:pPr>
              <w:pStyle w:val="TableParagraph"/>
              <w:spacing w:line="226" w:lineRule="exact"/>
              <w:ind w:left="145"/>
              <w:rPr>
                <w:sz w:val="20"/>
              </w:rPr>
            </w:pPr>
            <w:r>
              <w:rPr>
                <w:sz w:val="20"/>
              </w:rPr>
              <w:t>Graduate Certificate/Diploma</w:t>
            </w:r>
          </w:p>
        </w:tc>
        <w:tc>
          <w:tcPr>
            <w:tcW w:w="3093" w:type="dxa"/>
          </w:tcPr>
          <w:p>
            <w:pPr>
              <w:pStyle w:val="TableParagraph"/>
              <w:spacing w:line="226" w:lineRule="exact"/>
              <w:ind w:left="416"/>
              <w:rPr>
                <w:sz w:val="20"/>
              </w:rPr>
            </w:pPr>
            <w:r>
              <w:rPr>
                <w:sz w:val="20"/>
              </w:rPr>
              <w:t>22.2% (2)</w:t>
            </w:r>
          </w:p>
        </w:tc>
      </w:tr>
      <w:tr>
        <w:trPr>
          <w:trHeight w:val="226" w:hRule="exact"/>
        </w:trPr>
        <w:tc>
          <w:tcPr>
            <w:tcW w:w="2935" w:type="dxa"/>
          </w:tcPr>
          <w:p>
            <w:pPr/>
          </w:p>
        </w:tc>
        <w:tc>
          <w:tcPr>
            <w:tcW w:w="2987" w:type="dxa"/>
          </w:tcPr>
          <w:p>
            <w:pPr>
              <w:pStyle w:val="TableParagraph"/>
              <w:spacing w:line="226" w:lineRule="exact"/>
              <w:ind w:left="145"/>
              <w:rPr>
                <w:sz w:val="20"/>
              </w:rPr>
            </w:pPr>
            <w:r>
              <w:rPr>
                <w:sz w:val="20"/>
              </w:rPr>
              <w:t>Postgraduate Degree</w:t>
            </w:r>
          </w:p>
        </w:tc>
        <w:tc>
          <w:tcPr>
            <w:tcW w:w="3093" w:type="dxa"/>
          </w:tcPr>
          <w:p>
            <w:pPr>
              <w:pStyle w:val="TableParagraph"/>
              <w:spacing w:line="226" w:lineRule="exact"/>
              <w:ind w:left="416"/>
              <w:rPr>
                <w:sz w:val="20"/>
              </w:rPr>
            </w:pPr>
            <w:r>
              <w:rPr>
                <w:sz w:val="20"/>
              </w:rPr>
              <w:t>33.3% (3)</w:t>
            </w:r>
          </w:p>
        </w:tc>
      </w:tr>
      <w:tr>
        <w:trPr>
          <w:trHeight w:val="262" w:hRule="exact"/>
        </w:trPr>
        <w:tc>
          <w:tcPr>
            <w:tcW w:w="2935" w:type="dxa"/>
            <w:shd w:val="clear" w:color="auto" w:fill="E4DFEB"/>
          </w:tcPr>
          <w:p>
            <w:pPr>
              <w:pStyle w:val="TableParagraph"/>
              <w:spacing w:line="243" w:lineRule="exact"/>
              <w:ind w:left="108"/>
              <w:rPr>
                <w:sz w:val="20"/>
              </w:rPr>
            </w:pPr>
            <w:r>
              <w:rPr>
                <w:sz w:val="20"/>
              </w:rPr>
              <w:t>Length of time practising as a</w:t>
            </w:r>
          </w:p>
        </w:tc>
        <w:tc>
          <w:tcPr>
            <w:tcW w:w="2987" w:type="dxa"/>
            <w:shd w:val="clear" w:color="auto" w:fill="E4DFEB"/>
          </w:tcPr>
          <w:p>
            <w:pPr>
              <w:pStyle w:val="TableParagraph"/>
              <w:spacing w:line="243" w:lineRule="exact"/>
              <w:ind w:left="145"/>
              <w:rPr>
                <w:sz w:val="20"/>
              </w:rPr>
            </w:pPr>
            <w:r>
              <w:rPr>
                <w:sz w:val="20"/>
              </w:rPr>
              <w:t>1 to 5 years</w:t>
            </w:r>
          </w:p>
        </w:tc>
        <w:tc>
          <w:tcPr>
            <w:tcW w:w="3093" w:type="dxa"/>
            <w:shd w:val="clear" w:color="auto" w:fill="E4DFEB"/>
          </w:tcPr>
          <w:p>
            <w:pPr>
              <w:pStyle w:val="TableParagraph"/>
              <w:spacing w:line="243" w:lineRule="exact"/>
              <w:ind w:left="416"/>
              <w:rPr>
                <w:sz w:val="20"/>
              </w:rPr>
            </w:pPr>
            <w:r>
              <w:rPr>
                <w:sz w:val="20"/>
              </w:rPr>
              <w:t>22.2% (2)</w:t>
            </w:r>
          </w:p>
        </w:tc>
      </w:tr>
      <w:tr>
        <w:trPr>
          <w:trHeight w:val="244" w:hRule="exact"/>
        </w:trPr>
        <w:tc>
          <w:tcPr>
            <w:tcW w:w="2935" w:type="dxa"/>
            <w:shd w:val="clear" w:color="auto" w:fill="E4DFEB"/>
          </w:tcPr>
          <w:p>
            <w:pPr>
              <w:pStyle w:val="TableParagraph"/>
              <w:spacing w:line="226" w:lineRule="exact"/>
              <w:ind w:left="108"/>
              <w:rPr>
                <w:sz w:val="20"/>
              </w:rPr>
            </w:pPr>
            <w:r>
              <w:rPr>
                <w:sz w:val="20"/>
              </w:rPr>
              <w:t>pharmacist</w:t>
            </w:r>
          </w:p>
        </w:tc>
        <w:tc>
          <w:tcPr>
            <w:tcW w:w="2987" w:type="dxa"/>
            <w:shd w:val="clear" w:color="auto" w:fill="E4DFEB"/>
          </w:tcPr>
          <w:p>
            <w:pPr>
              <w:pStyle w:val="TableParagraph"/>
              <w:spacing w:line="226" w:lineRule="exact"/>
              <w:ind w:left="145"/>
              <w:rPr>
                <w:sz w:val="20"/>
              </w:rPr>
            </w:pPr>
            <w:r>
              <w:rPr>
                <w:sz w:val="20"/>
              </w:rPr>
              <w:t>6 to 10 years</w:t>
            </w:r>
          </w:p>
        </w:tc>
        <w:tc>
          <w:tcPr>
            <w:tcW w:w="3093" w:type="dxa"/>
            <w:shd w:val="clear" w:color="auto" w:fill="E4DFEB"/>
          </w:tcPr>
          <w:p>
            <w:pPr>
              <w:pStyle w:val="TableParagraph"/>
              <w:spacing w:line="226" w:lineRule="exact"/>
              <w:ind w:left="416"/>
              <w:rPr>
                <w:sz w:val="20"/>
              </w:rPr>
            </w:pPr>
            <w:r>
              <w:rPr>
                <w:sz w:val="20"/>
              </w:rPr>
              <w:t>44.4% (4)</w:t>
            </w:r>
          </w:p>
        </w:tc>
      </w:tr>
      <w:tr>
        <w:trPr>
          <w:trHeight w:val="244" w:hRule="exact"/>
        </w:trPr>
        <w:tc>
          <w:tcPr>
            <w:tcW w:w="2935" w:type="dxa"/>
            <w:shd w:val="clear" w:color="auto" w:fill="E4DFEB"/>
          </w:tcPr>
          <w:p>
            <w:pPr/>
          </w:p>
        </w:tc>
        <w:tc>
          <w:tcPr>
            <w:tcW w:w="2987" w:type="dxa"/>
            <w:shd w:val="clear" w:color="auto" w:fill="E4DFEB"/>
          </w:tcPr>
          <w:p>
            <w:pPr>
              <w:pStyle w:val="TableParagraph"/>
              <w:spacing w:line="226" w:lineRule="exact"/>
              <w:ind w:left="145"/>
              <w:rPr>
                <w:sz w:val="20"/>
              </w:rPr>
            </w:pPr>
            <w:r>
              <w:rPr>
                <w:sz w:val="20"/>
              </w:rPr>
              <w:t>11 to 20 years</w:t>
            </w:r>
          </w:p>
        </w:tc>
        <w:tc>
          <w:tcPr>
            <w:tcW w:w="3093" w:type="dxa"/>
            <w:shd w:val="clear" w:color="auto" w:fill="E4DFEB"/>
          </w:tcPr>
          <w:p>
            <w:pPr>
              <w:pStyle w:val="TableParagraph"/>
              <w:spacing w:line="226" w:lineRule="exact"/>
              <w:ind w:left="416"/>
              <w:rPr>
                <w:sz w:val="20"/>
              </w:rPr>
            </w:pPr>
            <w:r>
              <w:rPr>
                <w:sz w:val="20"/>
              </w:rPr>
              <w:t>11.1% (1)</w:t>
            </w:r>
          </w:p>
        </w:tc>
      </w:tr>
      <w:tr>
        <w:trPr>
          <w:trHeight w:val="227" w:hRule="exact"/>
        </w:trPr>
        <w:tc>
          <w:tcPr>
            <w:tcW w:w="2935" w:type="dxa"/>
            <w:shd w:val="clear" w:color="auto" w:fill="E4DFEB"/>
          </w:tcPr>
          <w:p>
            <w:pPr/>
          </w:p>
        </w:tc>
        <w:tc>
          <w:tcPr>
            <w:tcW w:w="2987" w:type="dxa"/>
            <w:shd w:val="clear" w:color="auto" w:fill="E4DFEB"/>
          </w:tcPr>
          <w:p>
            <w:pPr>
              <w:pStyle w:val="TableParagraph"/>
              <w:spacing w:line="226" w:lineRule="exact"/>
              <w:ind w:left="145"/>
              <w:rPr>
                <w:sz w:val="20"/>
              </w:rPr>
            </w:pPr>
            <w:r>
              <w:rPr>
                <w:sz w:val="20"/>
              </w:rPr>
              <w:t>20 years or more</w:t>
            </w:r>
          </w:p>
        </w:tc>
        <w:tc>
          <w:tcPr>
            <w:tcW w:w="3093" w:type="dxa"/>
            <w:shd w:val="clear" w:color="auto" w:fill="E4DFEB"/>
          </w:tcPr>
          <w:p>
            <w:pPr>
              <w:pStyle w:val="TableParagraph"/>
              <w:spacing w:line="226" w:lineRule="exact"/>
              <w:ind w:left="416"/>
              <w:rPr>
                <w:sz w:val="20"/>
              </w:rPr>
            </w:pPr>
            <w:r>
              <w:rPr>
                <w:sz w:val="20"/>
              </w:rPr>
              <w:t>44.4% (2)</w:t>
            </w:r>
          </w:p>
        </w:tc>
      </w:tr>
      <w:tr>
        <w:trPr>
          <w:trHeight w:val="262" w:hRule="exact"/>
        </w:trPr>
        <w:tc>
          <w:tcPr>
            <w:tcW w:w="2935" w:type="dxa"/>
          </w:tcPr>
          <w:p>
            <w:pPr>
              <w:pStyle w:val="TableParagraph"/>
              <w:spacing w:line="243" w:lineRule="exact"/>
              <w:ind w:left="108"/>
              <w:rPr>
                <w:sz w:val="20"/>
              </w:rPr>
            </w:pPr>
            <w:r>
              <w:rPr>
                <w:sz w:val="20"/>
              </w:rPr>
              <w:t>Type of pharmacy environment</w:t>
            </w:r>
          </w:p>
        </w:tc>
        <w:tc>
          <w:tcPr>
            <w:tcW w:w="2987" w:type="dxa"/>
          </w:tcPr>
          <w:p>
            <w:pPr>
              <w:pStyle w:val="TableParagraph"/>
              <w:spacing w:line="243" w:lineRule="exact"/>
              <w:ind w:left="145"/>
              <w:rPr>
                <w:sz w:val="20"/>
              </w:rPr>
            </w:pPr>
            <w:r>
              <w:rPr>
                <w:sz w:val="20"/>
              </w:rPr>
              <w:t>Community</w:t>
            </w:r>
          </w:p>
        </w:tc>
        <w:tc>
          <w:tcPr>
            <w:tcW w:w="3093" w:type="dxa"/>
          </w:tcPr>
          <w:p>
            <w:pPr>
              <w:pStyle w:val="TableParagraph"/>
              <w:spacing w:line="243" w:lineRule="exact"/>
              <w:ind w:left="416"/>
              <w:rPr>
                <w:sz w:val="20"/>
              </w:rPr>
            </w:pPr>
            <w:r>
              <w:rPr>
                <w:sz w:val="20"/>
              </w:rPr>
              <w:t>88.9% (8)</w:t>
            </w:r>
          </w:p>
        </w:tc>
      </w:tr>
      <w:tr>
        <w:trPr>
          <w:trHeight w:val="471" w:hRule="exact"/>
        </w:trPr>
        <w:tc>
          <w:tcPr>
            <w:tcW w:w="2935" w:type="dxa"/>
          </w:tcPr>
          <w:p>
            <w:pPr>
              <w:pStyle w:val="TableParagraph"/>
              <w:spacing w:line="226" w:lineRule="exact"/>
              <w:ind w:left="108"/>
              <w:rPr>
                <w:sz w:val="20"/>
              </w:rPr>
            </w:pPr>
            <w:r>
              <w:rPr>
                <w:sz w:val="20"/>
              </w:rPr>
              <w:t>currently worked in</w:t>
            </w:r>
          </w:p>
        </w:tc>
        <w:tc>
          <w:tcPr>
            <w:tcW w:w="2987" w:type="dxa"/>
          </w:tcPr>
          <w:p>
            <w:pPr>
              <w:pStyle w:val="TableParagraph"/>
              <w:spacing w:line="226" w:lineRule="exact"/>
              <w:ind w:left="145"/>
              <w:rPr>
                <w:sz w:val="20"/>
              </w:rPr>
            </w:pPr>
            <w:r>
              <w:rPr>
                <w:sz w:val="20"/>
              </w:rPr>
              <w:t>Hospital</w:t>
            </w:r>
          </w:p>
        </w:tc>
        <w:tc>
          <w:tcPr>
            <w:tcW w:w="3093" w:type="dxa"/>
          </w:tcPr>
          <w:p>
            <w:pPr>
              <w:pStyle w:val="TableParagraph"/>
              <w:spacing w:line="226" w:lineRule="exact"/>
              <w:ind w:left="416"/>
              <w:rPr>
                <w:sz w:val="20"/>
              </w:rPr>
            </w:pPr>
            <w:r>
              <w:rPr>
                <w:sz w:val="20"/>
              </w:rPr>
              <w:t>11.1% (1)</w:t>
            </w:r>
          </w:p>
        </w:tc>
      </w:tr>
      <w:tr>
        <w:trPr>
          <w:trHeight w:val="261" w:hRule="exact"/>
        </w:trPr>
        <w:tc>
          <w:tcPr>
            <w:tcW w:w="2935" w:type="dxa"/>
            <w:shd w:val="clear" w:color="auto" w:fill="E4DFEB"/>
          </w:tcPr>
          <w:p>
            <w:pPr>
              <w:pStyle w:val="TableParagraph"/>
              <w:spacing w:line="243" w:lineRule="exact"/>
              <w:ind w:left="108"/>
              <w:rPr>
                <w:sz w:val="20"/>
              </w:rPr>
            </w:pPr>
            <w:r>
              <w:rPr>
                <w:sz w:val="20"/>
              </w:rPr>
              <w:t>Pharmacy provision of medicines</w:t>
            </w:r>
          </w:p>
        </w:tc>
        <w:tc>
          <w:tcPr>
            <w:tcW w:w="2987" w:type="dxa"/>
            <w:shd w:val="clear" w:color="auto" w:fill="E4DFEB"/>
          </w:tcPr>
          <w:p>
            <w:pPr>
              <w:pStyle w:val="TableParagraph"/>
              <w:spacing w:line="243" w:lineRule="exact"/>
              <w:ind w:left="145"/>
              <w:rPr>
                <w:sz w:val="20"/>
              </w:rPr>
            </w:pPr>
            <w:r>
              <w:rPr>
                <w:sz w:val="20"/>
              </w:rPr>
              <w:t>Yes</w:t>
            </w:r>
          </w:p>
        </w:tc>
        <w:tc>
          <w:tcPr>
            <w:tcW w:w="3093" w:type="dxa"/>
            <w:shd w:val="clear" w:color="auto" w:fill="E4DFEB"/>
          </w:tcPr>
          <w:p>
            <w:pPr>
              <w:pStyle w:val="TableParagraph"/>
              <w:spacing w:line="243" w:lineRule="exact"/>
              <w:ind w:left="416"/>
              <w:rPr>
                <w:sz w:val="20"/>
              </w:rPr>
            </w:pPr>
            <w:r>
              <w:rPr>
                <w:sz w:val="20"/>
              </w:rPr>
              <w:t>44.4% (4)</w:t>
            </w:r>
          </w:p>
        </w:tc>
      </w:tr>
      <w:tr>
        <w:trPr>
          <w:trHeight w:val="244" w:hRule="exact"/>
        </w:trPr>
        <w:tc>
          <w:tcPr>
            <w:tcW w:w="2935" w:type="dxa"/>
            <w:shd w:val="clear" w:color="auto" w:fill="E4DFEB"/>
          </w:tcPr>
          <w:p>
            <w:pPr>
              <w:pStyle w:val="TableParagraph"/>
              <w:spacing w:line="226" w:lineRule="exact"/>
              <w:ind w:left="108"/>
              <w:rPr>
                <w:sz w:val="20"/>
              </w:rPr>
            </w:pPr>
            <w:r>
              <w:rPr>
                <w:sz w:val="20"/>
              </w:rPr>
              <w:t>for opioid dependence</w:t>
            </w:r>
          </w:p>
        </w:tc>
        <w:tc>
          <w:tcPr>
            <w:tcW w:w="2987" w:type="dxa"/>
            <w:shd w:val="clear" w:color="auto" w:fill="E4DFEB"/>
          </w:tcPr>
          <w:p>
            <w:pPr>
              <w:pStyle w:val="TableParagraph"/>
              <w:spacing w:line="226" w:lineRule="exact"/>
              <w:ind w:left="145"/>
              <w:rPr>
                <w:sz w:val="20"/>
              </w:rPr>
            </w:pPr>
            <w:r>
              <w:rPr>
                <w:sz w:val="20"/>
              </w:rPr>
              <w:t>No</w:t>
            </w:r>
          </w:p>
        </w:tc>
        <w:tc>
          <w:tcPr>
            <w:tcW w:w="3093" w:type="dxa"/>
            <w:shd w:val="clear" w:color="auto" w:fill="E4DFEB"/>
          </w:tcPr>
          <w:p>
            <w:pPr>
              <w:pStyle w:val="TableParagraph"/>
              <w:spacing w:line="226" w:lineRule="exact"/>
              <w:ind w:left="416"/>
              <w:rPr>
                <w:sz w:val="20"/>
              </w:rPr>
            </w:pPr>
            <w:r>
              <w:rPr>
                <w:sz w:val="20"/>
              </w:rPr>
              <w:t>44.4% (4)</w:t>
            </w:r>
          </w:p>
        </w:tc>
      </w:tr>
      <w:tr>
        <w:trPr>
          <w:trHeight w:val="227" w:hRule="exact"/>
        </w:trPr>
        <w:tc>
          <w:tcPr>
            <w:tcW w:w="2935" w:type="dxa"/>
            <w:shd w:val="clear" w:color="auto" w:fill="E4DFEB"/>
          </w:tcPr>
          <w:p>
            <w:pPr/>
          </w:p>
        </w:tc>
        <w:tc>
          <w:tcPr>
            <w:tcW w:w="2987" w:type="dxa"/>
            <w:shd w:val="clear" w:color="auto" w:fill="E4DFEB"/>
          </w:tcPr>
          <w:p>
            <w:pPr>
              <w:pStyle w:val="TableParagraph"/>
              <w:spacing w:line="226" w:lineRule="exact"/>
              <w:ind w:left="145"/>
              <w:rPr>
                <w:sz w:val="20"/>
              </w:rPr>
            </w:pPr>
            <w:r>
              <w:rPr>
                <w:sz w:val="20"/>
              </w:rPr>
              <w:t>Varies (locum)</w:t>
            </w:r>
          </w:p>
        </w:tc>
        <w:tc>
          <w:tcPr>
            <w:tcW w:w="3093" w:type="dxa"/>
            <w:shd w:val="clear" w:color="auto" w:fill="E4DFEB"/>
          </w:tcPr>
          <w:p>
            <w:pPr>
              <w:pStyle w:val="TableParagraph"/>
              <w:spacing w:line="226" w:lineRule="exact"/>
              <w:ind w:left="416"/>
              <w:rPr>
                <w:sz w:val="20"/>
              </w:rPr>
            </w:pPr>
            <w:r>
              <w:rPr>
                <w:sz w:val="20"/>
              </w:rPr>
              <w:t>11.1% (1)</w:t>
            </w:r>
          </w:p>
        </w:tc>
      </w:tr>
      <w:tr>
        <w:trPr>
          <w:trHeight w:val="261" w:hRule="exact"/>
        </w:trPr>
        <w:tc>
          <w:tcPr>
            <w:tcW w:w="2935" w:type="dxa"/>
          </w:tcPr>
          <w:p>
            <w:pPr>
              <w:pStyle w:val="TableParagraph"/>
              <w:spacing w:line="243" w:lineRule="exact"/>
              <w:ind w:left="108"/>
              <w:rPr>
                <w:sz w:val="20"/>
              </w:rPr>
            </w:pPr>
            <w:r>
              <w:rPr>
                <w:sz w:val="20"/>
              </w:rPr>
              <w:t>Self-rated overdose knowledge</w:t>
            </w:r>
          </w:p>
        </w:tc>
        <w:tc>
          <w:tcPr>
            <w:tcW w:w="2987" w:type="dxa"/>
          </w:tcPr>
          <w:p>
            <w:pPr>
              <w:pStyle w:val="TableParagraph"/>
              <w:spacing w:line="243" w:lineRule="exact"/>
              <w:ind w:left="145"/>
              <w:rPr>
                <w:sz w:val="20"/>
              </w:rPr>
            </w:pPr>
            <w:r>
              <w:rPr>
                <w:sz w:val="20"/>
              </w:rPr>
              <w:t>Strong</w:t>
            </w:r>
          </w:p>
        </w:tc>
        <w:tc>
          <w:tcPr>
            <w:tcW w:w="3093" w:type="dxa"/>
          </w:tcPr>
          <w:p>
            <w:pPr>
              <w:pStyle w:val="TableParagraph"/>
              <w:spacing w:line="243" w:lineRule="exact"/>
              <w:ind w:left="416"/>
              <w:rPr>
                <w:sz w:val="20"/>
              </w:rPr>
            </w:pPr>
            <w:r>
              <w:rPr>
                <w:sz w:val="20"/>
              </w:rPr>
              <w:t>11.1% (1)</w:t>
            </w:r>
          </w:p>
        </w:tc>
      </w:tr>
      <w:tr>
        <w:trPr>
          <w:trHeight w:val="227" w:hRule="exact"/>
        </w:trPr>
        <w:tc>
          <w:tcPr>
            <w:tcW w:w="2935" w:type="dxa"/>
          </w:tcPr>
          <w:p>
            <w:pPr/>
          </w:p>
        </w:tc>
        <w:tc>
          <w:tcPr>
            <w:tcW w:w="2987" w:type="dxa"/>
          </w:tcPr>
          <w:p>
            <w:pPr>
              <w:pStyle w:val="TableParagraph"/>
              <w:spacing w:line="226" w:lineRule="exact"/>
              <w:ind w:left="145"/>
              <w:rPr>
                <w:sz w:val="20"/>
              </w:rPr>
            </w:pPr>
            <w:r>
              <w:rPr>
                <w:sz w:val="20"/>
              </w:rPr>
              <w:t>Developing</w:t>
            </w:r>
          </w:p>
        </w:tc>
        <w:tc>
          <w:tcPr>
            <w:tcW w:w="3093" w:type="dxa"/>
          </w:tcPr>
          <w:p>
            <w:pPr>
              <w:pStyle w:val="TableParagraph"/>
              <w:spacing w:line="226" w:lineRule="exact"/>
              <w:ind w:left="416"/>
              <w:rPr>
                <w:sz w:val="20"/>
              </w:rPr>
            </w:pPr>
            <w:r>
              <w:rPr>
                <w:sz w:val="20"/>
              </w:rPr>
              <w:t>88.9% (8)</w:t>
            </w:r>
          </w:p>
        </w:tc>
      </w:tr>
      <w:tr>
        <w:trPr>
          <w:trHeight w:val="261" w:hRule="exact"/>
        </w:trPr>
        <w:tc>
          <w:tcPr>
            <w:tcW w:w="2935" w:type="dxa"/>
            <w:shd w:val="clear" w:color="auto" w:fill="E4DFEB"/>
          </w:tcPr>
          <w:p>
            <w:pPr>
              <w:pStyle w:val="TableParagraph"/>
              <w:spacing w:line="243" w:lineRule="exact"/>
              <w:ind w:left="108"/>
              <w:rPr>
                <w:sz w:val="20"/>
              </w:rPr>
            </w:pPr>
            <w:r>
              <w:rPr>
                <w:sz w:val="20"/>
              </w:rPr>
              <w:t>Self-rated naloxone knowledge</w:t>
            </w:r>
          </w:p>
        </w:tc>
        <w:tc>
          <w:tcPr>
            <w:tcW w:w="2987" w:type="dxa"/>
            <w:shd w:val="clear" w:color="auto" w:fill="E4DFEB"/>
          </w:tcPr>
          <w:p>
            <w:pPr>
              <w:pStyle w:val="TableParagraph"/>
              <w:spacing w:line="243" w:lineRule="exact"/>
              <w:ind w:left="145"/>
              <w:rPr>
                <w:sz w:val="20"/>
              </w:rPr>
            </w:pPr>
            <w:r>
              <w:rPr>
                <w:sz w:val="20"/>
              </w:rPr>
              <w:t>Strong</w:t>
            </w:r>
          </w:p>
        </w:tc>
        <w:tc>
          <w:tcPr>
            <w:tcW w:w="3093" w:type="dxa"/>
            <w:shd w:val="clear" w:color="auto" w:fill="E4DFEB"/>
          </w:tcPr>
          <w:p>
            <w:pPr>
              <w:pStyle w:val="TableParagraph"/>
              <w:spacing w:line="243" w:lineRule="exact"/>
              <w:ind w:left="416"/>
              <w:rPr>
                <w:sz w:val="20"/>
              </w:rPr>
            </w:pPr>
            <w:r>
              <w:rPr>
                <w:w w:val="100"/>
                <w:sz w:val="20"/>
              </w:rPr>
              <w:t>0</w:t>
            </w:r>
          </w:p>
        </w:tc>
      </w:tr>
      <w:tr>
        <w:trPr>
          <w:trHeight w:val="227" w:hRule="exact"/>
        </w:trPr>
        <w:tc>
          <w:tcPr>
            <w:tcW w:w="2935" w:type="dxa"/>
            <w:shd w:val="clear" w:color="auto" w:fill="E4DFEB"/>
          </w:tcPr>
          <w:p>
            <w:pPr/>
          </w:p>
        </w:tc>
        <w:tc>
          <w:tcPr>
            <w:tcW w:w="2987" w:type="dxa"/>
            <w:shd w:val="clear" w:color="auto" w:fill="E4DFEB"/>
          </w:tcPr>
          <w:p>
            <w:pPr>
              <w:pStyle w:val="TableParagraph"/>
              <w:spacing w:line="226" w:lineRule="exact"/>
              <w:ind w:left="145"/>
              <w:rPr>
                <w:sz w:val="20"/>
              </w:rPr>
            </w:pPr>
            <w:r>
              <w:rPr>
                <w:sz w:val="20"/>
              </w:rPr>
              <w:t>Developing</w:t>
            </w:r>
          </w:p>
        </w:tc>
        <w:tc>
          <w:tcPr>
            <w:tcW w:w="3093" w:type="dxa"/>
            <w:shd w:val="clear" w:color="auto" w:fill="E4DFEB"/>
          </w:tcPr>
          <w:p>
            <w:pPr>
              <w:pStyle w:val="TableParagraph"/>
              <w:spacing w:line="226" w:lineRule="exact"/>
              <w:ind w:left="416"/>
              <w:rPr>
                <w:sz w:val="20"/>
              </w:rPr>
            </w:pPr>
            <w:r>
              <w:rPr>
                <w:sz w:val="20"/>
              </w:rPr>
              <w:t>100% (9)</w:t>
            </w:r>
          </w:p>
        </w:tc>
      </w:tr>
    </w:tbl>
    <w:p>
      <w:pPr>
        <w:pStyle w:val="BodyText"/>
        <w:spacing w:before="11"/>
        <w:rPr>
          <w:i/>
          <w:sz w:val="21"/>
        </w:rPr>
      </w:pPr>
    </w:p>
    <w:p>
      <w:pPr>
        <w:pStyle w:val="Heading2"/>
        <w:spacing w:before="1"/>
        <w:ind w:left="120"/>
      </w:pPr>
      <w:r>
        <w:rPr/>
        <w:t>Pharmacist knowledge of overdose</w:t>
      </w:r>
    </w:p>
    <w:p>
      <w:pPr>
        <w:pStyle w:val="BodyText"/>
        <w:spacing w:before="11"/>
        <w:rPr>
          <w:b/>
          <w:sz w:val="23"/>
        </w:rPr>
      </w:pPr>
    </w:p>
    <w:p>
      <w:pPr>
        <w:pStyle w:val="BodyText"/>
        <w:spacing w:before="1"/>
        <w:ind w:left="119" w:right="116"/>
        <w:jc w:val="both"/>
      </w:pPr>
      <w:r>
        <w:rPr/>
        <w:t>Compared to patients, pharmacist understandings of ‘overdose’ were far less disparate, although there was still variation. ‘Overdose’ was often conceptualised as existing on the more severe end of a spectrum of ‘adverse side effects’; this could be a range of adverse effects</w:t>
      </w:r>
      <w:r>
        <w:rPr>
          <w:spacing w:val="-6"/>
        </w:rPr>
        <w:t> </w:t>
      </w:r>
      <w:r>
        <w:rPr/>
        <w:t>(described</w:t>
      </w:r>
      <w:r>
        <w:rPr>
          <w:spacing w:val="-6"/>
        </w:rPr>
        <w:t> </w:t>
      </w:r>
      <w:r>
        <w:rPr/>
        <w:t>by</w:t>
      </w:r>
      <w:r>
        <w:rPr>
          <w:spacing w:val="-6"/>
        </w:rPr>
        <w:t> </w:t>
      </w:r>
      <w:r>
        <w:rPr/>
        <w:t>one</w:t>
      </w:r>
      <w:r>
        <w:rPr>
          <w:spacing w:val="-6"/>
        </w:rPr>
        <w:t> </w:t>
      </w:r>
      <w:r>
        <w:rPr/>
        <w:t>pharmacist</w:t>
      </w:r>
      <w:r>
        <w:rPr>
          <w:spacing w:val="-6"/>
        </w:rPr>
        <w:t> </w:t>
      </w:r>
      <w:r>
        <w:rPr/>
        <w:t>as</w:t>
      </w:r>
      <w:r>
        <w:rPr>
          <w:spacing w:val="-6"/>
        </w:rPr>
        <w:t> </w:t>
      </w:r>
      <w:r>
        <w:rPr/>
        <w:t>‘where</w:t>
      </w:r>
      <w:r>
        <w:rPr>
          <w:spacing w:val="-6"/>
        </w:rPr>
        <w:t> </w:t>
      </w:r>
      <w:r>
        <w:rPr/>
        <w:t>the</w:t>
      </w:r>
      <w:r>
        <w:rPr>
          <w:spacing w:val="-6"/>
        </w:rPr>
        <w:t> </w:t>
      </w:r>
      <w:r>
        <w:rPr/>
        <w:t>adverse</w:t>
      </w:r>
      <w:r>
        <w:rPr>
          <w:spacing w:val="-6"/>
        </w:rPr>
        <w:t> </w:t>
      </w:r>
      <w:r>
        <w:rPr/>
        <w:t>effects</w:t>
      </w:r>
      <w:r>
        <w:rPr>
          <w:spacing w:val="-6"/>
        </w:rPr>
        <w:t> </w:t>
      </w:r>
      <w:r>
        <w:rPr/>
        <w:t>outweigh</w:t>
      </w:r>
      <w:r>
        <w:rPr>
          <w:spacing w:val="-6"/>
        </w:rPr>
        <w:t> </w:t>
      </w:r>
      <w:r>
        <w:rPr/>
        <w:t>the</w:t>
      </w:r>
      <w:r>
        <w:rPr>
          <w:spacing w:val="-6"/>
        </w:rPr>
        <w:t> </w:t>
      </w:r>
      <w:r>
        <w:rPr/>
        <w:t>therapeutic benefit’), or adverse effects constituting an ‘emergency’ (i.e. risk of death). Although many pharmacists knew of a range factors that contribute to overdose (such as comorbidities and polypharmacy),</w:t>
      </w:r>
      <w:r>
        <w:rPr>
          <w:spacing w:val="-8"/>
        </w:rPr>
        <w:t> </w:t>
      </w:r>
      <w:r>
        <w:rPr/>
        <w:t>overdose</w:t>
      </w:r>
      <w:r>
        <w:rPr>
          <w:spacing w:val="-8"/>
        </w:rPr>
        <w:t> </w:t>
      </w:r>
      <w:r>
        <w:rPr/>
        <w:t>was</w:t>
      </w:r>
      <w:r>
        <w:rPr>
          <w:spacing w:val="-9"/>
        </w:rPr>
        <w:t> </w:t>
      </w:r>
      <w:r>
        <w:rPr/>
        <w:t>commonly</w:t>
      </w:r>
      <w:r>
        <w:rPr>
          <w:spacing w:val="-8"/>
        </w:rPr>
        <w:t> </w:t>
      </w:r>
      <w:r>
        <w:rPr/>
        <w:t>described</w:t>
      </w:r>
      <w:r>
        <w:rPr>
          <w:spacing w:val="-9"/>
        </w:rPr>
        <w:t> </w:t>
      </w:r>
      <w:r>
        <w:rPr/>
        <w:t>as</w:t>
      </w:r>
      <w:r>
        <w:rPr>
          <w:spacing w:val="-9"/>
        </w:rPr>
        <w:t> </w:t>
      </w:r>
      <w:r>
        <w:rPr/>
        <w:t>the</w:t>
      </w:r>
      <w:r>
        <w:rPr>
          <w:spacing w:val="-8"/>
        </w:rPr>
        <w:t> </w:t>
      </w:r>
      <w:r>
        <w:rPr/>
        <w:t>outcome</w:t>
      </w:r>
      <w:r>
        <w:rPr>
          <w:spacing w:val="-8"/>
        </w:rPr>
        <w:t> </w:t>
      </w:r>
      <w:r>
        <w:rPr/>
        <w:t>of</w:t>
      </w:r>
      <w:r>
        <w:rPr>
          <w:spacing w:val="-9"/>
        </w:rPr>
        <w:t> </w:t>
      </w:r>
      <w:r>
        <w:rPr/>
        <w:t>‘taking</w:t>
      </w:r>
      <w:r>
        <w:rPr>
          <w:spacing w:val="-9"/>
        </w:rPr>
        <w:t> </w:t>
      </w:r>
      <w:r>
        <w:rPr/>
        <w:t>too</w:t>
      </w:r>
      <w:r>
        <w:rPr>
          <w:spacing w:val="-9"/>
        </w:rPr>
        <w:t> </w:t>
      </w:r>
      <w:r>
        <w:rPr/>
        <w:t>much’.</w:t>
      </w:r>
      <w:r>
        <w:rPr>
          <w:spacing w:val="-9"/>
        </w:rPr>
        <w:t> </w:t>
      </w:r>
      <w:r>
        <w:rPr/>
        <w:t>This way</w:t>
      </w:r>
      <w:r>
        <w:rPr>
          <w:spacing w:val="-9"/>
        </w:rPr>
        <w:t> </w:t>
      </w:r>
      <w:r>
        <w:rPr/>
        <w:t>of</w:t>
      </w:r>
      <w:r>
        <w:rPr>
          <w:spacing w:val="-10"/>
        </w:rPr>
        <w:t> </w:t>
      </w:r>
      <w:r>
        <w:rPr/>
        <w:t>speaking</w:t>
      </w:r>
      <w:r>
        <w:rPr>
          <w:spacing w:val="-10"/>
        </w:rPr>
        <w:t> </w:t>
      </w:r>
      <w:r>
        <w:rPr/>
        <w:t>about</w:t>
      </w:r>
      <w:r>
        <w:rPr>
          <w:spacing w:val="-10"/>
        </w:rPr>
        <w:t> </w:t>
      </w:r>
      <w:r>
        <w:rPr/>
        <w:t>overdose</w:t>
      </w:r>
      <w:r>
        <w:rPr>
          <w:spacing w:val="-9"/>
        </w:rPr>
        <w:t> </w:t>
      </w:r>
      <w:r>
        <w:rPr/>
        <w:t>may</w:t>
      </w:r>
      <w:r>
        <w:rPr>
          <w:spacing w:val="-9"/>
        </w:rPr>
        <w:t> </w:t>
      </w:r>
      <w:r>
        <w:rPr/>
        <w:t>reinforce</w:t>
      </w:r>
      <w:r>
        <w:rPr>
          <w:spacing w:val="-9"/>
        </w:rPr>
        <w:t> </w:t>
      </w:r>
      <w:r>
        <w:rPr/>
        <w:t>patient</w:t>
      </w:r>
      <w:r>
        <w:rPr>
          <w:spacing w:val="-10"/>
        </w:rPr>
        <w:t> </w:t>
      </w:r>
      <w:r>
        <w:rPr/>
        <w:t>perceptions</w:t>
      </w:r>
      <w:r>
        <w:rPr>
          <w:spacing w:val="-10"/>
        </w:rPr>
        <w:t> </w:t>
      </w:r>
      <w:r>
        <w:rPr/>
        <w:t>that</w:t>
      </w:r>
      <w:r>
        <w:rPr>
          <w:spacing w:val="-10"/>
        </w:rPr>
        <w:t> </w:t>
      </w:r>
      <w:r>
        <w:rPr/>
        <w:t>overdose</w:t>
      </w:r>
      <w:r>
        <w:rPr>
          <w:spacing w:val="-9"/>
        </w:rPr>
        <w:t> </w:t>
      </w:r>
      <w:r>
        <w:rPr/>
        <w:t>only</w:t>
      </w:r>
      <w:r>
        <w:rPr>
          <w:spacing w:val="-9"/>
        </w:rPr>
        <w:t> </w:t>
      </w:r>
      <w:r>
        <w:rPr/>
        <w:t>occurs when a patient takes more than the prescribed amount or is</w:t>
      </w:r>
      <w:r>
        <w:rPr>
          <w:spacing w:val="-22"/>
        </w:rPr>
        <w:t> </w:t>
      </w:r>
      <w:r>
        <w:rPr/>
        <w:t>careless.</w:t>
      </w:r>
    </w:p>
    <w:p>
      <w:pPr>
        <w:pStyle w:val="BodyText"/>
        <w:spacing w:before="11"/>
        <w:rPr>
          <w:sz w:val="23"/>
        </w:rPr>
      </w:pPr>
    </w:p>
    <w:p>
      <w:pPr>
        <w:pStyle w:val="BodyText"/>
        <w:spacing w:before="1"/>
        <w:ind w:left="120" w:right="116"/>
        <w:jc w:val="both"/>
      </w:pPr>
      <w:r>
        <w:rPr/>
        <w:t>Pharmacists</w:t>
      </w:r>
      <w:r>
        <w:rPr>
          <w:spacing w:val="-12"/>
        </w:rPr>
        <w:t> </w:t>
      </w:r>
      <w:r>
        <w:rPr/>
        <w:t>described</w:t>
      </w:r>
      <w:r>
        <w:rPr>
          <w:spacing w:val="-12"/>
        </w:rPr>
        <w:t> </w:t>
      </w:r>
      <w:r>
        <w:rPr/>
        <w:t>a</w:t>
      </w:r>
      <w:r>
        <w:rPr>
          <w:spacing w:val="-12"/>
        </w:rPr>
        <w:t> </w:t>
      </w:r>
      <w:r>
        <w:rPr/>
        <w:t>range</w:t>
      </w:r>
      <w:r>
        <w:rPr>
          <w:spacing w:val="-10"/>
        </w:rPr>
        <w:t> </w:t>
      </w:r>
      <w:r>
        <w:rPr/>
        <w:t>of</w:t>
      </w:r>
      <w:r>
        <w:rPr>
          <w:spacing w:val="-11"/>
        </w:rPr>
        <w:t> </w:t>
      </w:r>
      <w:r>
        <w:rPr/>
        <w:t>signs</w:t>
      </w:r>
      <w:r>
        <w:rPr>
          <w:spacing w:val="-11"/>
        </w:rPr>
        <w:t> </w:t>
      </w:r>
      <w:r>
        <w:rPr/>
        <w:t>and</w:t>
      </w:r>
      <w:r>
        <w:rPr>
          <w:spacing w:val="-11"/>
        </w:rPr>
        <w:t> </w:t>
      </w:r>
      <w:r>
        <w:rPr/>
        <w:t>symptoms</w:t>
      </w:r>
      <w:r>
        <w:rPr>
          <w:spacing w:val="-11"/>
        </w:rPr>
        <w:t> </w:t>
      </w:r>
      <w:r>
        <w:rPr/>
        <w:t>of</w:t>
      </w:r>
      <w:r>
        <w:rPr>
          <w:spacing w:val="-11"/>
        </w:rPr>
        <w:t> </w:t>
      </w:r>
      <w:r>
        <w:rPr/>
        <w:t>overdose.</w:t>
      </w:r>
      <w:r>
        <w:rPr>
          <w:spacing w:val="-12"/>
        </w:rPr>
        <w:t> </w:t>
      </w:r>
      <w:r>
        <w:rPr/>
        <w:t>These</w:t>
      </w:r>
      <w:r>
        <w:rPr>
          <w:spacing w:val="-9"/>
        </w:rPr>
        <w:t> </w:t>
      </w:r>
      <w:r>
        <w:rPr/>
        <w:t>include</w:t>
      </w:r>
      <w:r>
        <w:rPr>
          <w:spacing w:val="-10"/>
        </w:rPr>
        <w:t> </w:t>
      </w:r>
      <w:r>
        <w:rPr/>
        <w:t>drowsiness, difficulty breathing or respiratory depression, nausea, loss of consciousness, being cold or clammy, vomiting, confusion, dizziness, and difficulties with brain function (especially memory and cognition). One problem highlighted by pharmacists was a difficulty distinguishing (or teaching patients how to distinguish) between these symptoms being undesirable, as compared when they are dangerous and require intervention. For example, one pharmacist discussed that it could be difficult for patients to accurately assess their own respiration</w:t>
      </w:r>
      <w:r>
        <w:rPr>
          <w:spacing w:val="-8"/>
        </w:rPr>
        <w:t> </w:t>
      </w:r>
      <w:r>
        <w:rPr/>
        <w:t>rate.</w:t>
      </w:r>
      <w:r>
        <w:rPr>
          <w:spacing w:val="-8"/>
        </w:rPr>
        <w:t> </w:t>
      </w:r>
      <w:r>
        <w:rPr/>
        <w:t>It</w:t>
      </w:r>
      <w:r>
        <w:rPr>
          <w:spacing w:val="-8"/>
        </w:rPr>
        <w:t> </w:t>
      </w:r>
      <w:r>
        <w:rPr/>
        <w:t>was</w:t>
      </w:r>
      <w:r>
        <w:rPr>
          <w:spacing w:val="-8"/>
        </w:rPr>
        <w:t> </w:t>
      </w:r>
      <w:r>
        <w:rPr/>
        <w:t>noted</w:t>
      </w:r>
      <w:r>
        <w:rPr>
          <w:spacing w:val="-8"/>
        </w:rPr>
        <w:t> </w:t>
      </w:r>
      <w:r>
        <w:rPr/>
        <w:t>that</w:t>
      </w:r>
      <w:r>
        <w:rPr>
          <w:spacing w:val="-8"/>
        </w:rPr>
        <w:t> </w:t>
      </w:r>
      <w:r>
        <w:rPr/>
        <w:t>opioid</w:t>
      </w:r>
      <w:r>
        <w:rPr>
          <w:spacing w:val="-8"/>
        </w:rPr>
        <w:t> </w:t>
      </w:r>
      <w:r>
        <w:rPr/>
        <w:t>overdose</w:t>
      </w:r>
      <w:r>
        <w:rPr>
          <w:spacing w:val="-7"/>
        </w:rPr>
        <w:t> </w:t>
      </w:r>
      <w:r>
        <w:rPr/>
        <w:t>was</w:t>
      </w:r>
      <w:r>
        <w:rPr>
          <w:spacing w:val="-8"/>
        </w:rPr>
        <w:t> </w:t>
      </w:r>
      <w:r>
        <w:rPr/>
        <w:t>not</w:t>
      </w:r>
      <w:r>
        <w:rPr>
          <w:spacing w:val="-8"/>
        </w:rPr>
        <w:t> </w:t>
      </w:r>
      <w:r>
        <w:rPr/>
        <w:t>well</w:t>
      </w:r>
      <w:r>
        <w:rPr>
          <w:spacing w:val="-7"/>
        </w:rPr>
        <w:t> </w:t>
      </w:r>
      <w:r>
        <w:rPr/>
        <w:t>covered</w:t>
      </w:r>
      <w:r>
        <w:rPr>
          <w:spacing w:val="-8"/>
        </w:rPr>
        <w:t> </w:t>
      </w:r>
      <w:r>
        <w:rPr/>
        <w:t>as</w:t>
      </w:r>
      <w:r>
        <w:rPr>
          <w:spacing w:val="-8"/>
        </w:rPr>
        <w:t> </w:t>
      </w:r>
      <w:r>
        <w:rPr/>
        <w:t>a</w:t>
      </w:r>
      <w:r>
        <w:rPr>
          <w:spacing w:val="-7"/>
        </w:rPr>
        <w:t> </w:t>
      </w:r>
      <w:r>
        <w:rPr/>
        <w:t>standard</w:t>
      </w:r>
      <w:r>
        <w:rPr>
          <w:spacing w:val="-8"/>
        </w:rPr>
        <w:t> </w:t>
      </w:r>
      <w:r>
        <w:rPr/>
        <w:t>part</w:t>
      </w:r>
      <w:r>
        <w:rPr>
          <w:spacing w:val="-8"/>
        </w:rPr>
        <w:t> </w:t>
      </w:r>
      <w:r>
        <w:rPr/>
        <w:t>of pharmacist training, and therefore that patients may receive different advice relating to overdose, depending on a pharmacist’s self-initiated</w:t>
      </w:r>
      <w:r>
        <w:rPr>
          <w:spacing w:val="-29"/>
        </w:rPr>
        <w:t> </w:t>
      </w:r>
      <w:r>
        <w:rPr/>
        <w:t>learning.</w:t>
      </w:r>
    </w:p>
    <w:p>
      <w:pPr>
        <w:spacing w:after="0"/>
        <w:jc w:val="both"/>
        <w:sectPr>
          <w:pgSz w:w="11910" w:h="16840"/>
          <w:pgMar w:header="0" w:footer="1302" w:top="1480" w:bottom="1520" w:left="1320" w:right="1320"/>
        </w:sectPr>
      </w:pPr>
    </w:p>
    <w:p>
      <w:pPr>
        <w:pStyle w:val="BodyText"/>
        <w:spacing w:before="37"/>
        <w:ind w:left="119" w:right="118"/>
        <w:jc w:val="both"/>
      </w:pPr>
      <w:r>
        <w:rPr/>
        <w:t>Use of the term ‘overdose’ was contentious. Most pharmacists acknowledged the stigma associated with ‘overdose’, with some pharmacists describing ‘overdose’ as having connotations of illicit drug use, nonmedical use or addiction. Others considered it to be an appropriate term to use, as long as it is clearly defined. Pharmacists suggested alternative terms to refer to ‘overdose’, including ‘opioid toxicity’, ‘adverse effects’ ‘adverse reaction’ and ‘severe side effects’. Ultimately, there was no consensus, and each suggested term had its own problems (i.e. being too technical, too vague, or too emotive).</w:t>
      </w:r>
    </w:p>
    <w:p>
      <w:pPr>
        <w:pStyle w:val="BodyText"/>
        <w:spacing w:before="11"/>
        <w:rPr>
          <w:sz w:val="23"/>
        </w:rPr>
      </w:pPr>
    </w:p>
    <w:p>
      <w:pPr>
        <w:spacing w:before="0"/>
        <w:ind w:left="119" w:right="0" w:firstLine="0"/>
        <w:jc w:val="both"/>
        <w:rPr>
          <w:i/>
          <w:sz w:val="24"/>
        </w:rPr>
      </w:pPr>
      <w:r>
        <w:rPr>
          <w:i/>
          <w:sz w:val="24"/>
        </w:rPr>
        <w:t>Pharmacist knowledge of overdose risk</w:t>
      </w:r>
    </w:p>
    <w:p>
      <w:pPr>
        <w:pStyle w:val="BodyText"/>
        <w:spacing w:before="11"/>
        <w:rPr>
          <w:i/>
          <w:sz w:val="23"/>
        </w:rPr>
      </w:pPr>
    </w:p>
    <w:p>
      <w:pPr>
        <w:pStyle w:val="BodyText"/>
        <w:ind w:left="119" w:right="116"/>
        <w:jc w:val="both"/>
      </w:pPr>
      <w:r>
        <w:rPr/>
        <w:t>We also asked pharmacists about risk factors for overdose, and the types of patients they considered to be at increased risk (see Table 5). Factors included: medicine-related factors (i.e., type of opioid and dose) and behaviours, treatment experiences, co-occurring issues or behaviours, the individual’s knowledge and circumstances, and certain demographic characteristics.</w:t>
      </w:r>
      <w:r>
        <w:rPr>
          <w:spacing w:val="-12"/>
        </w:rPr>
        <w:t> </w:t>
      </w:r>
      <w:r>
        <w:rPr/>
        <w:t>The</w:t>
      </w:r>
      <w:r>
        <w:rPr>
          <w:spacing w:val="-9"/>
        </w:rPr>
        <w:t> </w:t>
      </w:r>
      <w:r>
        <w:rPr/>
        <w:t>findings</w:t>
      </w:r>
      <w:r>
        <w:rPr>
          <w:spacing w:val="-11"/>
        </w:rPr>
        <w:t> </w:t>
      </w:r>
      <w:r>
        <w:rPr/>
        <w:t>from</w:t>
      </w:r>
      <w:r>
        <w:rPr>
          <w:spacing w:val="-9"/>
        </w:rPr>
        <w:t> </w:t>
      </w:r>
      <w:r>
        <w:rPr/>
        <w:t>these</w:t>
      </w:r>
      <w:r>
        <w:rPr>
          <w:spacing w:val="-10"/>
        </w:rPr>
        <w:t> </w:t>
      </w:r>
      <w:r>
        <w:rPr/>
        <w:t>interviews</w:t>
      </w:r>
      <w:r>
        <w:rPr>
          <w:spacing w:val="-11"/>
        </w:rPr>
        <w:t> </w:t>
      </w:r>
      <w:r>
        <w:rPr/>
        <w:t>suggest</w:t>
      </w:r>
      <w:r>
        <w:rPr>
          <w:spacing w:val="-10"/>
        </w:rPr>
        <w:t> </w:t>
      </w:r>
      <w:r>
        <w:rPr/>
        <w:t>that</w:t>
      </w:r>
      <w:r>
        <w:rPr>
          <w:spacing w:val="-11"/>
        </w:rPr>
        <w:t> </w:t>
      </w:r>
      <w:r>
        <w:rPr/>
        <w:t>there</w:t>
      </w:r>
      <w:r>
        <w:rPr>
          <w:spacing w:val="-10"/>
        </w:rPr>
        <w:t> </w:t>
      </w:r>
      <w:r>
        <w:rPr/>
        <w:t>is</w:t>
      </w:r>
      <w:r>
        <w:rPr>
          <w:spacing w:val="-10"/>
        </w:rPr>
        <w:t> </w:t>
      </w:r>
      <w:r>
        <w:rPr/>
        <w:t>not</w:t>
      </w:r>
      <w:r>
        <w:rPr>
          <w:spacing w:val="-11"/>
        </w:rPr>
        <w:t> </w:t>
      </w:r>
      <w:r>
        <w:rPr/>
        <w:t>a</w:t>
      </w:r>
      <w:r>
        <w:rPr>
          <w:spacing w:val="-9"/>
        </w:rPr>
        <w:t> </w:t>
      </w:r>
      <w:r>
        <w:rPr/>
        <w:t>clear</w:t>
      </w:r>
      <w:r>
        <w:rPr>
          <w:spacing w:val="-11"/>
        </w:rPr>
        <w:t> </w:t>
      </w:r>
      <w:r>
        <w:rPr/>
        <w:t>or</w:t>
      </w:r>
      <w:r>
        <w:rPr>
          <w:spacing w:val="-11"/>
        </w:rPr>
        <w:t> </w:t>
      </w:r>
      <w:r>
        <w:rPr/>
        <w:t>uniform understanding</w:t>
      </w:r>
      <w:r>
        <w:rPr>
          <w:spacing w:val="-9"/>
        </w:rPr>
        <w:t> </w:t>
      </w:r>
      <w:r>
        <w:rPr/>
        <w:t>of</w:t>
      </w:r>
      <w:r>
        <w:rPr>
          <w:spacing w:val="-9"/>
        </w:rPr>
        <w:t> </w:t>
      </w:r>
      <w:r>
        <w:rPr/>
        <w:t>what</w:t>
      </w:r>
      <w:r>
        <w:rPr>
          <w:spacing w:val="-8"/>
        </w:rPr>
        <w:t> </w:t>
      </w:r>
      <w:r>
        <w:rPr/>
        <w:t>overdose</w:t>
      </w:r>
      <w:r>
        <w:rPr>
          <w:spacing w:val="-8"/>
        </w:rPr>
        <w:t> </w:t>
      </w:r>
      <w:r>
        <w:rPr/>
        <w:t>is</w:t>
      </w:r>
      <w:r>
        <w:rPr>
          <w:spacing w:val="-9"/>
        </w:rPr>
        <w:t> </w:t>
      </w:r>
      <w:r>
        <w:rPr/>
        <w:t>among</w:t>
      </w:r>
      <w:r>
        <w:rPr>
          <w:spacing w:val="-9"/>
        </w:rPr>
        <w:t> </w:t>
      </w:r>
      <w:r>
        <w:rPr/>
        <w:t>both</w:t>
      </w:r>
      <w:r>
        <w:rPr>
          <w:spacing w:val="-7"/>
        </w:rPr>
        <w:t> </w:t>
      </w:r>
      <w:r>
        <w:rPr/>
        <w:t>patients</w:t>
      </w:r>
      <w:r>
        <w:rPr>
          <w:spacing w:val="-9"/>
        </w:rPr>
        <w:t> </w:t>
      </w:r>
      <w:r>
        <w:rPr/>
        <w:t>and</w:t>
      </w:r>
      <w:r>
        <w:rPr>
          <w:spacing w:val="-9"/>
        </w:rPr>
        <w:t> </w:t>
      </w:r>
      <w:r>
        <w:rPr/>
        <w:t>pharmacists.</w:t>
      </w:r>
      <w:r>
        <w:rPr>
          <w:spacing w:val="-9"/>
        </w:rPr>
        <w:t> </w:t>
      </w:r>
      <w:r>
        <w:rPr/>
        <w:t>However,</w:t>
      </w:r>
      <w:r>
        <w:rPr>
          <w:spacing w:val="-9"/>
        </w:rPr>
        <w:t> </w:t>
      </w:r>
      <w:r>
        <w:rPr/>
        <w:t>it</w:t>
      </w:r>
      <w:r>
        <w:rPr>
          <w:spacing w:val="-9"/>
        </w:rPr>
        <w:t> </w:t>
      </w:r>
      <w:r>
        <w:rPr/>
        <w:t>is</w:t>
      </w:r>
      <w:r>
        <w:rPr>
          <w:spacing w:val="-9"/>
        </w:rPr>
        <w:t> </w:t>
      </w:r>
      <w:r>
        <w:rPr/>
        <w:t>clear from the amount of discussion around terminology, that language used in the context of prescription</w:t>
      </w:r>
      <w:r>
        <w:rPr>
          <w:spacing w:val="-12"/>
        </w:rPr>
        <w:t> </w:t>
      </w:r>
      <w:r>
        <w:rPr/>
        <w:t>opioids</w:t>
      </w:r>
      <w:r>
        <w:rPr>
          <w:spacing w:val="-11"/>
        </w:rPr>
        <w:t> </w:t>
      </w:r>
      <w:r>
        <w:rPr/>
        <w:t>is</w:t>
      </w:r>
      <w:r>
        <w:rPr>
          <w:spacing w:val="-11"/>
        </w:rPr>
        <w:t> </w:t>
      </w:r>
      <w:r>
        <w:rPr/>
        <w:t>critically</w:t>
      </w:r>
      <w:r>
        <w:rPr>
          <w:spacing w:val="-12"/>
        </w:rPr>
        <w:t> </w:t>
      </w:r>
      <w:r>
        <w:rPr/>
        <w:t>important</w:t>
      </w:r>
      <w:r>
        <w:rPr>
          <w:spacing w:val="-11"/>
        </w:rPr>
        <w:t> </w:t>
      </w:r>
      <w:r>
        <w:rPr/>
        <w:t>and</w:t>
      </w:r>
      <w:r>
        <w:rPr>
          <w:spacing w:val="-11"/>
        </w:rPr>
        <w:t> </w:t>
      </w:r>
      <w:r>
        <w:rPr/>
        <w:t>must</w:t>
      </w:r>
      <w:r>
        <w:rPr>
          <w:spacing w:val="-11"/>
        </w:rPr>
        <w:t> </w:t>
      </w:r>
      <w:r>
        <w:rPr/>
        <w:t>address</w:t>
      </w:r>
      <w:r>
        <w:rPr>
          <w:spacing w:val="-11"/>
        </w:rPr>
        <w:t> </w:t>
      </w:r>
      <w:r>
        <w:rPr/>
        <w:t>preconceptions</w:t>
      </w:r>
      <w:r>
        <w:rPr>
          <w:spacing w:val="-11"/>
        </w:rPr>
        <w:t> </w:t>
      </w:r>
      <w:r>
        <w:rPr/>
        <w:t>about</w:t>
      </w:r>
      <w:r>
        <w:rPr>
          <w:spacing w:val="-11"/>
        </w:rPr>
        <w:t> </w:t>
      </w:r>
      <w:r>
        <w:rPr/>
        <w:t>the</w:t>
      </w:r>
      <w:r>
        <w:rPr>
          <w:spacing w:val="-10"/>
        </w:rPr>
        <w:t> </w:t>
      </w:r>
      <w:r>
        <w:rPr/>
        <w:t>nature of</w:t>
      </w:r>
      <w:r>
        <w:rPr>
          <w:spacing w:val="-6"/>
        </w:rPr>
        <w:t> </w:t>
      </w:r>
      <w:r>
        <w:rPr/>
        <w:t>‘overdose’.</w:t>
      </w:r>
    </w:p>
    <w:p>
      <w:pPr>
        <w:pStyle w:val="BodyText"/>
      </w:pPr>
    </w:p>
    <w:p>
      <w:pPr>
        <w:pStyle w:val="Heading2"/>
      </w:pPr>
      <w:r>
        <w:rPr/>
        <w:t>Pharmacist knowledge of naloxone</w:t>
      </w:r>
    </w:p>
    <w:p>
      <w:pPr>
        <w:pStyle w:val="BodyText"/>
        <w:spacing w:before="11"/>
        <w:rPr>
          <w:b/>
          <w:sz w:val="23"/>
        </w:rPr>
      </w:pPr>
    </w:p>
    <w:p>
      <w:pPr>
        <w:pStyle w:val="BodyText"/>
        <w:ind w:left="119" w:right="117"/>
        <w:jc w:val="both"/>
      </w:pPr>
      <w:r>
        <w:rPr/>
        <w:t>Although most pharmacists were aware of what naloxone is and how it works, there were lower</w:t>
      </w:r>
      <w:r>
        <w:rPr>
          <w:spacing w:val="-5"/>
        </w:rPr>
        <w:t> </w:t>
      </w:r>
      <w:r>
        <w:rPr/>
        <w:t>levels</w:t>
      </w:r>
      <w:r>
        <w:rPr>
          <w:spacing w:val="-7"/>
        </w:rPr>
        <w:t> </w:t>
      </w:r>
      <w:r>
        <w:rPr/>
        <w:t>of</w:t>
      </w:r>
      <w:r>
        <w:rPr>
          <w:spacing w:val="-5"/>
        </w:rPr>
        <w:t> </w:t>
      </w:r>
      <w:r>
        <w:rPr/>
        <w:t>knowledge</w:t>
      </w:r>
      <w:r>
        <w:rPr>
          <w:spacing w:val="-5"/>
        </w:rPr>
        <w:t> </w:t>
      </w:r>
      <w:r>
        <w:rPr/>
        <w:t>regarding</w:t>
      </w:r>
      <w:r>
        <w:rPr>
          <w:spacing w:val="-7"/>
        </w:rPr>
        <w:t> </w:t>
      </w:r>
      <w:r>
        <w:rPr/>
        <w:t>the</w:t>
      </w:r>
      <w:r>
        <w:rPr>
          <w:spacing w:val="-5"/>
        </w:rPr>
        <w:t> </w:t>
      </w:r>
      <w:r>
        <w:rPr/>
        <w:t>practicalities</w:t>
      </w:r>
      <w:r>
        <w:rPr>
          <w:spacing w:val="-5"/>
        </w:rPr>
        <w:t> </w:t>
      </w:r>
      <w:r>
        <w:rPr/>
        <w:t>of</w:t>
      </w:r>
      <w:r>
        <w:rPr>
          <w:spacing w:val="-5"/>
        </w:rPr>
        <w:t> </w:t>
      </w:r>
      <w:r>
        <w:rPr/>
        <w:t>naloxone.</w:t>
      </w:r>
      <w:r>
        <w:rPr>
          <w:spacing w:val="-6"/>
        </w:rPr>
        <w:t> </w:t>
      </w:r>
      <w:r>
        <w:rPr/>
        <w:t>Most</w:t>
      </w:r>
      <w:r>
        <w:rPr>
          <w:spacing w:val="-4"/>
        </w:rPr>
        <w:t> </w:t>
      </w:r>
      <w:r>
        <w:rPr/>
        <w:t>pharmacists</w:t>
      </w:r>
      <w:r>
        <w:rPr>
          <w:spacing w:val="-7"/>
        </w:rPr>
        <w:t> </w:t>
      </w:r>
      <w:r>
        <w:rPr/>
        <w:t>worked in pharmacies that did not stock naloxone, and not all pharmacies were aware that it is available over the counter. Although most pharmacists were aware of naloxone as an injection, only half (n=5, 55.6%) knew that naloxone was available as a nasal</w:t>
      </w:r>
      <w:r>
        <w:rPr>
          <w:spacing w:val="-30"/>
        </w:rPr>
        <w:t> </w:t>
      </w:r>
      <w:r>
        <w:rPr/>
        <w:t>spray.</w:t>
      </w:r>
    </w:p>
    <w:p>
      <w:pPr>
        <w:pStyle w:val="BodyText"/>
        <w:spacing w:before="11"/>
        <w:rPr>
          <w:sz w:val="23"/>
        </w:rPr>
      </w:pPr>
    </w:p>
    <w:p>
      <w:pPr>
        <w:pStyle w:val="Heading2"/>
        <w:ind w:left="120"/>
      </w:pPr>
      <w:r>
        <w:rPr/>
        <w:t>Factors influencing the provision of naloxone and overdose prevention information</w:t>
      </w:r>
    </w:p>
    <w:p>
      <w:pPr>
        <w:pStyle w:val="BodyText"/>
        <w:spacing w:before="11"/>
        <w:rPr>
          <w:b/>
          <w:sz w:val="23"/>
        </w:rPr>
      </w:pPr>
    </w:p>
    <w:p>
      <w:pPr>
        <w:pStyle w:val="BodyText"/>
        <w:ind w:left="120" w:right="117"/>
        <w:jc w:val="both"/>
      </w:pPr>
      <w:r>
        <w:rPr/>
        <w:t>Very</w:t>
      </w:r>
      <w:r>
        <w:rPr>
          <w:spacing w:val="-6"/>
        </w:rPr>
        <w:t> </w:t>
      </w:r>
      <w:r>
        <w:rPr/>
        <w:t>few</w:t>
      </w:r>
      <w:r>
        <w:rPr>
          <w:spacing w:val="-7"/>
        </w:rPr>
        <w:t> </w:t>
      </w:r>
      <w:r>
        <w:rPr/>
        <w:t>pharmacists</w:t>
      </w:r>
      <w:r>
        <w:rPr>
          <w:spacing w:val="-8"/>
        </w:rPr>
        <w:t> </w:t>
      </w:r>
      <w:r>
        <w:rPr/>
        <w:t>reported</w:t>
      </w:r>
      <w:r>
        <w:rPr>
          <w:spacing w:val="-6"/>
        </w:rPr>
        <w:t> </w:t>
      </w:r>
      <w:r>
        <w:rPr/>
        <w:t>discussing</w:t>
      </w:r>
      <w:r>
        <w:rPr>
          <w:spacing w:val="-6"/>
        </w:rPr>
        <w:t> </w:t>
      </w:r>
      <w:r>
        <w:rPr/>
        <w:t>naloxone</w:t>
      </w:r>
      <w:r>
        <w:rPr>
          <w:spacing w:val="-6"/>
        </w:rPr>
        <w:t> </w:t>
      </w:r>
      <w:r>
        <w:rPr/>
        <w:t>with</w:t>
      </w:r>
      <w:r>
        <w:rPr>
          <w:spacing w:val="-6"/>
        </w:rPr>
        <w:t> </w:t>
      </w:r>
      <w:r>
        <w:rPr/>
        <w:t>patients,</w:t>
      </w:r>
      <w:r>
        <w:rPr>
          <w:spacing w:val="-6"/>
        </w:rPr>
        <w:t> </w:t>
      </w:r>
      <w:r>
        <w:rPr/>
        <w:t>largely</w:t>
      </w:r>
      <w:r>
        <w:rPr>
          <w:spacing w:val="-7"/>
        </w:rPr>
        <w:t> </w:t>
      </w:r>
      <w:r>
        <w:rPr/>
        <w:t>due</w:t>
      </w:r>
      <w:r>
        <w:rPr>
          <w:spacing w:val="-6"/>
        </w:rPr>
        <w:t> </w:t>
      </w:r>
      <w:r>
        <w:rPr/>
        <w:t>to</w:t>
      </w:r>
      <w:r>
        <w:rPr>
          <w:spacing w:val="-7"/>
        </w:rPr>
        <w:t> </w:t>
      </w:r>
      <w:r>
        <w:rPr/>
        <w:t>the</w:t>
      </w:r>
      <w:r>
        <w:rPr>
          <w:spacing w:val="-6"/>
        </w:rPr>
        <w:t> </w:t>
      </w:r>
      <w:r>
        <w:rPr/>
        <w:t>fact</w:t>
      </w:r>
      <w:r>
        <w:rPr>
          <w:spacing w:val="-6"/>
        </w:rPr>
        <w:t> </w:t>
      </w:r>
      <w:r>
        <w:rPr/>
        <w:t>that most pharmacists reported that their pharmacies did not stock naloxone. In those pharmacists who had discussed naloxone, it was rare that patients took home naloxone. To better understand the low uptake in both pharmacists and patients, we asked pharmacists about the barriers to providing patients with</w:t>
      </w:r>
      <w:r>
        <w:rPr>
          <w:spacing w:val="-22"/>
        </w:rPr>
        <w:t> </w:t>
      </w:r>
      <w:r>
        <w:rPr/>
        <w:t>naloxone.</w:t>
      </w:r>
    </w:p>
    <w:p>
      <w:pPr>
        <w:pStyle w:val="BodyText"/>
        <w:spacing w:before="11"/>
        <w:rPr>
          <w:sz w:val="23"/>
        </w:rPr>
      </w:pPr>
    </w:p>
    <w:p>
      <w:pPr>
        <w:spacing w:before="0"/>
        <w:ind w:left="120" w:right="0" w:firstLine="0"/>
        <w:jc w:val="both"/>
        <w:rPr>
          <w:i/>
          <w:sz w:val="24"/>
        </w:rPr>
      </w:pPr>
      <w:r>
        <w:rPr>
          <w:i/>
          <w:sz w:val="24"/>
        </w:rPr>
        <w:t>Priorities</w:t>
      </w:r>
    </w:p>
    <w:p>
      <w:pPr>
        <w:pStyle w:val="BodyText"/>
        <w:spacing w:before="11"/>
        <w:rPr>
          <w:i/>
          <w:sz w:val="23"/>
        </w:rPr>
      </w:pPr>
    </w:p>
    <w:p>
      <w:pPr>
        <w:pStyle w:val="BodyText"/>
        <w:ind w:left="120" w:right="118"/>
        <w:jc w:val="both"/>
      </w:pPr>
      <w:r>
        <w:rPr/>
        <w:t>Discussing overdose with chronic pain patients was largely considered to be a low priority, compared</w:t>
      </w:r>
      <w:r>
        <w:rPr>
          <w:spacing w:val="-12"/>
        </w:rPr>
        <w:t> </w:t>
      </w:r>
      <w:r>
        <w:rPr/>
        <w:t>to</w:t>
      </w:r>
      <w:r>
        <w:rPr>
          <w:spacing w:val="-13"/>
        </w:rPr>
        <w:t> </w:t>
      </w:r>
      <w:r>
        <w:rPr/>
        <w:t>addiction</w:t>
      </w:r>
      <w:r>
        <w:rPr>
          <w:spacing w:val="-11"/>
        </w:rPr>
        <w:t> </w:t>
      </w:r>
      <w:r>
        <w:rPr/>
        <w:t>potential</w:t>
      </w:r>
      <w:r>
        <w:rPr>
          <w:spacing w:val="-12"/>
        </w:rPr>
        <w:t> </w:t>
      </w:r>
      <w:r>
        <w:rPr/>
        <w:t>or</w:t>
      </w:r>
      <w:r>
        <w:rPr>
          <w:spacing w:val="-12"/>
        </w:rPr>
        <w:t> </w:t>
      </w:r>
      <w:r>
        <w:rPr/>
        <w:t>other</w:t>
      </w:r>
      <w:r>
        <w:rPr>
          <w:spacing w:val="-12"/>
        </w:rPr>
        <w:t> </w:t>
      </w:r>
      <w:r>
        <w:rPr/>
        <w:t>side</w:t>
      </w:r>
      <w:r>
        <w:rPr>
          <w:spacing w:val="-12"/>
        </w:rPr>
        <w:t> </w:t>
      </w:r>
      <w:r>
        <w:rPr/>
        <w:t>effects.</w:t>
      </w:r>
      <w:r>
        <w:rPr>
          <w:spacing w:val="-13"/>
        </w:rPr>
        <w:t> </w:t>
      </w:r>
      <w:r>
        <w:rPr/>
        <w:t>A</w:t>
      </w:r>
      <w:r>
        <w:rPr>
          <w:spacing w:val="-12"/>
        </w:rPr>
        <w:t> </w:t>
      </w:r>
      <w:r>
        <w:rPr/>
        <w:t>common</w:t>
      </w:r>
      <w:r>
        <w:rPr>
          <w:spacing w:val="-12"/>
        </w:rPr>
        <w:t> </w:t>
      </w:r>
      <w:r>
        <w:rPr/>
        <w:t>sentiment</w:t>
      </w:r>
      <w:r>
        <w:rPr>
          <w:spacing w:val="-12"/>
        </w:rPr>
        <w:t> </w:t>
      </w:r>
      <w:r>
        <w:rPr/>
        <w:t>was</w:t>
      </w:r>
      <w:r>
        <w:rPr>
          <w:spacing w:val="-12"/>
        </w:rPr>
        <w:t> </w:t>
      </w:r>
      <w:r>
        <w:rPr/>
        <w:t>that</w:t>
      </w:r>
      <w:r>
        <w:rPr>
          <w:spacing w:val="-12"/>
        </w:rPr>
        <w:t> </w:t>
      </w:r>
      <w:r>
        <w:rPr/>
        <w:t>patients typically retain only a few key points of information, making it important to communicate only the most relevant information. A key target for this intervention would be to increase pharmacists’ perceptions of the importance of overdose prevention and</w:t>
      </w:r>
      <w:r>
        <w:rPr>
          <w:spacing w:val="-34"/>
        </w:rPr>
        <w:t> </w:t>
      </w:r>
      <w:r>
        <w:rPr/>
        <w:t>naloxone.</w:t>
      </w:r>
    </w:p>
    <w:p>
      <w:pPr>
        <w:spacing w:after="0"/>
        <w:jc w:val="both"/>
        <w:sectPr>
          <w:pgSz w:w="11910" w:h="16840"/>
          <w:pgMar w:header="0" w:footer="1302" w:top="1480" w:bottom="1520" w:left="1320" w:right="1320"/>
        </w:sectPr>
      </w:pPr>
    </w:p>
    <w:p>
      <w:pPr>
        <w:spacing w:before="37"/>
        <w:ind w:left="119" w:right="0" w:firstLine="0"/>
        <w:jc w:val="both"/>
        <w:rPr>
          <w:i/>
          <w:sz w:val="24"/>
        </w:rPr>
      </w:pPr>
      <w:r>
        <w:rPr>
          <w:i/>
          <w:sz w:val="24"/>
        </w:rPr>
        <w:t>Patient receptiveness</w:t>
      </w:r>
    </w:p>
    <w:p>
      <w:pPr>
        <w:pStyle w:val="BodyText"/>
        <w:spacing w:before="11"/>
        <w:rPr>
          <w:i/>
          <w:sz w:val="23"/>
        </w:rPr>
      </w:pPr>
    </w:p>
    <w:p>
      <w:pPr>
        <w:pStyle w:val="BodyText"/>
        <w:ind w:left="119" w:right="116"/>
        <w:jc w:val="both"/>
      </w:pPr>
      <w:r>
        <w:rPr/>
        <w:t>Resistance from patients was often cited as a reason for not discussing naloxone. This included patients who did not want to discuss overdose or naloxone and patients who are perceived</w:t>
      </w:r>
      <w:r>
        <w:rPr>
          <w:spacing w:val="-13"/>
        </w:rPr>
        <w:t> </w:t>
      </w:r>
      <w:r>
        <w:rPr/>
        <w:t>to</w:t>
      </w:r>
      <w:r>
        <w:rPr>
          <w:spacing w:val="-14"/>
        </w:rPr>
        <w:t> </w:t>
      </w:r>
      <w:r>
        <w:rPr/>
        <w:t>be</w:t>
      </w:r>
      <w:r>
        <w:rPr>
          <w:spacing w:val="-13"/>
        </w:rPr>
        <w:t> </w:t>
      </w:r>
      <w:r>
        <w:rPr/>
        <w:t>‘difficult’</w:t>
      </w:r>
      <w:r>
        <w:rPr>
          <w:spacing w:val="-13"/>
        </w:rPr>
        <w:t> </w:t>
      </w:r>
      <w:r>
        <w:rPr/>
        <w:t>(i.e.</w:t>
      </w:r>
      <w:r>
        <w:rPr>
          <w:spacing w:val="-14"/>
        </w:rPr>
        <w:t> </w:t>
      </w:r>
      <w:r>
        <w:rPr/>
        <w:t>exhibiting</w:t>
      </w:r>
      <w:r>
        <w:rPr>
          <w:spacing w:val="-14"/>
        </w:rPr>
        <w:t> </w:t>
      </w:r>
      <w:r>
        <w:rPr/>
        <w:t>defensive</w:t>
      </w:r>
      <w:r>
        <w:rPr>
          <w:spacing w:val="-13"/>
        </w:rPr>
        <w:t> </w:t>
      </w:r>
      <w:r>
        <w:rPr/>
        <w:t>or</w:t>
      </w:r>
      <w:r>
        <w:rPr>
          <w:spacing w:val="-12"/>
        </w:rPr>
        <w:t> </w:t>
      </w:r>
      <w:r>
        <w:rPr/>
        <w:t>confrontational</w:t>
      </w:r>
      <w:r>
        <w:rPr>
          <w:spacing w:val="-13"/>
        </w:rPr>
        <w:t> </w:t>
      </w:r>
      <w:r>
        <w:rPr/>
        <w:t>behaviour).</w:t>
      </w:r>
      <w:r>
        <w:rPr>
          <w:spacing w:val="-13"/>
        </w:rPr>
        <w:t> </w:t>
      </w:r>
      <w:r>
        <w:rPr/>
        <w:t>Pharmacists also raised that patients were often less receptive to receiving advice from pharmacists than their</w:t>
      </w:r>
      <w:r>
        <w:rPr>
          <w:spacing w:val="-6"/>
        </w:rPr>
        <w:t> </w:t>
      </w:r>
      <w:r>
        <w:rPr/>
        <w:t>GPs,</w:t>
      </w:r>
      <w:r>
        <w:rPr>
          <w:spacing w:val="-6"/>
        </w:rPr>
        <w:t> </w:t>
      </w:r>
      <w:r>
        <w:rPr/>
        <w:t>especially</w:t>
      </w:r>
      <w:r>
        <w:rPr>
          <w:spacing w:val="-6"/>
        </w:rPr>
        <w:t> </w:t>
      </w:r>
      <w:r>
        <w:rPr/>
        <w:t>where</w:t>
      </w:r>
      <w:r>
        <w:rPr>
          <w:spacing w:val="-6"/>
        </w:rPr>
        <w:t> </w:t>
      </w:r>
      <w:r>
        <w:rPr/>
        <w:t>there</w:t>
      </w:r>
      <w:r>
        <w:rPr>
          <w:spacing w:val="-6"/>
        </w:rPr>
        <w:t> </w:t>
      </w:r>
      <w:r>
        <w:rPr/>
        <w:t>was</w:t>
      </w:r>
      <w:r>
        <w:rPr>
          <w:spacing w:val="-8"/>
        </w:rPr>
        <w:t> </w:t>
      </w:r>
      <w:r>
        <w:rPr/>
        <w:t>conflicting</w:t>
      </w:r>
      <w:r>
        <w:rPr>
          <w:spacing w:val="-5"/>
        </w:rPr>
        <w:t> </w:t>
      </w:r>
      <w:r>
        <w:rPr/>
        <w:t>advice.</w:t>
      </w:r>
      <w:r>
        <w:rPr>
          <w:spacing w:val="-7"/>
        </w:rPr>
        <w:t> </w:t>
      </w:r>
      <w:r>
        <w:rPr/>
        <w:t>Multiple</w:t>
      </w:r>
      <w:r>
        <w:rPr>
          <w:spacing w:val="-6"/>
        </w:rPr>
        <w:t> </w:t>
      </w:r>
      <w:r>
        <w:rPr/>
        <w:t>pharmacists</w:t>
      </w:r>
      <w:r>
        <w:rPr>
          <w:spacing w:val="-7"/>
        </w:rPr>
        <w:t> </w:t>
      </w:r>
      <w:r>
        <w:rPr/>
        <w:t>expressed</w:t>
      </w:r>
      <w:r>
        <w:rPr>
          <w:spacing w:val="-6"/>
        </w:rPr>
        <w:t> </w:t>
      </w:r>
      <w:r>
        <w:rPr/>
        <w:t>that they</w:t>
      </w:r>
      <w:r>
        <w:rPr>
          <w:spacing w:val="-10"/>
        </w:rPr>
        <w:t> </w:t>
      </w:r>
      <w:r>
        <w:rPr/>
        <w:t>were</w:t>
      </w:r>
      <w:r>
        <w:rPr>
          <w:spacing w:val="-10"/>
        </w:rPr>
        <w:t> </w:t>
      </w:r>
      <w:r>
        <w:rPr/>
        <w:t>often</w:t>
      </w:r>
      <w:r>
        <w:rPr>
          <w:spacing w:val="-11"/>
        </w:rPr>
        <w:t> </w:t>
      </w:r>
      <w:r>
        <w:rPr/>
        <w:t>seen</w:t>
      </w:r>
      <w:r>
        <w:rPr>
          <w:spacing w:val="-11"/>
        </w:rPr>
        <w:t> </w:t>
      </w:r>
      <w:r>
        <w:rPr/>
        <w:t>as</w:t>
      </w:r>
      <w:r>
        <w:rPr>
          <w:spacing w:val="-11"/>
        </w:rPr>
        <w:t> </w:t>
      </w:r>
      <w:r>
        <w:rPr/>
        <w:t>‘shopkeepers’,</w:t>
      </w:r>
      <w:r>
        <w:rPr>
          <w:spacing w:val="-11"/>
        </w:rPr>
        <w:t> </w:t>
      </w:r>
      <w:r>
        <w:rPr/>
        <w:t>while</w:t>
      </w:r>
      <w:r>
        <w:rPr>
          <w:spacing w:val="-10"/>
        </w:rPr>
        <w:t> </w:t>
      </w:r>
      <w:r>
        <w:rPr/>
        <w:t>GPs</w:t>
      </w:r>
      <w:r>
        <w:rPr>
          <w:spacing w:val="-11"/>
        </w:rPr>
        <w:t> </w:t>
      </w:r>
      <w:r>
        <w:rPr/>
        <w:t>have</w:t>
      </w:r>
      <w:r>
        <w:rPr>
          <w:spacing w:val="-10"/>
        </w:rPr>
        <w:t> </w:t>
      </w:r>
      <w:r>
        <w:rPr/>
        <w:t>a</w:t>
      </w:r>
      <w:r>
        <w:rPr>
          <w:spacing w:val="-11"/>
        </w:rPr>
        <w:t> </w:t>
      </w:r>
      <w:r>
        <w:rPr/>
        <w:t>‘counselling’</w:t>
      </w:r>
      <w:r>
        <w:rPr>
          <w:spacing w:val="-11"/>
        </w:rPr>
        <w:t> </w:t>
      </w:r>
      <w:r>
        <w:rPr/>
        <w:t>role.</w:t>
      </w:r>
      <w:r>
        <w:rPr>
          <w:spacing w:val="-12"/>
        </w:rPr>
        <w:t> </w:t>
      </w:r>
      <w:r>
        <w:rPr/>
        <w:t>Some</w:t>
      </w:r>
      <w:r>
        <w:rPr>
          <w:spacing w:val="-10"/>
        </w:rPr>
        <w:t> </w:t>
      </w:r>
      <w:r>
        <w:rPr/>
        <w:t>pharmacists expressed concern that conflicting advice could cause tension in the relationship between patient-pharmacist-GP, potentially compromising the patient’s</w:t>
      </w:r>
      <w:r>
        <w:rPr>
          <w:spacing w:val="-30"/>
        </w:rPr>
        <w:t> </w:t>
      </w:r>
      <w:r>
        <w:rPr/>
        <w:t>treatment.</w:t>
      </w:r>
    </w:p>
    <w:p>
      <w:pPr>
        <w:pStyle w:val="BodyText"/>
        <w:spacing w:before="11"/>
        <w:rPr>
          <w:sz w:val="23"/>
        </w:rPr>
      </w:pPr>
    </w:p>
    <w:p>
      <w:pPr>
        <w:spacing w:before="0"/>
        <w:ind w:left="119" w:right="0" w:firstLine="0"/>
        <w:jc w:val="both"/>
        <w:rPr>
          <w:i/>
          <w:sz w:val="24"/>
        </w:rPr>
      </w:pPr>
      <w:r>
        <w:rPr>
          <w:i/>
          <w:sz w:val="24"/>
        </w:rPr>
        <w:t>Sensitivity</w:t>
      </w:r>
    </w:p>
    <w:p>
      <w:pPr>
        <w:pStyle w:val="BodyText"/>
        <w:rPr>
          <w:i/>
        </w:rPr>
      </w:pPr>
    </w:p>
    <w:p>
      <w:pPr>
        <w:pStyle w:val="BodyText"/>
        <w:ind w:left="119" w:right="116"/>
        <w:jc w:val="both"/>
      </w:pPr>
      <w:r>
        <w:rPr/>
        <w:t>A common concern from pharmacists was dealing with the sensitive nature of conversations around overdose and naloxone. Stigma was a common theme throughout the interviews, serving as a major barrier to discussing these topics, as well as concerns about exacerbating a patient’s fear of overdose. This requires pharmacists to ‘break down barriers’ in their conversations with clients, so that patients are receptive to conversations. One pharmacist highlighted</w:t>
      </w:r>
      <w:r>
        <w:rPr>
          <w:spacing w:val="-11"/>
        </w:rPr>
        <w:t> </w:t>
      </w:r>
      <w:r>
        <w:rPr/>
        <w:t>that</w:t>
      </w:r>
      <w:r>
        <w:rPr>
          <w:spacing w:val="-11"/>
        </w:rPr>
        <w:t> </w:t>
      </w:r>
      <w:r>
        <w:rPr/>
        <w:t>this</w:t>
      </w:r>
      <w:r>
        <w:rPr>
          <w:spacing w:val="-11"/>
        </w:rPr>
        <w:t> </w:t>
      </w:r>
      <w:r>
        <w:rPr/>
        <w:t>was</w:t>
      </w:r>
      <w:r>
        <w:rPr>
          <w:spacing w:val="-10"/>
        </w:rPr>
        <w:t> </w:t>
      </w:r>
      <w:r>
        <w:rPr/>
        <w:t>more</w:t>
      </w:r>
      <w:r>
        <w:rPr>
          <w:spacing w:val="-10"/>
        </w:rPr>
        <w:t> </w:t>
      </w:r>
      <w:r>
        <w:rPr/>
        <w:t>challenging</w:t>
      </w:r>
      <w:r>
        <w:rPr>
          <w:spacing w:val="-11"/>
        </w:rPr>
        <w:t> </w:t>
      </w:r>
      <w:r>
        <w:rPr/>
        <w:t>among</w:t>
      </w:r>
      <w:r>
        <w:rPr>
          <w:spacing w:val="-11"/>
        </w:rPr>
        <w:t> </w:t>
      </w:r>
      <w:r>
        <w:rPr/>
        <w:t>some</w:t>
      </w:r>
      <w:r>
        <w:rPr>
          <w:spacing w:val="-10"/>
        </w:rPr>
        <w:t> </w:t>
      </w:r>
      <w:r>
        <w:rPr/>
        <w:t>demographic</w:t>
      </w:r>
      <w:r>
        <w:rPr>
          <w:spacing w:val="-10"/>
        </w:rPr>
        <w:t> </w:t>
      </w:r>
      <w:r>
        <w:rPr/>
        <w:t>groups,</w:t>
      </w:r>
      <w:r>
        <w:rPr>
          <w:spacing w:val="-11"/>
        </w:rPr>
        <w:t> </w:t>
      </w:r>
      <w:r>
        <w:rPr/>
        <w:t>including</w:t>
      </w:r>
      <w:r>
        <w:rPr>
          <w:spacing w:val="-11"/>
        </w:rPr>
        <w:t> </w:t>
      </w:r>
      <w:r>
        <w:rPr/>
        <w:t>those from cultural backgrounds which may have greater stigma around overdose. Some pharmacists were concerned that patients could feel profiled if approached about naloxone. It is possible that this concern is reinforced by the fact that many pharmacists do actively profile patients when deciding whether to offer</w:t>
      </w:r>
      <w:r>
        <w:rPr>
          <w:spacing w:val="-24"/>
        </w:rPr>
        <w:t> </w:t>
      </w:r>
      <w:r>
        <w:rPr/>
        <w:t>naloxone.</w:t>
      </w:r>
    </w:p>
    <w:p>
      <w:pPr>
        <w:pStyle w:val="BodyText"/>
        <w:spacing w:before="11"/>
        <w:rPr>
          <w:sz w:val="23"/>
        </w:rPr>
      </w:pPr>
    </w:p>
    <w:p>
      <w:pPr>
        <w:spacing w:before="0"/>
        <w:ind w:left="119" w:right="0" w:firstLine="0"/>
        <w:jc w:val="both"/>
        <w:rPr>
          <w:i/>
          <w:sz w:val="24"/>
        </w:rPr>
      </w:pPr>
      <w:r>
        <w:rPr>
          <w:i/>
          <w:sz w:val="24"/>
        </w:rPr>
        <w:t>Appropriateness for patient</w:t>
      </w:r>
    </w:p>
    <w:p>
      <w:pPr>
        <w:pStyle w:val="BodyText"/>
        <w:rPr>
          <w:i/>
        </w:rPr>
      </w:pPr>
    </w:p>
    <w:p>
      <w:pPr>
        <w:pStyle w:val="BodyText"/>
        <w:ind w:left="119" w:right="116"/>
        <w:jc w:val="both"/>
      </w:pPr>
      <w:r>
        <w:rPr/>
        <w:t>Pharmacists described making decisions about whether it was appropriate or necessary to discuss overdose and naloxone with individual patients. Pharmacists described a variety of factors considered in this decision, including: the patient’s capability to effectively use naloxone,</w:t>
      </w:r>
      <w:r>
        <w:rPr>
          <w:spacing w:val="-16"/>
        </w:rPr>
        <w:t> </w:t>
      </w:r>
      <w:r>
        <w:rPr/>
        <w:t>the</w:t>
      </w:r>
      <w:r>
        <w:rPr>
          <w:spacing w:val="-15"/>
        </w:rPr>
        <w:t> </w:t>
      </w:r>
      <w:r>
        <w:rPr/>
        <w:t>cost</w:t>
      </w:r>
      <w:r>
        <w:rPr>
          <w:spacing w:val="-16"/>
        </w:rPr>
        <w:t> </w:t>
      </w:r>
      <w:r>
        <w:rPr/>
        <w:t>of</w:t>
      </w:r>
      <w:r>
        <w:rPr>
          <w:spacing w:val="-16"/>
        </w:rPr>
        <w:t> </w:t>
      </w:r>
      <w:r>
        <w:rPr/>
        <w:t>naloxone</w:t>
      </w:r>
      <w:r>
        <w:rPr>
          <w:spacing w:val="-15"/>
        </w:rPr>
        <w:t> </w:t>
      </w:r>
      <w:r>
        <w:rPr/>
        <w:t>(which</w:t>
      </w:r>
      <w:r>
        <w:rPr>
          <w:spacing w:val="-16"/>
        </w:rPr>
        <w:t> </w:t>
      </w:r>
      <w:r>
        <w:rPr/>
        <w:t>was</w:t>
      </w:r>
      <w:r>
        <w:rPr>
          <w:spacing w:val="-16"/>
        </w:rPr>
        <w:t> </w:t>
      </w:r>
      <w:r>
        <w:rPr/>
        <w:t>perceived</w:t>
      </w:r>
      <w:r>
        <w:rPr>
          <w:spacing w:val="-16"/>
        </w:rPr>
        <w:t> </w:t>
      </w:r>
      <w:r>
        <w:rPr/>
        <w:t>to</w:t>
      </w:r>
      <w:r>
        <w:rPr>
          <w:spacing w:val="-17"/>
        </w:rPr>
        <w:t> </w:t>
      </w:r>
      <w:r>
        <w:rPr/>
        <w:t>be</w:t>
      </w:r>
      <w:r>
        <w:rPr>
          <w:spacing w:val="-15"/>
        </w:rPr>
        <w:t> </w:t>
      </w:r>
      <w:r>
        <w:rPr/>
        <w:t>unaffordable</w:t>
      </w:r>
      <w:r>
        <w:rPr>
          <w:spacing w:val="-15"/>
        </w:rPr>
        <w:t> </w:t>
      </w:r>
      <w:r>
        <w:rPr/>
        <w:t>for</w:t>
      </w:r>
      <w:r>
        <w:rPr>
          <w:spacing w:val="-16"/>
        </w:rPr>
        <w:t> </w:t>
      </w:r>
      <w:r>
        <w:rPr/>
        <w:t>many),</w:t>
      </w:r>
      <w:r>
        <w:rPr>
          <w:spacing w:val="-16"/>
        </w:rPr>
        <w:t> </w:t>
      </w:r>
      <w:r>
        <w:rPr/>
        <w:t>the</w:t>
      </w:r>
      <w:r>
        <w:rPr>
          <w:spacing w:val="-15"/>
        </w:rPr>
        <w:t> </w:t>
      </w:r>
      <w:r>
        <w:rPr/>
        <w:t>format of</w:t>
      </w:r>
      <w:r>
        <w:rPr>
          <w:spacing w:val="-15"/>
        </w:rPr>
        <w:t> </w:t>
      </w:r>
      <w:r>
        <w:rPr/>
        <w:t>naloxone</w:t>
      </w:r>
      <w:r>
        <w:rPr>
          <w:spacing w:val="-13"/>
        </w:rPr>
        <w:t> </w:t>
      </w:r>
      <w:r>
        <w:rPr/>
        <w:t>(injection</w:t>
      </w:r>
      <w:r>
        <w:rPr>
          <w:spacing w:val="-15"/>
        </w:rPr>
        <w:t> </w:t>
      </w:r>
      <w:r>
        <w:rPr/>
        <w:t>was</w:t>
      </w:r>
      <w:r>
        <w:rPr>
          <w:spacing w:val="-15"/>
        </w:rPr>
        <w:t> </w:t>
      </w:r>
      <w:r>
        <w:rPr/>
        <w:t>considered</w:t>
      </w:r>
      <w:r>
        <w:rPr>
          <w:spacing w:val="-15"/>
        </w:rPr>
        <w:t> </w:t>
      </w:r>
      <w:r>
        <w:rPr/>
        <w:t>a</w:t>
      </w:r>
      <w:r>
        <w:rPr>
          <w:spacing w:val="-14"/>
        </w:rPr>
        <w:t> </w:t>
      </w:r>
      <w:r>
        <w:rPr/>
        <w:t>major</w:t>
      </w:r>
      <w:r>
        <w:rPr>
          <w:spacing w:val="-14"/>
        </w:rPr>
        <w:t> </w:t>
      </w:r>
      <w:r>
        <w:rPr/>
        <w:t>barrier</w:t>
      </w:r>
      <w:r>
        <w:rPr>
          <w:spacing w:val="-14"/>
        </w:rPr>
        <w:t> </w:t>
      </w:r>
      <w:r>
        <w:rPr/>
        <w:t>to</w:t>
      </w:r>
      <w:r>
        <w:rPr>
          <w:spacing w:val="-15"/>
        </w:rPr>
        <w:t> </w:t>
      </w:r>
      <w:r>
        <w:rPr/>
        <w:t>uptake).</w:t>
      </w:r>
      <w:r>
        <w:rPr>
          <w:spacing w:val="-15"/>
        </w:rPr>
        <w:t> </w:t>
      </w:r>
      <w:r>
        <w:rPr/>
        <w:t>However,</w:t>
      </w:r>
      <w:r>
        <w:rPr>
          <w:spacing w:val="-15"/>
        </w:rPr>
        <w:t> </w:t>
      </w:r>
      <w:r>
        <w:rPr/>
        <w:t>the</w:t>
      </w:r>
      <w:r>
        <w:rPr>
          <w:spacing w:val="-14"/>
        </w:rPr>
        <w:t> </w:t>
      </w:r>
      <w:r>
        <w:rPr/>
        <w:t>most</w:t>
      </w:r>
      <w:r>
        <w:rPr>
          <w:spacing w:val="-15"/>
        </w:rPr>
        <w:t> </w:t>
      </w:r>
      <w:r>
        <w:rPr/>
        <w:t>common factor was whether the patient was considered ‘high risk’. As shown in Table 5, risk factors for overdose are not always consistent or accurate between pharmacists. Therefore, providing information on how to identify risk in patients may be useful in guiding pharmacist decisions.</w:t>
      </w:r>
    </w:p>
    <w:p>
      <w:pPr>
        <w:pStyle w:val="BodyText"/>
        <w:spacing w:before="11"/>
        <w:rPr>
          <w:sz w:val="23"/>
        </w:rPr>
      </w:pPr>
    </w:p>
    <w:p>
      <w:pPr>
        <w:spacing w:before="0"/>
        <w:ind w:left="119" w:right="0" w:firstLine="0"/>
        <w:jc w:val="both"/>
        <w:rPr>
          <w:i/>
          <w:sz w:val="24"/>
        </w:rPr>
      </w:pPr>
      <w:r>
        <w:rPr>
          <w:i/>
          <w:sz w:val="24"/>
        </w:rPr>
        <w:t>Having the tools to discuss naloxone</w:t>
      </w:r>
    </w:p>
    <w:p>
      <w:pPr>
        <w:pStyle w:val="BodyText"/>
        <w:spacing w:before="11"/>
        <w:rPr>
          <w:i/>
          <w:sz w:val="23"/>
        </w:rPr>
      </w:pPr>
    </w:p>
    <w:p>
      <w:pPr>
        <w:pStyle w:val="BodyText"/>
        <w:ind w:left="119" w:right="116"/>
        <w:jc w:val="both"/>
      </w:pPr>
      <w:r>
        <w:rPr/>
        <w:t>Finally,</w:t>
      </w:r>
      <w:r>
        <w:rPr>
          <w:spacing w:val="-5"/>
        </w:rPr>
        <w:t> </w:t>
      </w:r>
      <w:r>
        <w:rPr/>
        <w:t>a</w:t>
      </w:r>
      <w:r>
        <w:rPr>
          <w:spacing w:val="-5"/>
        </w:rPr>
        <w:t> </w:t>
      </w:r>
      <w:r>
        <w:rPr/>
        <w:t>common</w:t>
      </w:r>
      <w:r>
        <w:rPr>
          <w:spacing w:val="-5"/>
        </w:rPr>
        <w:t> </w:t>
      </w:r>
      <w:r>
        <w:rPr/>
        <w:t>concern</w:t>
      </w:r>
      <w:r>
        <w:rPr>
          <w:spacing w:val="-5"/>
        </w:rPr>
        <w:t> </w:t>
      </w:r>
      <w:r>
        <w:rPr/>
        <w:t>among</w:t>
      </w:r>
      <w:r>
        <w:rPr>
          <w:spacing w:val="-4"/>
        </w:rPr>
        <w:t> </w:t>
      </w:r>
      <w:r>
        <w:rPr/>
        <w:t>pharmacists</w:t>
      </w:r>
      <w:r>
        <w:rPr>
          <w:spacing w:val="-7"/>
        </w:rPr>
        <w:t> </w:t>
      </w:r>
      <w:r>
        <w:rPr/>
        <w:t>was</w:t>
      </w:r>
      <w:r>
        <w:rPr>
          <w:spacing w:val="-5"/>
        </w:rPr>
        <w:t> </w:t>
      </w:r>
      <w:r>
        <w:rPr/>
        <w:t>low</w:t>
      </w:r>
      <w:r>
        <w:rPr>
          <w:spacing w:val="-4"/>
        </w:rPr>
        <w:t> </w:t>
      </w:r>
      <w:r>
        <w:rPr/>
        <w:t>confidence</w:t>
      </w:r>
      <w:r>
        <w:rPr>
          <w:spacing w:val="-5"/>
        </w:rPr>
        <w:t> </w:t>
      </w:r>
      <w:r>
        <w:rPr/>
        <w:t>or</w:t>
      </w:r>
      <w:r>
        <w:rPr>
          <w:spacing w:val="-5"/>
        </w:rPr>
        <w:t> </w:t>
      </w:r>
      <w:r>
        <w:rPr/>
        <w:t>comfort</w:t>
      </w:r>
      <w:r>
        <w:rPr>
          <w:spacing w:val="-5"/>
        </w:rPr>
        <w:t> </w:t>
      </w:r>
      <w:r>
        <w:rPr/>
        <w:t>in</w:t>
      </w:r>
      <w:r>
        <w:rPr>
          <w:spacing w:val="-5"/>
        </w:rPr>
        <w:t> </w:t>
      </w:r>
      <w:r>
        <w:rPr/>
        <w:t>their</w:t>
      </w:r>
      <w:r>
        <w:rPr>
          <w:spacing w:val="-5"/>
        </w:rPr>
        <w:t> </w:t>
      </w:r>
      <w:r>
        <w:rPr/>
        <w:t>ability to discuss naloxone, particularly in the busy pharmacy environment. Many pharmacists expressed that they would ideally like to discuss overdose and naloxone, but lack of time prohibited long conversations (some pharmacists described often being the sole pharmacist and juggling multiple duties at once). Furthermore, many pharmacists expressed difficulty ‘finding the right words’, while wanting to ensure that patients are well-informed. This supports the need for pharmacists to be confident that they can discuss naloxone in a short conversation, ideally under five</w:t>
      </w:r>
      <w:r>
        <w:rPr>
          <w:spacing w:val="-18"/>
        </w:rPr>
        <w:t> </w:t>
      </w:r>
      <w:r>
        <w:rPr/>
        <w:t>minutes.</w:t>
      </w:r>
    </w:p>
    <w:p>
      <w:pPr>
        <w:spacing w:after="0"/>
        <w:jc w:val="both"/>
        <w:sectPr>
          <w:pgSz w:w="11910" w:h="16840"/>
          <w:pgMar w:header="0" w:footer="1302" w:top="1480" w:bottom="1520" w:left="1320" w:right="1320"/>
        </w:sectPr>
      </w:pPr>
    </w:p>
    <w:p>
      <w:pPr>
        <w:pStyle w:val="BodyText"/>
        <w:spacing w:before="7"/>
        <w:rPr>
          <w:sz w:val="14"/>
        </w:rPr>
      </w:pPr>
    </w:p>
    <w:p>
      <w:pPr>
        <w:pStyle w:val="Heading2"/>
        <w:spacing w:before="52"/>
        <w:jc w:val="left"/>
      </w:pPr>
      <w:r>
        <w:rPr/>
        <w:t>Desired content areas</w:t>
      </w:r>
    </w:p>
    <w:p>
      <w:pPr>
        <w:pStyle w:val="BodyText"/>
        <w:spacing w:before="11"/>
        <w:rPr>
          <w:b/>
          <w:sz w:val="23"/>
        </w:rPr>
      </w:pPr>
    </w:p>
    <w:p>
      <w:pPr>
        <w:pStyle w:val="BodyText"/>
        <w:spacing w:before="1"/>
        <w:ind w:left="119" w:right="202"/>
      </w:pPr>
      <w:r>
        <w:rPr/>
        <w:t>In terms of receiving information about overdose and naloxone, pharmacists’ desired content is summarised in Table 6. All pharmacists expressed a desire for information about how to have a conversation about naloxone. Suggestions included giving advice on identifying which patients to discuss naloxone with, using appropriate language, dealing with barriers to discussing naloxone, advice on rapport, and guidance in the form of scripts, checklists, or prompts.</w:t>
      </w:r>
    </w:p>
    <w:p>
      <w:pPr>
        <w:pStyle w:val="BodyText"/>
        <w:spacing w:before="12"/>
        <w:rPr>
          <w:sz w:val="23"/>
        </w:rPr>
      </w:pPr>
    </w:p>
    <w:p>
      <w:pPr>
        <w:pStyle w:val="BodyText"/>
        <w:ind w:left="119" w:right="103"/>
      </w:pPr>
      <w:r>
        <w:rPr/>
        <w:t>Pharmacists made some further suggestions to encourage pharmacists to discuss naloxone with patients. One suggestion was that materials should focus on making pharmacists feel </w:t>
      </w:r>
      <w:r>
        <w:rPr>
          <w:i/>
        </w:rPr>
        <w:t>comfortable dispensing naloxone</w:t>
      </w:r>
      <w:r>
        <w:rPr/>
        <w:t>, rather than teaching them information about the medicine itself. Another strategy to increase the salience (and therefore priority) of naloxone, was to provide facts and statistics to emphasise the need to discuss naloxone, and discuss the benefits to their practice (such as increasing rapport and potentially saving lives). To make the content more engaging, some pharmacists suggested using different formats to provide training (e.g. short, high-quality</w:t>
      </w:r>
      <w:r>
        <w:rPr>
          <w:spacing w:val="-22"/>
        </w:rPr>
        <w:t> </w:t>
      </w:r>
      <w:r>
        <w:rPr/>
        <w:t>videos).</w:t>
      </w:r>
    </w:p>
    <w:p>
      <w:pPr>
        <w:spacing w:after="0"/>
        <w:sectPr>
          <w:pgSz w:w="11910" w:h="16840"/>
          <w:pgMar w:header="0" w:footer="1302" w:top="1580" w:bottom="1520" w:left="1320" w:right="1340"/>
        </w:sectPr>
      </w:pPr>
    </w:p>
    <w:p>
      <w:pPr>
        <w:pStyle w:val="BodyText"/>
        <w:rPr>
          <w:sz w:val="20"/>
        </w:rPr>
      </w:pPr>
    </w:p>
    <w:p>
      <w:pPr>
        <w:pStyle w:val="BodyText"/>
        <w:rPr>
          <w:sz w:val="20"/>
        </w:rPr>
      </w:pPr>
    </w:p>
    <w:p>
      <w:pPr>
        <w:pStyle w:val="BodyText"/>
        <w:rPr>
          <w:sz w:val="20"/>
        </w:rPr>
      </w:pPr>
    </w:p>
    <w:p>
      <w:pPr>
        <w:pStyle w:val="BodyText"/>
        <w:spacing w:before="2"/>
        <w:rPr>
          <w:sz w:val="19"/>
        </w:rPr>
      </w:pPr>
    </w:p>
    <w:p>
      <w:pPr>
        <w:spacing w:before="0"/>
        <w:ind w:left="100" w:right="0" w:firstLine="0"/>
        <w:jc w:val="left"/>
        <w:rPr>
          <w:i/>
          <w:sz w:val="22"/>
        </w:rPr>
      </w:pPr>
      <w:r>
        <w:rPr>
          <w:i/>
          <w:sz w:val="22"/>
        </w:rPr>
        <w:t>Table 5. Risk factors for overdose, as reported by pharmacists</w:t>
      </w:r>
    </w:p>
    <w:p>
      <w:pPr>
        <w:pStyle w:val="BodyText"/>
        <w:spacing w:before="8"/>
        <w:rPr>
          <w:i/>
          <w:sz w:val="23"/>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44"/>
        <w:gridCol w:w="2865"/>
        <w:gridCol w:w="2606"/>
        <w:gridCol w:w="2673"/>
        <w:gridCol w:w="2715"/>
      </w:tblGrid>
      <w:tr>
        <w:trPr>
          <w:trHeight w:val="558" w:hRule="exact"/>
        </w:trPr>
        <w:tc>
          <w:tcPr>
            <w:tcW w:w="2744" w:type="dxa"/>
            <w:tcBorders>
              <w:bottom w:val="single" w:sz="4" w:space="0" w:color="B1A0C6"/>
            </w:tcBorders>
          </w:tcPr>
          <w:p>
            <w:pPr>
              <w:pStyle w:val="TableParagraph"/>
              <w:spacing w:line="223" w:lineRule="exact"/>
              <w:ind w:left="108"/>
              <w:rPr>
                <w:b/>
                <w:sz w:val="22"/>
              </w:rPr>
            </w:pPr>
            <w:r>
              <w:rPr>
                <w:b/>
                <w:sz w:val="22"/>
              </w:rPr>
              <w:t>Medicine-related factors</w:t>
            </w:r>
          </w:p>
          <w:p>
            <w:pPr>
              <w:pStyle w:val="TableParagraph"/>
              <w:spacing w:line="268" w:lineRule="exact"/>
              <w:ind w:left="108"/>
              <w:rPr>
                <w:b/>
                <w:sz w:val="22"/>
              </w:rPr>
            </w:pPr>
            <w:r>
              <w:rPr>
                <w:b/>
                <w:sz w:val="22"/>
              </w:rPr>
              <w:t>and behaviours</w:t>
            </w:r>
          </w:p>
        </w:tc>
        <w:tc>
          <w:tcPr>
            <w:tcW w:w="2865" w:type="dxa"/>
            <w:tcBorders>
              <w:bottom w:val="single" w:sz="4" w:space="0" w:color="B1A0C6"/>
            </w:tcBorders>
          </w:tcPr>
          <w:p>
            <w:pPr>
              <w:pStyle w:val="TableParagraph"/>
              <w:spacing w:line="224" w:lineRule="exact"/>
              <w:ind w:left="193"/>
              <w:rPr>
                <w:b/>
                <w:sz w:val="22"/>
              </w:rPr>
            </w:pPr>
            <w:r>
              <w:rPr>
                <w:b/>
                <w:sz w:val="22"/>
              </w:rPr>
              <w:t>Treatment experiences</w:t>
            </w:r>
          </w:p>
        </w:tc>
        <w:tc>
          <w:tcPr>
            <w:tcW w:w="2606" w:type="dxa"/>
            <w:tcBorders>
              <w:bottom w:val="single" w:sz="4" w:space="0" w:color="B1A0C6"/>
            </w:tcBorders>
          </w:tcPr>
          <w:p>
            <w:pPr>
              <w:pStyle w:val="TableParagraph"/>
              <w:spacing w:line="223" w:lineRule="exact"/>
              <w:ind w:left="163"/>
              <w:rPr>
                <w:b/>
                <w:sz w:val="22"/>
              </w:rPr>
            </w:pPr>
            <w:r>
              <w:rPr>
                <w:b/>
                <w:sz w:val="22"/>
              </w:rPr>
              <w:t>Co-occurring issues or</w:t>
            </w:r>
          </w:p>
          <w:p>
            <w:pPr>
              <w:pStyle w:val="TableParagraph"/>
              <w:spacing w:line="268" w:lineRule="exact"/>
              <w:ind w:left="163"/>
              <w:rPr>
                <w:b/>
                <w:sz w:val="22"/>
              </w:rPr>
            </w:pPr>
            <w:r>
              <w:rPr>
                <w:b/>
                <w:sz w:val="22"/>
              </w:rPr>
              <w:t>behaviours</w:t>
            </w:r>
          </w:p>
        </w:tc>
        <w:tc>
          <w:tcPr>
            <w:tcW w:w="2673" w:type="dxa"/>
            <w:tcBorders>
              <w:bottom w:val="single" w:sz="4" w:space="0" w:color="B1A0C6"/>
            </w:tcBorders>
          </w:tcPr>
          <w:p>
            <w:pPr>
              <w:pStyle w:val="TableParagraph"/>
              <w:spacing w:line="223" w:lineRule="exact"/>
              <w:ind w:left="110"/>
              <w:rPr>
                <w:b/>
                <w:sz w:val="22"/>
              </w:rPr>
            </w:pPr>
            <w:r>
              <w:rPr>
                <w:b/>
                <w:sz w:val="22"/>
              </w:rPr>
              <w:t>Individual knowledge and</w:t>
            </w:r>
          </w:p>
          <w:p>
            <w:pPr>
              <w:pStyle w:val="TableParagraph"/>
              <w:spacing w:line="268" w:lineRule="exact"/>
              <w:ind w:left="110"/>
              <w:rPr>
                <w:b/>
                <w:sz w:val="22"/>
              </w:rPr>
            </w:pPr>
            <w:r>
              <w:rPr>
                <w:b/>
                <w:sz w:val="22"/>
              </w:rPr>
              <w:t>circumstance</w:t>
            </w:r>
          </w:p>
        </w:tc>
        <w:tc>
          <w:tcPr>
            <w:tcW w:w="2715" w:type="dxa"/>
            <w:tcBorders>
              <w:bottom w:val="single" w:sz="4" w:space="0" w:color="B1A0C6"/>
            </w:tcBorders>
          </w:tcPr>
          <w:p>
            <w:pPr>
              <w:pStyle w:val="TableParagraph"/>
              <w:spacing w:line="223" w:lineRule="exact"/>
              <w:ind w:left="129"/>
              <w:rPr>
                <w:b/>
                <w:sz w:val="22"/>
              </w:rPr>
            </w:pPr>
            <w:r>
              <w:rPr>
                <w:b/>
                <w:sz w:val="22"/>
              </w:rPr>
              <w:t>Demographic</w:t>
            </w:r>
          </w:p>
          <w:p>
            <w:pPr>
              <w:pStyle w:val="TableParagraph"/>
              <w:spacing w:line="268" w:lineRule="exact"/>
              <w:ind w:left="129"/>
              <w:rPr>
                <w:b/>
                <w:sz w:val="22"/>
              </w:rPr>
            </w:pPr>
            <w:r>
              <w:rPr>
                <w:b/>
                <w:sz w:val="22"/>
              </w:rPr>
              <w:t>characteristics</w:t>
            </w:r>
          </w:p>
        </w:tc>
      </w:tr>
      <w:tr>
        <w:trPr>
          <w:trHeight w:val="5107" w:hRule="exact"/>
        </w:trPr>
        <w:tc>
          <w:tcPr>
            <w:tcW w:w="2744" w:type="dxa"/>
            <w:tcBorders>
              <w:top w:val="single" w:sz="4" w:space="0" w:color="B1A0C6"/>
            </w:tcBorders>
            <w:shd w:val="clear" w:color="auto" w:fill="E4DFEB"/>
          </w:tcPr>
          <w:p>
            <w:pPr>
              <w:pStyle w:val="TableParagraph"/>
              <w:ind w:left="108"/>
              <w:rPr>
                <w:sz w:val="22"/>
              </w:rPr>
            </w:pPr>
            <w:r>
              <w:rPr>
                <w:sz w:val="22"/>
              </w:rPr>
              <w:t>Prescribed high dose prescription opioids</w:t>
            </w:r>
          </w:p>
          <w:p>
            <w:pPr>
              <w:pStyle w:val="TableParagraph"/>
              <w:spacing w:before="10"/>
              <w:ind w:left="0"/>
              <w:rPr>
                <w:i/>
                <w:sz w:val="21"/>
              </w:rPr>
            </w:pPr>
          </w:p>
          <w:p>
            <w:pPr>
              <w:pStyle w:val="TableParagraph"/>
              <w:spacing w:before="1"/>
              <w:ind w:left="108" w:right="172"/>
              <w:rPr>
                <w:sz w:val="22"/>
              </w:rPr>
            </w:pPr>
            <w:r>
              <w:rPr>
                <w:sz w:val="22"/>
              </w:rPr>
              <w:t>Prescribed other medicines (including other opioids, benzodiazepines, antidepressants, antipsychotics, blood pressure medicine)</w:t>
            </w:r>
          </w:p>
          <w:p>
            <w:pPr>
              <w:pStyle w:val="TableParagraph"/>
              <w:ind w:left="0"/>
              <w:rPr>
                <w:i/>
                <w:sz w:val="22"/>
              </w:rPr>
            </w:pPr>
          </w:p>
          <w:p>
            <w:pPr>
              <w:pStyle w:val="TableParagraph"/>
              <w:ind w:left="108" w:right="629"/>
              <w:rPr>
                <w:sz w:val="22"/>
              </w:rPr>
            </w:pPr>
            <w:r>
              <w:rPr>
                <w:sz w:val="22"/>
              </w:rPr>
              <w:t>People taking opioids without a prescription</w:t>
            </w:r>
          </w:p>
          <w:p>
            <w:pPr>
              <w:pStyle w:val="TableParagraph"/>
              <w:spacing w:before="10"/>
              <w:ind w:left="0"/>
              <w:rPr>
                <w:i/>
                <w:sz w:val="21"/>
              </w:rPr>
            </w:pPr>
          </w:p>
          <w:p>
            <w:pPr>
              <w:pStyle w:val="TableParagraph"/>
              <w:spacing w:before="1"/>
              <w:ind w:left="108" w:right="967"/>
              <w:rPr>
                <w:sz w:val="22"/>
              </w:rPr>
            </w:pPr>
            <w:r>
              <w:rPr>
                <w:sz w:val="22"/>
              </w:rPr>
              <w:t>Changing doses of prescribed opioids</w:t>
            </w:r>
          </w:p>
        </w:tc>
        <w:tc>
          <w:tcPr>
            <w:tcW w:w="2865" w:type="dxa"/>
            <w:tcBorders>
              <w:top w:val="single" w:sz="4" w:space="0" w:color="B1A0C6"/>
            </w:tcBorders>
            <w:shd w:val="clear" w:color="auto" w:fill="E4DFEB"/>
          </w:tcPr>
          <w:p>
            <w:pPr>
              <w:pStyle w:val="TableParagraph"/>
              <w:ind w:left="193" w:right="204"/>
              <w:rPr>
                <w:sz w:val="22"/>
              </w:rPr>
            </w:pPr>
            <w:r>
              <w:rPr>
                <w:sz w:val="22"/>
              </w:rPr>
              <w:t>Having multiple prescribers or pharmacists</w:t>
            </w:r>
          </w:p>
          <w:p>
            <w:pPr>
              <w:pStyle w:val="TableParagraph"/>
              <w:spacing w:before="10"/>
              <w:ind w:left="0"/>
              <w:rPr>
                <w:i/>
                <w:sz w:val="21"/>
              </w:rPr>
            </w:pPr>
          </w:p>
          <w:p>
            <w:pPr>
              <w:pStyle w:val="TableParagraph"/>
              <w:spacing w:before="1"/>
              <w:ind w:left="193"/>
              <w:rPr>
                <w:sz w:val="22"/>
              </w:rPr>
            </w:pPr>
            <w:r>
              <w:rPr>
                <w:sz w:val="22"/>
              </w:rPr>
              <w:t>Not having a good pain management plan</w:t>
            </w:r>
          </w:p>
          <w:p>
            <w:pPr>
              <w:pStyle w:val="TableParagraph"/>
              <w:ind w:left="0"/>
              <w:rPr>
                <w:i/>
                <w:sz w:val="22"/>
              </w:rPr>
            </w:pPr>
          </w:p>
          <w:p>
            <w:pPr>
              <w:pStyle w:val="TableParagraph"/>
              <w:ind w:left="193" w:right="175"/>
              <w:rPr>
                <w:sz w:val="22"/>
              </w:rPr>
            </w:pPr>
            <w:r>
              <w:rPr>
                <w:sz w:val="22"/>
              </w:rPr>
              <w:t>Decreased tolerance after a period of abstinence</w:t>
            </w:r>
          </w:p>
          <w:p>
            <w:pPr>
              <w:pStyle w:val="TableParagraph"/>
              <w:spacing w:before="10"/>
              <w:ind w:left="0"/>
              <w:rPr>
                <w:i/>
                <w:sz w:val="21"/>
              </w:rPr>
            </w:pPr>
          </w:p>
          <w:p>
            <w:pPr>
              <w:pStyle w:val="TableParagraph"/>
              <w:spacing w:before="1"/>
              <w:ind w:left="193" w:right="208"/>
              <w:rPr>
                <w:sz w:val="22"/>
              </w:rPr>
            </w:pPr>
            <w:r>
              <w:rPr>
                <w:sz w:val="22"/>
              </w:rPr>
              <w:t>First time taking prescribed opioids</w:t>
            </w:r>
          </w:p>
          <w:p>
            <w:pPr>
              <w:pStyle w:val="TableParagraph"/>
              <w:ind w:left="0"/>
              <w:rPr>
                <w:i/>
                <w:sz w:val="22"/>
              </w:rPr>
            </w:pPr>
          </w:p>
          <w:p>
            <w:pPr>
              <w:pStyle w:val="TableParagraph"/>
              <w:ind w:left="193" w:right="143"/>
              <w:rPr>
                <w:sz w:val="22"/>
              </w:rPr>
            </w:pPr>
            <w:r>
              <w:rPr>
                <w:sz w:val="22"/>
              </w:rPr>
              <w:t>Longer term or more complicated treatment with opioids</w:t>
            </w:r>
          </w:p>
        </w:tc>
        <w:tc>
          <w:tcPr>
            <w:tcW w:w="2606" w:type="dxa"/>
            <w:tcBorders>
              <w:top w:val="single" w:sz="4" w:space="0" w:color="B1A0C6"/>
            </w:tcBorders>
            <w:shd w:val="clear" w:color="auto" w:fill="E4DFEB"/>
          </w:tcPr>
          <w:p>
            <w:pPr>
              <w:pStyle w:val="TableParagraph"/>
              <w:ind w:left="163"/>
              <w:rPr>
                <w:sz w:val="22"/>
              </w:rPr>
            </w:pPr>
            <w:r>
              <w:rPr>
                <w:sz w:val="22"/>
              </w:rPr>
              <w:t>Alcohol or other drug use</w:t>
            </w:r>
          </w:p>
          <w:p>
            <w:pPr>
              <w:pStyle w:val="TableParagraph"/>
              <w:spacing w:before="12"/>
              <w:ind w:left="0"/>
              <w:rPr>
                <w:i/>
                <w:sz w:val="21"/>
              </w:rPr>
            </w:pPr>
          </w:p>
          <w:p>
            <w:pPr>
              <w:pStyle w:val="TableParagraph"/>
              <w:ind w:left="163" w:right="90"/>
              <w:rPr>
                <w:sz w:val="22"/>
              </w:rPr>
            </w:pPr>
            <w:r>
              <w:rPr>
                <w:sz w:val="22"/>
              </w:rPr>
              <w:t>Comorbidities (including mental health, kidney and liver problems, low bone mineral density)</w:t>
            </w:r>
          </w:p>
          <w:p>
            <w:pPr>
              <w:pStyle w:val="TableParagraph"/>
              <w:ind w:left="0"/>
              <w:rPr>
                <w:i/>
                <w:sz w:val="22"/>
              </w:rPr>
            </w:pPr>
          </w:p>
          <w:p>
            <w:pPr>
              <w:pStyle w:val="TableParagraph"/>
              <w:ind w:left="163" w:right="460"/>
              <w:rPr>
                <w:sz w:val="22"/>
              </w:rPr>
            </w:pPr>
            <w:r>
              <w:rPr>
                <w:sz w:val="22"/>
              </w:rPr>
              <w:t>People with history of substance use or substance addiction</w:t>
            </w:r>
          </w:p>
          <w:p>
            <w:pPr>
              <w:pStyle w:val="TableParagraph"/>
              <w:ind w:left="0"/>
              <w:rPr>
                <w:i/>
                <w:sz w:val="22"/>
              </w:rPr>
            </w:pPr>
          </w:p>
          <w:p>
            <w:pPr>
              <w:pStyle w:val="TableParagraph"/>
              <w:ind w:left="163"/>
              <w:rPr>
                <w:sz w:val="22"/>
              </w:rPr>
            </w:pPr>
            <w:r>
              <w:rPr>
                <w:sz w:val="22"/>
              </w:rPr>
              <w:t>Methadone patients</w:t>
            </w:r>
          </w:p>
        </w:tc>
        <w:tc>
          <w:tcPr>
            <w:tcW w:w="2673" w:type="dxa"/>
            <w:tcBorders>
              <w:top w:val="single" w:sz="4" w:space="0" w:color="B1A0C6"/>
            </w:tcBorders>
            <w:shd w:val="clear" w:color="auto" w:fill="E4DFEB"/>
          </w:tcPr>
          <w:p>
            <w:pPr>
              <w:pStyle w:val="TableParagraph"/>
              <w:ind w:left="110" w:right="259"/>
              <w:rPr>
                <w:sz w:val="22"/>
              </w:rPr>
            </w:pPr>
            <w:r>
              <w:rPr>
                <w:sz w:val="22"/>
              </w:rPr>
              <w:t>Lack of understanding, or low knowledge of opioids</w:t>
            </w:r>
          </w:p>
          <w:p>
            <w:pPr>
              <w:pStyle w:val="TableParagraph"/>
              <w:spacing w:before="10"/>
              <w:ind w:left="0"/>
              <w:rPr>
                <w:i/>
                <w:sz w:val="21"/>
              </w:rPr>
            </w:pPr>
          </w:p>
          <w:p>
            <w:pPr>
              <w:pStyle w:val="TableParagraph"/>
              <w:spacing w:before="1"/>
              <w:ind w:left="110"/>
              <w:rPr>
                <w:sz w:val="22"/>
              </w:rPr>
            </w:pPr>
            <w:r>
              <w:rPr>
                <w:sz w:val="22"/>
              </w:rPr>
              <w:t>Living alone</w:t>
            </w:r>
          </w:p>
          <w:p>
            <w:pPr>
              <w:pStyle w:val="TableParagraph"/>
              <w:ind w:left="0"/>
              <w:rPr>
                <w:i/>
                <w:sz w:val="22"/>
              </w:rPr>
            </w:pPr>
          </w:p>
          <w:p>
            <w:pPr>
              <w:pStyle w:val="TableParagraph"/>
              <w:ind w:left="110" w:right="110"/>
              <w:rPr>
                <w:sz w:val="22"/>
              </w:rPr>
            </w:pPr>
            <w:r>
              <w:rPr>
                <w:sz w:val="22"/>
              </w:rPr>
              <w:t>Changed life circumstances (e.g. sustaining a new injury)</w:t>
            </w:r>
          </w:p>
          <w:p>
            <w:pPr>
              <w:pStyle w:val="TableParagraph"/>
              <w:spacing w:before="10"/>
              <w:ind w:left="0"/>
              <w:rPr>
                <w:i/>
                <w:sz w:val="21"/>
              </w:rPr>
            </w:pPr>
          </w:p>
          <w:p>
            <w:pPr>
              <w:pStyle w:val="TableParagraph"/>
              <w:spacing w:before="1"/>
              <w:ind w:left="110" w:right="189"/>
              <w:rPr>
                <w:sz w:val="22"/>
              </w:rPr>
            </w:pPr>
            <w:r>
              <w:rPr>
                <w:sz w:val="22"/>
              </w:rPr>
              <w:t>Socioeconomic factors (including unemployment, low education level)</w:t>
            </w:r>
          </w:p>
          <w:p>
            <w:pPr>
              <w:pStyle w:val="TableParagraph"/>
              <w:spacing w:before="11"/>
              <w:ind w:left="0"/>
              <w:rPr>
                <w:i/>
                <w:sz w:val="21"/>
              </w:rPr>
            </w:pPr>
          </w:p>
          <w:p>
            <w:pPr>
              <w:pStyle w:val="TableParagraph"/>
              <w:ind w:left="110" w:right="256"/>
              <w:rPr>
                <w:sz w:val="22"/>
              </w:rPr>
            </w:pPr>
            <w:r>
              <w:rPr>
                <w:sz w:val="22"/>
              </w:rPr>
              <w:t>People who describe themselves as having an ‘addictive nature’ or identifying as ‘higher risk’</w:t>
            </w:r>
          </w:p>
        </w:tc>
        <w:tc>
          <w:tcPr>
            <w:tcW w:w="2715" w:type="dxa"/>
            <w:tcBorders>
              <w:top w:val="single" w:sz="4" w:space="0" w:color="B1A0C6"/>
            </w:tcBorders>
            <w:shd w:val="clear" w:color="auto" w:fill="E4DFEB"/>
          </w:tcPr>
          <w:p>
            <w:pPr>
              <w:pStyle w:val="TableParagraph"/>
              <w:ind w:left="129"/>
              <w:rPr>
                <w:sz w:val="22"/>
              </w:rPr>
            </w:pPr>
            <w:r>
              <w:rPr>
                <w:sz w:val="22"/>
              </w:rPr>
              <w:t>Elderly people</w:t>
            </w:r>
          </w:p>
          <w:p>
            <w:pPr>
              <w:pStyle w:val="TableParagraph"/>
              <w:spacing w:line="530" w:lineRule="atLeast" w:before="7"/>
              <w:ind w:left="129" w:right="776"/>
              <w:rPr>
                <w:sz w:val="22"/>
              </w:rPr>
            </w:pPr>
            <w:r>
              <w:rPr>
                <w:sz w:val="22"/>
              </w:rPr>
              <w:t>Young people People living ‘riskier</w:t>
            </w:r>
          </w:p>
          <w:p>
            <w:pPr>
              <w:pStyle w:val="TableParagraph"/>
              <w:ind w:left="129"/>
              <w:rPr>
                <w:sz w:val="22"/>
              </w:rPr>
            </w:pPr>
            <w:r>
              <w:rPr>
                <w:sz w:val="22"/>
              </w:rPr>
              <w:t>lifestyles’ (e.g. partying)</w:t>
            </w:r>
          </w:p>
        </w:tc>
      </w:tr>
    </w:tbl>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194"/>
        <w:ind w:right="119"/>
        <w:jc w:val="right"/>
        <w:rPr>
          <w:rFonts w:ascii="Arial"/>
        </w:rPr>
      </w:pPr>
      <w:r>
        <w:rPr>
          <w:rFonts w:ascii="Arial"/>
        </w:rPr>
        <w:t>17</w:t>
      </w:r>
    </w:p>
    <w:p>
      <w:pPr>
        <w:spacing w:after="0"/>
        <w:jc w:val="right"/>
        <w:rPr>
          <w:rFonts w:ascii="Arial"/>
        </w:rPr>
        <w:sectPr>
          <w:footerReference w:type="default" r:id="rId12"/>
          <w:pgSz w:w="16840" w:h="11910" w:orient="landscape"/>
          <w:pgMar w:footer="0" w:header="0" w:top="1100" w:bottom="280" w:left="1340" w:right="1320"/>
        </w:sectPr>
      </w:pPr>
    </w:p>
    <w:p>
      <w:pPr>
        <w:pStyle w:val="BodyText"/>
        <w:rPr>
          <w:rFonts w:ascii="Arial"/>
          <w:sz w:val="20"/>
        </w:rPr>
      </w:pPr>
    </w:p>
    <w:p>
      <w:pPr>
        <w:pStyle w:val="BodyText"/>
        <w:spacing w:before="5"/>
        <w:rPr>
          <w:rFonts w:ascii="Arial"/>
          <w:sz w:val="16"/>
        </w:rPr>
      </w:pPr>
    </w:p>
    <w:p>
      <w:pPr>
        <w:spacing w:before="55"/>
        <w:ind w:left="120" w:right="0" w:firstLine="0"/>
        <w:jc w:val="both"/>
        <w:rPr>
          <w:i/>
          <w:sz w:val="22"/>
        </w:rPr>
      </w:pPr>
      <w:r>
        <w:rPr>
          <w:i/>
          <w:sz w:val="22"/>
        </w:rPr>
        <w:t>Table 6. Summary of desired content areas discussed by pharmacists</w:t>
      </w:r>
    </w:p>
    <w:p>
      <w:pPr>
        <w:pStyle w:val="BodyText"/>
        <w:spacing w:before="2"/>
        <w:rPr>
          <w:i/>
          <w:sz w:val="23"/>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17"/>
        <w:gridCol w:w="1033"/>
        <w:gridCol w:w="416"/>
        <w:gridCol w:w="416"/>
        <w:gridCol w:w="416"/>
        <w:gridCol w:w="416"/>
        <w:gridCol w:w="416"/>
        <w:gridCol w:w="416"/>
        <w:gridCol w:w="416"/>
        <w:gridCol w:w="416"/>
        <w:gridCol w:w="1140"/>
      </w:tblGrid>
      <w:tr>
        <w:trPr>
          <w:trHeight w:val="218" w:hRule="exact"/>
        </w:trPr>
        <w:tc>
          <w:tcPr>
            <w:tcW w:w="4417" w:type="dxa"/>
            <w:tcBorders>
              <w:bottom w:val="single" w:sz="4" w:space="0" w:color="666666"/>
            </w:tcBorders>
          </w:tcPr>
          <w:p>
            <w:pPr>
              <w:pStyle w:val="TableParagraph"/>
              <w:spacing w:line="204" w:lineRule="exact"/>
              <w:ind w:left="2162" w:right="1546"/>
              <w:jc w:val="center"/>
              <w:rPr>
                <w:b/>
                <w:sz w:val="20"/>
              </w:rPr>
            </w:pPr>
            <w:r>
              <w:rPr>
                <w:b/>
                <w:sz w:val="20"/>
              </w:rPr>
              <w:t>Content</w:t>
            </w:r>
          </w:p>
        </w:tc>
        <w:tc>
          <w:tcPr>
            <w:tcW w:w="1033" w:type="dxa"/>
            <w:tcBorders>
              <w:bottom w:val="single" w:sz="4" w:space="0" w:color="666666"/>
            </w:tcBorders>
          </w:tcPr>
          <w:p>
            <w:pPr>
              <w:pStyle w:val="TableParagraph"/>
              <w:spacing w:line="204" w:lineRule="exact"/>
              <w:ind w:left="0" w:right="155"/>
              <w:jc w:val="right"/>
              <w:rPr>
                <w:b/>
                <w:sz w:val="20"/>
              </w:rPr>
            </w:pPr>
            <w:r>
              <w:rPr>
                <w:b/>
                <w:w w:val="100"/>
                <w:sz w:val="20"/>
              </w:rPr>
              <w:t>1</w:t>
            </w:r>
          </w:p>
        </w:tc>
        <w:tc>
          <w:tcPr>
            <w:tcW w:w="416" w:type="dxa"/>
            <w:tcBorders>
              <w:bottom w:val="single" w:sz="4" w:space="0" w:color="666666"/>
            </w:tcBorders>
          </w:tcPr>
          <w:p>
            <w:pPr>
              <w:pStyle w:val="TableParagraph"/>
              <w:spacing w:line="204" w:lineRule="exact"/>
              <w:ind w:left="0" w:right="155"/>
              <w:jc w:val="right"/>
              <w:rPr>
                <w:b/>
                <w:sz w:val="20"/>
              </w:rPr>
            </w:pPr>
            <w:r>
              <w:rPr>
                <w:b/>
                <w:w w:val="100"/>
                <w:sz w:val="20"/>
              </w:rPr>
              <w:t>2</w:t>
            </w:r>
          </w:p>
        </w:tc>
        <w:tc>
          <w:tcPr>
            <w:tcW w:w="416" w:type="dxa"/>
            <w:tcBorders>
              <w:bottom w:val="single" w:sz="4" w:space="0" w:color="666666"/>
            </w:tcBorders>
          </w:tcPr>
          <w:p>
            <w:pPr>
              <w:pStyle w:val="TableParagraph"/>
              <w:spacing w:line="204" w:lineRule="exact"/>
              <w:ind w:left="0" w:right="1"/>
              <w:jc w:val="center"/>
              <w:rPr>
                <w:b/>
                <w:sz w:val="20"/>
              </w:rPr>
            </w:pPr>
            <w:r>
              <w:rPr>
                <w:b/>
                <w:w w:val="100"/>
                <w:sz w:val="20"/>
              </w:rPr>
              <w:t>3</w:t>
            </w:r>
          </w:p>
        </w:tc>
        <w:tc>
          <w:tcPr>
            <w:tcW w:w="416" w:type="dxa"/>
            <w:tcBorders>
              <w:bottom w:val="single" w:sz="4" w:space="0" w:color="666666"/>
            </w:tcBorders>
          </w:tcPr>
          <w:p>
            <w:pPr>
              <w:pStyle w:val="TableParagraph"/>
              <w:spacing w:line="204" w:lineRule="exact"/>
              <w:ind w:left="157"/>
              <w:rPr>
                <w:b/>
                <w:sz w:val="20"/>
              </w:rPr>
            </w:pPr>
            <w:r>
              <w:rPr>
                <w:b/>
                <w:w w:val="100"/>
                <w:sz w:val="20"/>
              </w:rPr>
              <w:t>4</w:t>
            </w:r>
          </w:p>
        </w:tc>
        <w:tc>
          <w:tcPr>
            <w:tcW w:w="416" w:type="dxa"/>
            <w:tcBorders>
              <w:bottom w:val="single" w:sz="4" w:space="0" w:color="666666"/>
            </w:tcBorders>
          </w:tcPr>
          <w:p>
            <w:pPr>
              <w:pStyle w:val="TableParagraph"/>
              <w:spacing w:line="204" w:lineRule="exact"/>
              <w:ind w:left="0"/>
              <w:jc w:val="center"/>
              <w:rPr>
                <w:b/>
                <w:sz w:val="20"/>
              </w:rPr>
            </w:pPr>
            <w:r>
              <w:rPr>
                <w:b/>
                <w:w w:val="100"/>
                <w:sz w:val="20"/>
              </w:rPr>
              <w:t>5</w:t>
            </w:r>
          </w:p>
        </w:tc>
        <w:tc>
          <w:tcPr>
            <w:tcW w:w="416" w:type="dxa"/>
            <w:tcBorders>
              <w:bottom w:val="single" w:sz="4" w:space="0" w:color="666666"/>
            </w:tcBorders>
          </w:tcPr>
          <w:p>
            <w:pPr>
              <w:pStyle w:val="TableParagraph"/>
              <w:spacing w:line="204" w:lineRule="exact"/>
              <w:ind w:left="156"/>
              <w:rPr>
                <w:b/>
                <w:sz w:val="20"/>
              </w:rPr>
            </w:pPr>
            <w:r>
              <w:rPr>
                <w:b/>
                <w:w w:val="100"/>
                <w:sz w:val="20"/>
              </w:rPr>
              <w:t>6</w:t>
            </w:r>
          </w:p>
        </w:tc>
        <w:tc>
          <w:tcPr>
            <w:tcW w:w="416" w:type="dxa"/>
            <w:tcBorders>
              <w:bottom w:val="single" w:sz="4" w:space="0" w:color="666666"/>
            </w:tcBorders>
          </w:tcPr>
          <w:p>
            <w:pPr>
              <w:pStyle w:val="TableParagraph"/>
              <w:spacing w:line="204" w:lineRule="exact"/>
              <w:ind w:left="0" w:right="155"/>
              <w:jc w:val="right"/>
              <w:rPr>
                <w:b/>
                <w:sz w:val="20"/>
              </w:rPr>
            </w:pPr>
            <w:r>
              <w:rPr>
                <w:b/>
                <w:w w:val="100"/>
                <w:sz w:val="20"/>
              </w:rPr>
              <w:t>7</w:t>
            </w:r>
          </w:p>
        </w:tc>
        <w:tc>
          <w:tcPr>
            <w:tcW w:w="416" w:type="dxa"/>
            <w:tcBorders>
              <w:bottom w:val="single" w:sz="4" w:space="0" w:color="666666"/>
            </w:tcBorders>
          </w:tcPr>
          <w:p>
            <w:pPr>
              <w:pStyle w:val="TableParagraph"/>
              <w:spacing w:line="204" w:lineRule="exact"/>
              <w:ind w:left="0"/>
              <w:jc w:val="center"/>
              <w:rPr>
                <w:b/>
                <w:sz w:val="20"/>
              </w:rPr>
            </w:pPr>
            <w:r>
              <w:rPr>
                <w:b/>
                <w:w w:val="100"/>
                <w:sz w:val="20"/>
              </w:rPr>
              <w:t>8</w:t>
            </w:r>
          </w:p>
        </w:tc>
        <w:tc>
          <w:tcPr>
            <w:tcW w:w="416" w:type="dxa"/>
            <w:tcBorders>
              <w:bottom w:val="single" w:sz="4" w:space="0" w:color="666666"/>
            </w:tcBorders>
          </w:tcPr>
          <w:p>
            <w:pPr>
              <w:pStyle w:val="TableParagraph"/>
              <w:spacing w:line="204" w:lineRule="exact"/>
              <w:ind w:left="156"/>
              <w:rPr>
                <w:b/>
                <w:sz w:val="20"/>
              </w:rPr>
            </w:pPr>
            <w:r>
              <w:rPr>
                <w:b/>
                <w:w w:val="100"/>
                <w:sz w:val="20"/>
              </w:rPr>
              <w:t>9</w:t>
            </w:r>
          </w:p>
        </w:tc>
        <w:tc>
          <w:tcPr>
            <w:tcW w:w="1140" w:type="dxa"/>
            <w:tcBorders>
              <w:bottom w:val="single" w:sz="4" w:space="0" w:color="666666"/>
            </w:tcBorders>
          </w:tcPr>
          <w:p>
            <w:pPr>
              <w:pStyle w:val="TableParagraph"/>
              <w:spacing w:line="204" w:lineRule="exact"/>
              <w:ind w:left="358"/>
              <w:rPr>
                <w:b/>
                <w:sz w:val="20"/>
              </w:rPr>
            </w:pPr>
            <w:r>
              <w:rPr>
                <w:b/>
                <w:sz w:val="20"/>
              </w:rPr>
              <w:t>% (n)</w:t>
            </w:r>
          </w:p>
        </w:tc>
      </w:tr>
      <w:tr>
        <w:trPr>
          <w:trHeight w:val="257" w:hRule="exact"/>
        </w:trPr>
        <w:tc>
          <w:tcPr>
            <w:tcW w:w="4417" w:type="dxa"/>
            <w:tcBorders>
              <w:top w:val="single" w:sz="4" w:space="0" w:color="666666"/>
            </w:tcBorders>
            <w:shd w:val="clear" w:color="auto" w:fill="E4DFEB"/>
          </w:tcPr>
          <w:p>
            <w:pPr>
              <w:pStyle w:val="TableParagraph"/>
              <w:spacing w:line="243" w:lineRule="exact"/>
              <w:ind w:left="108"/>
              <w:rPr>
                <w:sz w:val="20"/>
              </w:rPr>
            </w:pPr>
            <w:r>
              <w:rPr>
                <w:sz w:val="20"/>
              </w:rPr>
              <w:t>What is overdose? (for patient leaflet)</w:t>
            </w:r>
          </w:p>
        </w:tc>
        <w:tc>
          <w:tcPr>
            <w:tcW w:w="1033" w:type="dxa"/>
            <w:tcBorders>
              <w:top w:val="single" w:sz="4" w:space="0" w:color="666666"/>
            </w:tcBorders>
            <w:shd w:val="clear" w:color="auto" w:fill="E4DFEB"/>
          </w:tcPr>
          <w:p>
            <w:pPr/>
          </w:p>
        </w:tc>
        <w:tc>
          <w:tcPr>
            <w:tcW w:w="416" w:type="dxa"/>
            <w:tcBorders>
              <w:top w:val="single" w:sz="4" w:space="0" w:color="666666"/>
            </w:tcBorders>
            <w:shd w:val="clear" w:color="auto" w:fill="E4DFEB"/>
          </w:tcPr>
          <w:p>
            <w:pPr/>
          </w:p>
        </w:tc>
        <w:tc>
          <w:tcPr>
            <w:tcW w:w="416" w:type="dxa"/>
            <w:tcBorders>
              <w:top w:val="single" w:sz="4" w:space="0" w:color="666666"/>
            </w:tcBorders>
            <w:shd w:val="clear" w:color="auto" w:fill="E4DFEB"/>
          </w:tcPr>
          <w:p>
            <w:pPr>
              <w:pStyle w:val="TableParagraph"/>
              <w:spacing w:before="1"/>
              <w:ind w:left="0"/>
              <w:jc w:val="center"/>
              <w:rPr>
                <w:rFonts w:ascii="Webdings" w:hAnsi="Webdings"/>
                <w:sz w:val="20"/>
              </w:rPr>
            </w:pPr>
            <w:r>
              <w:rPr>
                <w:rFonts w:ascii="Webdings" w:hAnsi="Webdings"/>
                <w:w w:val="100"/>
                <w:sz w:val="20"/>
              </w:rPr>
              <w:t></w:t>
            </w:r>
          </w:p>
        </w:tc>
        <w:tc>
          <w:tcPr>
            <w:tcW w:w="416" w:type="dxa"/>
            <w:tcBorders>
              <w:top w:val="single" w:sz="4" w:space="0" w:color="666666"/>
            </w:tcBorders>
            <w:shd w:val="clear" w:color="auto" w:fill="E4DFEB"/>
          </w:tcPr>
          <w:p>
            <w:pPr/>
          </w:p>
        </w:tc>
        <w:tc>
          <w:tcPr>
            <w:tcW w:w="416" w:type="dxa"/>
            <w:tcBorders>
              <w:top w:val="single" w:sz="4" w:space="0" w:color="666666"/>
            </w:tcBorders>
            <w:shd w:val="clear" w:color="auto" w:fill="E4DFEB"/>
          </w:tcPr>
          <w:p>
            <w:pPr/>
          </w:p>
        </w:tc>
        <w:tc>
          <w:tcPr>
            <w:tcW w:w="416" w:type="dxa"/>
            <w:tcBorders>
              <w:top w:val="single" w:sz="4" w:space="0" w:color="666666"/>
            </w:tcBorders>
            <w:shd w:val="clear" w:color="auto" w:fill="E4DFEB"/>
          </w:tcPr>
          <w:p>
            <w:pPr/>
          </w:p>
        </w:tc>
        <w:tc>
          <w:tcPr>
            <w:tcW w:w="416" w:type="dxa"/>
            <w:tcBorders>
              <w:top w:val="single" w:sz="4" w:space="0" w:color="666666"/>
            </w:tcBorders>
            <w:shd w:val="clear" w:color="auto" w:fill="E4DFEB"/>
          </w:tcPr>
          <w:p>
            <w:pPr>
              <w:pStyle w:val="TableParagraph"/>
              <w:spacing w:before="1"/>
              <w:ind w:left="0" w:right="107"/>
              <w:jc w:val="right"/>
              <w:rPr>
                <w:rFonts w:ascii="Webdings" w:hAnsi="Webdings"/>
                <w:sz w:val="20"/>
              </w:rPr>
            </w:pPr>
            <w:r>
              <w:rPr>
                <w:rFonts w:ascii="Webdings" w:hAnsi="Webdings"/>
                <w:w w:val="100"/>
                <w:sz w:val="20"/>
              </w:rPr>
              <w:t></w:t>
            </w:r>
          </w:p>
        </w:tc>
        <w:tc>
          <w:tcPr>
            <w:tcW w:w="416" w:type="dxa"/>
            <w:tcBorders>
              <w:top w:val="single" w:sz="4" w:space="0" w:color="666666"/>
            </w:tcBorders>
            <w:shd w:val="clear" w:color="auto" w:fill="E4DFEB"/>
          </w:tcPr>
          <w:p>
            <w:pPr/>
          </w:p>
        </w:tc>
        <w:tc>
          <w:tcPr>
            <w:tcW w:w="416" w:type="dxa"/>
            <w:tcBorders>
              <w:top w:val="single" w:sz="4" w:space="0" w:color="666666"/>
            </w:tcBorders>
            <w:shd w:val="clear" w:color="auto" w:fill="E4DFEB"/>
          </w:tcPr>
          <w:p>
            <w:pPr/>
          </w:p>
        </w:tc>
        <w:tc>
          <w:tcPr>
            <w:tcW w:w="1140" w:type="dxa"/>
            <w:tcBorders>
              <w:top w:val="single" w:sz="4" w:space="0" w:color="666666"/>
            </w:tcBorders>
            <w:shd w:val="clear" w:color="auto" w:fill="E4DFEB"/>
          </w:tcPr>
          <w:p>
            <w:pPr>
              <w:pStyle w:val="TableParagraph"/>
              <w:spacing w:line="243" w:lineRule="exact"/>
              <w:ind w:left="107"/>
              <w:rPr>
                <w:sz w:val="20"/>
              </w:rPr>
            </w:pPr>
            <w:r>
              <w:rPr>
                <w:sz w:val="20"/>
              </w:rPr>
              <w:t>22.2% (2)</w:t>
            </w:r>
          </w:p>
        </w:tc>
      </w:tr>
      <w:tr>
        <w:trPr>
          <w:trHeight w:val="246" w:hRule="exact"/>
        </w:trPr>
        <w:tc>
          <w:tcPr>
            <w:tcW w:w="4417" w:type="dxa"/>
            <w:shd w:val="clear" w:color="auto" w:fill="CCC0D9"/>
          </w:tcPr>
          <w:p>
            <w:pPr>
              <w:pStyle w:val="TableParagraph"/>
              <w:spacing w:line="243" w:lineRule="exact"/>
              <w:ind w:left="108"/>
              <w:rPr>
                <w:sz w:val="20"/>
              </w:rPr>
            </w:pPr>
            <w:r>
              <w:rPr>
                <w:sz w:val="20"/>
              </w:rPr>
              <w:t>How can overdose occur?</w:t>
            </w:r>
          </w:p>
        </w:tc>
        <w:tc>
          <w:tcPr>
            <w:tcW w:w="1033" w:type="dxa"/>
            <w:shd w:val="clear" w:color="auto" w:fill="CCC0D9"/>
          </w:tcPr>
          <w:p>
            <w:pPr/>
          </w:p>
        </w:tc>
        <w:tc>
          <w:tcPr>
            <w:tcW w:w="416" w:type="dxa"/>
            <w:shd w:val="clear" w:color="auto" w:fill="CCC0D9"/>
          </w:tcPr>
          <w:p>
            <w:pPr/>
          </w:p>
        </w:tc>
        <w:tc>
          <w:tcPr>
            <w:tcW w:w="416" w:type="dxa"/>
            <w:shd w:val="clear" w:color="auto" w:fill="CCC0D9"/>
          </w:tcPr>
          <w:p>
            <w:pPr/>
          </w:p>
        </w:tc>
        <w:tc>
          <w:tcPr>
            <w:tcW w:w="416" w:type="dxa"/>
            <w:shd w:val="clear" w:color="auto" w:fill="CCC0D9"/>
          </w:tcPr>
          <w:p>
            <w:pPr>
              <w:pStyle w:val="TableParagraph"/>
              <w:spacing w:before="1"/>
              <w:ind w:left="107"/>
              <w:rPr>
                <w:rFonts w:ascii="Webdings" w:hAnsi="Webdings"/>
                <w:sz w:val="20"/>
              </w:rPr>
            </w:pPr>
            <w:r>
              <w:rPr>
                <w:rFonts w:ascii="Webdings" w:hAnsi="Webdings"/>
                <w:w w:val="100"/>
                <w:sz w:val="20"/>
              </w:rPr>
              <w:t></w:t>
            </w:r>
          </w:p>
        </w:tc>
        <w:tc>
          <w:tcPr>
            <w:tcW w:w="416" w:type="dxa"/>
            <w:shd w:val="clear" w:color="auto" w:fill="CCC0D9"/>
          </w:tcPr>
          <w:p>
            <w:pPr>
              <w:pStyle w:val="TableParagraph"/>
              <w:spacing w:before="1"/>
              <w:ind w:left="0"/>
              <w:jc w:val="center"/>
              <w:rPr>
                <w:rFonts w:ascii="Webdings" w:hAnsi="Webdings"/>
                <w:sz w:val="20"/>
              </w:rPr>
            </w:pPr>
            <w:r>
              <w:rPr>
                <w:rFonts w:ascii="Webdings" w:hAnsi="Webdings"/>
                <w:w w:val="100"/>
                <w:sz w:val="20"/>
              </w:rPr>
              <w:t></w:t>
            </w:r>
          </w:p>
        </w:tc>
        <w:tc>
          <w:tcPr>
            <w:tcW w:w="416" w:type="dxa"/>
            <w:shd w:val="clear" w:color="auto" w:fill="CCC0D9"/>
          </w:tcPr>
          <w:p>
            <w:pPr/>
          </w:p>
        </w:tc>
        <w:tc>
          <w:tcPr>
            <w:tcW w:w="416" w:type="dxa"/>
            <w:shd w:val="clear" w:color="auto" w:fill="CCC0D9"/>
          </w:tcPr>
          <w:p>
            <w:pPr/>
          </w:p>
        </w:tc>
        <w:tc>
          <w:tcPr>
            <w:tcW w:w="416" w:type="dxa"/>
            <w:shd w:val="clear" w:color="auto" w:fill="CCC0D9"/>
          </w:tcPr>
          <w:p>
            <w:pPr>
              <w:pStyle w:val="TableParagraph"/>
              <w:spacing w:before="1"/>
              <w:ind w:left="0"/>
              <w:jc w:val="center"/>
              <w:rPr>
                <w:rFonts w:ascii="Webdings" w:hAnsi="Webdings"/>
                <w:sz w:val="20"/>
              </w:rPr>
            </w:pPr>
            <w:r>
              <w:rPr>
                <w:rFonts w:ascii="Webdings" w:hAnsi="Webdings"/>
                <w:w w:val="100"/>
                <w:sz w:val="20"/>
              </w:rPr>
              <w:t></w:t>
            </w:r>
          </w:p>
        </w:tc>
        <w:tc>
          <w:tcPr>
            <w:tcW w:w="416" w:type="dxa"/>
            <w:shd w:val="clear" w:color="auto" w:fill="CCC0D9"/>
          </w:tcPr>
          <w:p>
            <w:pPr/>
          </w:p>
        </w:tc>
        <w:tc>
          <w:tcPr>
            <w:tcW w:w="1140" w:type="dxa"/>
            <w:shd w:val="clear" w:color="auto" w:fill="CCC0D9"/>
          </w:tcPr>
          <w:p>
            <w:pPr>
              <w:pStyle w:val="TableParagraph"/>
              <w:spacing w:line="243" w:lineRule="exact"/>
              <w:ind w:left="107"/>
              <w:rPr>
                <w:sz w:val="20"/>
              </w:rPr>
            </w:pPr>
            <w:r>
              <w:rPr>
                <w:sz w:val="20"/>
              </w:rPr>
              <w:t>33.3% (3)</w:t>
            </w:r>
          </w:p>
        </w:tc>
      </w:tr>
      <w:tr>
        <w:trPr>
          <w:trHeight w:val="252" w:hRule="exact"/>
        </w:trPr>
        <w:tc>
          <w:tcPr>
            <w:tcW w:w="4417" w:type="dxa"/>
            <w:shd w:val="clear" w:color="auto" w:fill="CCC0D9"/>
          </w:tcPr>
          <w:p>
            <w:pPr>
              <w:pStyle w:val="TableParagraph"/>
              <w:spacing w:before="5"/>
              <w:ind w:left="108"/>
              <w:rPr>
                <w:sz w:val="20"/>
              </w:rPr>
            </w:pPr>
            <w:r>
              <w:rPr>
                <w:sz w:val="20"/>
              </w:rPr>
              <w:t>Signs/symptoms</w:t>
            </w:r>
          </w:p>
        </w:tc>
        <w:tc>
          <w:tcPr>
            <w:tcW w:w="1033" w:type="dxa"/>
            <w:shd w:val="clear" w:color="auto" w:fill="CCC0D9"/>
          </w:tcPr>
          <w:p>
            <w:pPr>
              <w:pStyle w:val="TableParagraph"/>
              <w:spacing w:before="6"/>
              <w:ind w:left="0" w:right="107"/>
              <w:jc w:val="right"/>
              <w:rPr>
                <w:rFonts w:ascii="Webdings" w:hAnsi="Webdings"/>
                <w:sz w:val="20"/>
              </w:rPr>
            </w:pPr>
            <w:r>
              <w:rPr>
                <w:rFonts w:ascii="Webdings" w:hAnsi="Webdings"/>
                <w:w w:val="100"/>
                <w:sz w:val="20"/>
              </w:rPr>
              <w:t></w:t>
            </w:r>
          </w:p>
        </w:tc>
        <w:tc>
          <w:tcPr>
            <w:tcW w:w="416" w:type="dxa"/>
            <w:shd w:val="clear" w:color="auto" w:fill="CCC0D9"/>
          </w:tcPr>
          <w:p>
            <w:pPr>
              <w:pStyle w:val="TableParagraph"/>
              <w:spacing w:before="6"/>
              <w:ind w:left="0" w:right="105"/>
              <w:jc w:val="right"/>
              <w:rPr>
                <w:rFonts w:ascii="Webdings" w:hAnsi="Webdings"/>
                <w:sz w:val="20"/>
              </w:rPr>
            </w:pPr>
            <w:r>
              <w:rPr>
                <w:rFonts w:ascii="Webdings" w:hAnsi="Webdings"/>
                <w:w w:val="100"/>
                <w:sz w:val="20"/>
              </w:rPr>
              <w:t></w:t>
            </w:r>
          </w:p>
        </w:tc>
        <w:tc>
          <w:tcPr>
            <w:tcW w:w="416" w:type="dxa"/>
            <w:shd w:val="clear" w:color="auto" w:fill="CCC0D9"/>
          </w:tcPr>
          <w:p>
            <w:pPr/>
          </w:p>
        </w:tc>
        <w:tc>
          <w:tcPr>
            <w:tcW w:w="416" w:type="dxa"/>
            <w:shd w:val="clear" w:color="auto" w:fill="CCC0D9"/>
          </w:tcPr>
          <w:p>
            <w:pPr/>
          </w:p>
        </w:tc>
        <w:tc>
          <w:tcPr>
            <w:tcW w:w="416" w:type="dxa"/>
            <w:shd w:val="clear" w:color="auto" w:fill="CCC0D9"/>
          </w:tcPr>
          <w:p>
            <w:pPr/>
          </w:p>
        </w:tc>
        <w:tc>
          <w:tcPr>
            <w:tcW w:w="416" w:type="dxa"/>
            <w:shd w:val="clear" w:color="auto" w:fill="CCC0D9"/>
          </w:tcPr>
          <w:p>
            <w:pPr>
              <w:pStyle w:val="TableParagraph"/>
              <w:spacing w:before="6"/>
              <w:ind w:left="107"/>
              <w:rPr>
                <w:rFonts w:ascii="Webdings" w:hAnsi="Webdings"/>
                <w:sz w:val="20"/>
              </w:rPr>
            </w:pPr>
            <w:r>
              <w:rPr>
                <w:rFonts w:ascii="Webdings" w:hAnsi="Webdings"/>
                <w:w w:val="100"/>
                <w:sz w:val="20"/>
              </w:rPr>
              <w:t></w:t>
            </w:r>
          </w:p>
        </w:tc>
        <w:tc>
          <w:tcPr>
            <w:tcW w:w="416" w:type="dxa"/>
            <w:shd w:val="clear" w:color="auto" w:fill="CCC0D9"/>
          </w:tcPr>
          <w:p>
            <w:pPr/>
          </w:p>
        </w:tc>
        <w:tc>
          <w:tcPr>
            <w:tcW w:w="416" w:type="dxa"/>
            <w:shd w:val="clear" w:color="auto" w:fill="CCC0D9"/>
          </w:tcPr>
          <w:p>
            <w:pPr/>
          </w:p>
        </w:tc>
        <w:tc>
          <w:tcPr>
            <w:tcW w:w="416" w:type="dxa"/>
            <w:shd w:val="clear" w:color="auto" w:fill="CCC0D9"/>
          </w:tcPr>
          <w:p>
            <w:pPr>
              <w:pStyle w:val="TableParagraph"/>
              <w:spacing w:before="6"/>
              <w:ind w:left="107"/>
              <w:rPr>
                <w:rFonts w:ascii="Webdings" w:hAnsi="Webdings"/>
                <w:sz w:val="20"/>
              </w:rPr>
            </w:pPr>
            <w:r>
              <w:rPr>
                <w:rFonts w:ascii="Webdings" w:hAnsi="Webdings"/>
                <w:w w:val="100"/>
                <w:sz w:val="20"/>
              </w:rPr>
              <w:t></w:t>
            </w:r>
          </w:p>
        </w:tc>
        <w:tc>
          <w:tcPr>
            <w:tcW w:w="1140" w:type="dxa"/>
            <w:shd w:val="clear" w:color="auto" w:fill="CCC0D9"/>
          </w:tcPr>
          <w:p>
            <w:pPr>
              <w:pStyle w:val="TableParagraph"/>
              <w:spacing w:before="5"/>
              <w:ind w:left="107"/>
              <w:rPr>
                <w:sz w:val="20"/>
              </w:rPr>
            </w:pPr>
            <w:r>
              <w:rPr>
                <w:sz w:val="20"/>
              </w:rPr>
              <w:t>44.4% (4)</w:t>
            </w:r>
          </w:p>
        </w:tc>
      </w:tr>
      <w:tr>
        <w:trPr>
          <w:trHeight w:val="258" w:hRule="exact"/>
        </w:trPr>
        <w:tc>
          <w:tcPr>
            <w:tcW w:w="4417" w:type="dxa"/>
            <w:shd w:val="clear" w:color="auto" w:fill="CCC0D9"/>
          </w:tcPr>
          <w:p>
            <w:pPr>
              <w:pStyle w:val="TableParagraph"/>
              <w:spacing w:before="5"/>
              <w:ind w:left="108"/>
              <w:rPr>
                <w:sz w:val="20"/>
              </w:rPr>
            </w:pPr>
            <w:r>
              <w:rPr>
                <w:sz w:val="20"/>
              </w:rPr>
              <w:t>Risk factors</w:t>
            </w:r>
          </w:p>
        </w:tc>
        <w:tc>
          <w:tcPr>
            <w:tcW w:w="1033" w:type="dxa"/>
            <w:shd w:val="clear" w:color="auto" w:fill="CCC0D9"/>
          </w:tcPr>
          <w:p>
            <w:pPr/>
          </w:p>
        </w:tc>
        <w:tc>
          <w:tcPr>
            <w:tcW w:w="416" w:type="dxa"/>
            <w:shd w:val="clear" w:color="auto" w:fill="CCC0D9"/>
          </w:tcPr>
          <w:p>
            <w:pPr>
              <w:pStyle w:val="TableParagraph"/>
              <w:spacing w:before="6"/>
              <w:ind w:left="0" w:right="105"/>
              <w:jc w:val="right"/>
              <w:rPr>
                <w:rFonts w:ascii="Webdings" w:hAnsi="Webdings"/>
                <w:sz w:val="20"/>
              </w:rPr>
            </w:pPr>
            <w:r>
              <w:rPr>
                <w:rFonts w:ascii="Webdings" w:hAnsi="Webdings"/>
                <w:w w:val="100"/>
                <w:sz w:val="20"/>
              </w:rPr>
              <w:t></w:t>
            </w:r>
          </w:p>
        </w:tc>
        <w:tc>
          <w:tcPr>
            <w:tcW w:w="416" w:type="dxa"/>
            <w:shd w:val="clear" w:color="auto" w:fill="CCC0D9"/>
          </w:tcPr>
          <w:p>
            <w:pPr/>
          </w:p>
        </w:tc>
        <w:tc>
          <w:tcPr>
            <w:tcW w:w="416" w:type="dxa"/>
            <w:shd w:val="clear" w:color="auto" w:fill="CCC0D9"/>
          </w:tcPr>
          <w:p>
            <w:pPr>
              <w:pStyle w:val="TableParagraph"/>
              <w:spacing w:before="6"/>
              <w:ind w:left="107"/>
              <w:rPr>
                <w:rFonts w:ascii="Webdings" w:hAnsi="Webdings"/>
                <w:sz w:val="20"/>
              </w:rPr>
            </w:pPr>
            <w:r>
              <w:rPr>
                <w:rFonts w:ascii="Webdings" w:hAnsi="Webdings"/>
                <w:w w:val="100"/>
                <w:sz w:val="20"/>
              </w:rPr>
              <w:t></w:t>
            </w:r>
          </w:p>
        </w:tc>
        <w:tc>
          <w:tcPr>
            <w:tcW w:w="416" w:type="dxa"/>
            <w:shd w:val="clear" w:color="auto" w:fill="CCC0D9"/>
          </w:tcPr>
          <w:p>
            <w:pPr/>
          </w:p>
        </w:tc>
        <w:tc>
          <w:tcPr>
            <w:tcW w:w="416" w:type="dxa"/>
            <w:shd w:val="clear" w:color="auto" w:fill="CCC0D9"/>
          </w:tcPr>
          <w:p>
            <w:pPr/>
          </w:p>
        </w:tc>
        <w:tc>
          <w:tcPr>
            <w:tcW w:w="416" w:type="dxa"/>
            <w:shd w:val="clear" w:color="auto" w:fill="CCC0D9"/>
          </w:tcPr>
          <w:p>
            <w:pPr>
              <w:pStyle w:val="TableParagraph"/>
              <w:spacing w:before="6"/>
              <w:ind w:left="0" w:right="107"/>
              <w:jc w:val="right"/>
              <w:rPr>
                <w:rFonts w:ascii="Webdings" w:hAnsi="Webdings"/>
                <w:sz w:val="20"/>
              </w:rPr>
            </w:pPr>
            <w:r>
              <w:rPr>
                <w:rFonts w:ascii="Webdings" w:hAnsi="Webdings"/>
                <w:w w:val="100"/>
                <w:sz w:val="20"/>
              </w:rPr>
              <w:t></w:t>
            </w:r>
          </w:p>
        </w:tc>
        <w:tc>
          <w:tcPr>
            <w:tcW w:w="416" w:type="dxa"/>
            <w:shd w:val="clear" w:color="auto" w:fill="CCC0D9"/>
          </w:tcPr>
          <w:p>
            <w:pPr/>
          </w:p>
        </w:tc>
        <w:tc>
          <w:tcPr>
            <w:tcW w:w="416" w:type="dxa"/>
            <w:shd w:val="clear" w:color="auto" w:fill="CCC0D9"/>
          </w:tcPr>
          <w:p>
            <w:pPr>
              <w:pStyle w:val="TableParagraph"/>
              <w:spacing w:before="6"/>
              <w:ind w:left="107"/>
              <w:rPr>
                <w:rFonts w:ascii="Webdings" w:hAnsi="Webdings"/>
                <w:sz w:val="20"/>
              </w:rPr>
            </w:pPr>
            <w:r>
              <w:rPr>
                <w:rFonts w:ascii="Webdings" w:hAnsi="Webdings"/>
                <w:w w:val="100"/>
                <w:sz w:val="20"/>
              </w:rPr>
              <w:t></w:t>
            </w:r>
          </w:p>
        </w:tc>
        <w:tc>
          <w:tcPr>
            <w:tcW w:w="1140" w:type="dxa"/>
            <w:shd w:val="clear" w:color="auto" w:fill="CCC0D9"/>
          </w:tcPr>
          <w:p>
            <w:pPr>
              <w:pStyle w:val="TableParagraph"/>
              <w:spacing w:before="5"/>
              <w:ind w:left="107"/>
              <w:rPr>
                <w:sz w:val="20"/>
              </w:rPr>
            </w:pPr>
            <w:r>
              <w:rPr>
                <w:sz w:val="20"/>
              </w:rPr>
              <w:t>44.4% (4)</w:t>
            </w:r>
          </w:p>
        </w:tc>
      </w:tr>
      <w:tr>
        <w:trPr>
          <w:trHeight w:val="252" w:hRule="exact"/>
        </w:trPr>
        <w:tc>
          <w:tcPr>
            <w:tcW w:w="4417" w:type="dxa"/>
            <w:shd w:val="clear" w:color="auto" w:fill="E4DFEB"/>
          </w:tcPr>
          <w:p>
            <w:pPr>
              <w:pStyle w:val="TableParagraph"/>
              <w:spacing w:line="243" w:lineRule="exact"/>
              <w:ind w:left="108"/>
              <w:rPr>
                <w:sz w:val="20"/>
              </w:rPr>
            </w:pPr>
            <w:r>
              <w:rPr>
                <w:sz w:val="20"/>
              </w:rPr>
              <w:t>Reducing risk</w:t>
            </w:r>
          </w:p>
        </w:tc>
        <w:tc>
          <w:tcPr>
            <w:tcW w:w="1033" w:type="dxa"/>
            <w:shd w:val="clear" w:color="auto" w:fill="E4DFEB"/>
          </w:tcPr>
          <w:p>
            <w:pPr/>
          </w:p>
        </w:tc>
        <w:tc>
          <w:tcPr>
            <w:tcW w:w="416" w:type="dxa"/>
            <w:shd w:val="clear" w:color="auto" w:fill="E4DFEB"/>
          </w:tcPr>
          <w:p>
            <w:pPr>
              <w:pStyle w:val="TableParagraph"/>
              <w:spacing w:before="1"/>
              <w:ind w:left="0" w:right="105"/>
              <w:jc w:val="right"/>
              <w:rPr>
                <w:rFonts w:ascii="Webdings" w:hAnsi="Webdings"/>
                <w:sz w:val="20"/>
              </w:rPr>
            </w:pPr>
            <w:r>
              <w:rPr>
                <w:rFonts w:ascii="Webdings" w:hAnsi="Webdings"/>
                <w:w w:val="100"/>
                <w:sz w:val="20"/>
              </w:rPr>
              <w:t></w:t>
            </w:r>
          </w:p>
        </w:tc>
        <w:tc>
          <w:tcPr>
            <w:tcW w:w="416" w:type="dxa"/>
            <w:shd w:val="clear" w:color="auto" w:fill="E4DFEB"/>
          </w:tcPr>
          <w:p>
            <w:pPr/>
          </w:p>
        </w:tc>
        <w:tc>
          <w:tcPr>
            <w:tcW w:w="416" w:type="dxa"/>
            <w:shd w:val="clear" w:color="auto" w:fill="E4DFEB"/>
          </w:tcPr>
          <w:p>
            <w:pPr/>
          </w:p>
        </w:tc>
        <w:tc>
          <w:tcPr>
            <w:tcW w:w="416" w:type="dxa"/>
            <w:shd w:val="clear" w:color="auto" w:fill="E4DFEB"/>
          </w:tcPr>
          <w:p>
            <w:pPr/>
          </w:p>
        </w:tc>
        <w:tc>
          <w:tcPr>
            <w:tcW w:w="416" w:type="dxa"/>
            <w:shd w:val="clear" w:color="auto" w:fill="E4DFEB"/>
          </w:tcPr>
          <w:p>
            <w:pPr/>
          </w:p>
        </w:tc>
        <w:tc>
          <w:tcPr>
            <w:tcW w:w="416" w:type="dxa"/>
            <w:shd w:val="clear" w:color="auto" w:fill="E4DFEB"/>
          </w:tcPr>
          <w:p>
            <w:pPr>
              <w:pStyle w:val="TableParagraph"/>
              <w:spacing w:before="1"/>
              <w:ind w:left="0" w:right="107"/>
              <w:jc w:val="right"/>
              <w:rPr>
                <w:rFonts w:ascii="Webdings" w:hAnsi="Webdings"/>
                <w:sz w:val="20"/>
              </w:rPr>
            </w:pPr>
            <w:r>
              <w:rPr>
                <w:rFonts w:ascii="Webdings" w:hAnsi="Webdings"/>
                <w:w w:val="100"/>
                <w:sz w:val="20"/>
              </w:rPr>
              <w:t></w:t>
            </w:r>
          </w:p>
        </w:tc>
        <w:tc>
          <w:tcPr>
            <w:tcW w:w="416" w:type="dxa"/>
            <w:shd w:val="clear" w:color="auto" w:fill="E4DFEB"/>
          </w:tcPr>
          <w:p>
            <w:pPr/>
          </w:p>
        </w:tc>
        <w:tc>
          <w:tcPr>
            <w:tcW w:w="416" w:type="dxa"/>
            <w:shd w:val="clear" w:color="auto" w:fill="E4DFEB"/>
          </w:tcPr>
          <w:p>
            <w:pPr/>
          </w:p>
        </w:tc>
        <w:tc>
          <w:tcPr>
            <w:tcW w:w="1140" w:type="dxa"/>
            <w:shd w:val="clear" w:color="auto" w:fill="E4DFEB"/>
          </w:tcPr>
          <w:p>
            <w:pPr>
              <w:pStyle w:val="TableParagraph"/>
              <w:spacing w:line="243" w:lineRule="exact"/>
              <w:ind w:left="107"/>
              <w:rPr>
                <w:sz w:val="20"/>
              </w:rPr>
            </w:pPr>
            <w:r>
              <w:rPr>
                <w:sz w:val="20"/>
              </w:rPr>
              <w:t>22.2% (2)</w:t>
            </w:r>
          </w:p>
        </w:tc>
      </w:tr>
      <w:tr>
        <w:trPr>
          <w:trHeight w:val="246" w:hRule="exact"/>
        </w:trPr>
        <w:tc>
          <w:tcPr>
            <w:tcW w:w="4417" w:type="dxa"/>
            <w:shd w:val="clear" w:color="auto" w:fill="CCC0D9"/>
          </w:tcPr>
          <w:p>
            <w:pPr>
              <w:pStyle w:val="TableParagraph"/>
              <w:spacing w:line="243" w:lineRule="exact"/>
              <w:ind w:left="108"/>
              <w:rPr>
                <w:sz w:val="20"/>
              </w:rPr>
            </w:pPr>
            <w:r>
              <w:rPr>
                <w:sz w:val="20"/>
              </w:rPr>
              <w:t>How to respond to an overdose</w:t>
            </w:r>
          </w:p>
        </w:tc>
        <w:tc>
          <w:tcPr>
            <w:tcW w:w="1033" w:type="dxa"/>
            <w:shd w:val="clear" w:color="auto" w:fill="CCC0D9"/>
          </w:tcPr>
          <w:p>
            <w:pPr/>
          </w:p>
        </w:tc>
        <w:tc>
          <w:tcPr>
            <w:tcW w:w="416" w:type="dxa"/>
            <w:shd w:val="clear" w:color="auto" w:fill="CCC0D9"/>
          </w:tcPr>
          <w:p>
            <w:pPr/>
          </w:p>
        </w:tc>
        <w:tc>
          <w:tcPr>
            <w:tcW w:w="416" w:type="dxa"/>
            <w:shd w:val="clear" w:color="auto" w:fill="CCC0D9"/>
          </w:tcPr>
          <w:p>
            <w:pPr>
              <w:pStyle w:val="TableParagraph"/>
              <w:spacing w:before="1"/>
              <w:ind w:left="0"/>
              <w:jc w:val="center"/>
              <w:rPr>
                <w:rFonts w:ascii="Webdings" w:hAnsi="Webdings"/>
                <w:sz w:val="20"/>
              </w:rPr>
            </w:pPr>
            <w:r>
              <w:rPr>
                <w:rFonts w:ascii="Webdings" w:hAnsi="Webdings"/>
                <w:w w:val="100"/>
                <w:sz w:val="20"/>
              </w:rPr>
              <w:t></w:t>
            </w:r>
          </w:p>
        </w:tc>
        <w:tc>
          <w:tcPr>
            <w:tcW w:w="416" w:type="dxa"/>
            <w:shd w:val="clear" w:color="auto" w:fill="CCC0D9"/>
          </w:tcPr>
          <w:p>
            <w:pPr/>
          </w:p>
        </w:tc>
        <w:tc>
          <w:tcPr>
            <w:tcW w:w="416" w:type="dxa"/>
            <w:shd w:val="clear" w:color="auto" w:fill="CCC0D9"/>
          </w:tcPr>
          <w:p>
            <w:pPr/>
          </w:p>
        </w:tc>
        <w:tc>
          <w:tcPr>
            <w:tcW w:w="416" w:type="dxa"/>
            <w:shd w:val="clear" w:color="auto" w:fill="CCC0D9"/>
          </w:tcPr>
          <w:p>
            <w:pPr/>
          </w:p>
        </w:tc>
        <w:tc>
          <w:tcPr>
            <w:tcW w:w="416" w:type="dxa"/>
            <w:shd w:val="clear" w:color="auto" w:fill="CCC0D9"/>
          </w:tcPr>
          <w:p>
            <w:pPr>
              <w:pStyle w:val="TableParagraph"/>
              <w:spacing w:before="1"/>
              <w:ind w:left="0" w:right="107"/>
              <w:jc w:val="right"/>
              <w:rPr>
                <w:rFonts w:ascii="Webdings" w:hAnsi="Webdings"/>
                <w:sz w:val="20"/>
              </w:rPr>
            </w:pPr>
            <w:r>
              <w:rPr>
                <w:rFonts w:ascii="Webdings" w:hAnsi="Webdings"/>
                <w:w w:val="100"/>
                <w:sz w:val="20"/>
              </w:rPr>
              <w:t></w:t>
            </w:r>
          </w:p>
        </w:tc>
        <w:tc>
          <w:tcPr>
            <w:tcW w:w="416" w:type="dxa"/>
            <w:shd w:val="clear" w:color="auto" w:fill="CCC0D9"/>
          </w:tcPr>
          <w:p>
            <w:pPr>
              <w:pStyle w:val="TableParagraph"/>
              <w:spacing w:before="1"/>
              <w:ind w:left="0"/>
              <w:jc w:val="center"/>
              <w:rPr>
                <w:rFonts w:ascii="Webdings" w:hAnsi="Webdings"/>
                <w:sz w:val="20"/>
              </w:rPr>
            </w:pPr>
            <w:r>
              <w:rPr>
                <w:rFonts w:ascii="Webdings" w:hAnsi="Webdings"/>
                <w:w w:val="100"/>
                <w:sz w:val="20"/>
              </w:rPr>
              <w:t></w:t>
            </w:r>
          </w:p>
        </w:tc>
        <w:tc>
          <w:tcPr>
            <w:tcW w:w="416" w:type="dxa"/>
            <w:shd w:val="clear" w:color="auto" w:fill="CCC0D9"/>
          </w:tcPr>
          <w:p>
            <w:pPr/>
          </w:p>
        </w:tc>
        <w:tc>
          <w:tcPr>
            <w:tcW w:w="1140" w:type="dxa"/>
            <w:shd w:val="clear" w:color="auto" w:fill="CCC0D9"/>
          </w:tcPr>
          <w:p>
            <w:pPr>
              <w:pStyle w:val="TableParagraph"/>
              <w:spacing w:line="243" w:lineRule="exact"/>
              <w:ind w:left="107"/>
              <w:rPr>
                <w:sz w:val="20"/>
              </w:rPr>
            </w:pPr>
            <w:r>
              <w:rPr>
                <w:sz w:val="20"/>
              </w:rPr>
              <w:t>33.3% (3)</w:t>
            </w:r>
          </w:p>
        </w:tc>
      </w:tr>
      <w:tr>
        <w:trPr>
          <w:trHeight w:val="252" w:hRule="exact"/>
        </w:trPr>
        <w:tc>
          <w:tcPr>
            <w:tcW w:w="4417" w:type="dxa"/>
            <w:shd w:val="clear" w:color="auto" w:fill="CCC0D9"/>
          </w:tcPr>
          <w:p>
            <w:pPr>
              <w:pStyle w:val="TableParagraph"/>
              <w:spacing w:before="5"/>
              <w:ind w:left="108"/>
              <w:rPr>
                <w:sz w:val="20"/>
              </w:rPr>
            </w:pPr>
            <w:r>
              <w:rPr>
                <w:sz w:val="20"/>
              </w:rPr>
              <w:t>Other pain management strategies</w:t>
            </w:r>
          </w:p>
        </w:tc>
        <w:tc>
          <w:tcPr>
            <w:tcW w:w="1033" w:type="dxa"/>
            <w:shd w:val="clear" w:color="auto" w:fill="CCC0D9"/>
          </w:tcPr>
          <w:p>
            <w:pPr/>
          </w:p>
        </w:tc>
        <w:tc>
          <w:tcPr>
            <w:tcW w:w="416" w:type="dxa"/>
            <w:shd w:val="clear" w:color="auto" w:fill="CCC0D9"/>
          </w:tcPr>
          <w:p>
            <w:pPr>
              <w:pStyle w:val="TableParagraph"/>
              <w:spacing w:before="6"/>
              <w:ind w:left="0" w:right="105"/>
              <w:jc w:val="right"/>
              <w:rPr>
                <w:rFonts w:ascii="Webdings" w:hAnsi="Webdings"/>
                <w:sz w:val="20"/>
              </w:rPr>
            </w:pPr>
            <w:r>
              <w:rPr>
                <w:rFonts w:ascii="Webdings" w:hAnsi="Webdings"/>
                <w:w w:val="100"/>
                <w:sz w:val="20"/>
              </w:rPr>
              <w:t></w:t>
            </w:r>
          </w:p>
        </w:tc>
        <w:tc>
          <w:tcPr>
            <w:tcW w:w="416" w:type="dxa"/>
            <w:shd w:val="clear" w:color="auto" w:fill="CCC0D9"/>
          </w:tcPr>
          <w:p>
            <w:pPr/>
          </w:p>
        </w:tc>
        <w:tc>
          <w:tcPr>
            <w:tcW w:w="416" w:type="dxa"/>
            <w:shd w:val="clear" w:color="auto" w:fill="CCC0D9"/>
          </w:tcPr>
          <w:p>
            <w:pPr/>
          </w:p>
        </w:tc>
        <w:tc>
          <w:tcPr>
            <w:tcW w:w="416" w:type="dxa"/>
            <w:shd w:val="clear" w:color="auto" w:fill="CCC0D9"/>
          </w:tcPr>
          <w:p>
            <w:pPr>
              <w:pStyle w:val="TableParagraph"/>
              <w:spacing w:before="6"/>
              <w:ind w:left="0"/>
              <w:jc w:val="center"/>
              <w:rPr>
                <w:rFonts w:ascii="Webdings" w:hAnsi="Webdings"/>
                <w:sz w:val="20"/>
              </w:rPr>
            </w:pPr>
            <w:r>
              <w:rPr>
                <w:rFonts w:ascii="Webdings" w:hAnsi="Webdings"/>
                <w:w w:val="100"/>
                <w:sz w:val="20"/>
              </w:rPr>
              <w:t></w:t>
            </w:r>
          </w:p>
        </w:tc>
        <w:tc>
          <w:tcPr>
            <w:tcW w:w="416" w:type="dxa"/>
            <w:shd w:val="clear" w:color="auto" w:fill="CCC0D9"/>
          </w:tcPr>
          <w:p>
            <w:pPr/>
          </w:p>
        </w:tc>
        <w:tc>
          <w:tcPr>
            <w:tcW w:w="416" w:type="dxa"/>
            <w:shd w:val="clear" w:color="auto" w:fill="CCC0D9"/>
          </w:tcPr>
          <w:p>
            <w:pPr>
              <w:pStyle w:val="TableParagraph"/>
              <w:spacing w:before="6"/>
              <w:ind w:left="0" w:right="107"/>
              <w:jc w:val="right"/>
              <w:rPr>
                <w:rFonts w:ascii="Webdings" w:hAnsi="Webdings"/>
                <w:sz w:val="20"/>
              </w:rPr>
            </w:pPr>
            <w:r>
              <w:rPr>
                <w:rFonts w:ascii="Webdings" w:hAnsi="Webdings"/>
                <w:w w:val="100"/>
                <w:sz w:val="20"/>
              </w:rPr>
              <w:t></w:t>
            </w:r>
          </w:p>
        </w:tc>
        <w:tc>
          <w:tcPr>
            <w:tcW w:w="416" w:type="dxa"/>
            <w:shd w:val="clear" w:color="auto" w:fill="CCC0D9"/>
          </w:tcPr>
          <w:p>
            <w:pPr/>
          </w:p>
        </w:tc>
        <w:tc>
          <w:tcPr>
            <w:tcW w:w="416" w:type="dxa"/>
            <w:shd w:val="clear" w:color="auto" w:fill="CCC0D9"/>
          </w:tcPr>
          <w:p>
            <w:pPr/>
          </w:p>
        </w:tc>
        <w:tc>
          <w:tcPr>
            <w:tcW w:w="1140" w:type="dxa"/>
            <w:shd w:val="clear" w:color="auto" w:fill="CCC0D9"/>
          </w:tcPr>
          <w:p>
            <w:pPr>
              <w:pStyle w:val="TableParagraph"/>
              <w:spacing w:before="5"/>
              <w:ind w:left="107"/>
              <w:rPr>
                <w:sz w:val="20"/>
              </w:rPr>
            </w:pPr>
            <w:r>
              <w:rPr>
                <w:sz w:val="20"/>
              </w:rPr>
              <w:t>33.3% (3)</w:t>
            </w:r>
          </w:p>
        </w:tc>
      </w:tr>
      <w:tr>
        <w:trPr>
          <w:trHeight w:val="258" w:hRule="exact"/>
        </w:trPr>
        <w:tc>
          <w:tcPr>
            <w:tcW w:w="4417" w:type="dxa"/>
            <w:shd w:val="clear" w:color="auto" w:fill="CCC0D9"/>
          </w:tcPr>
          <w:p>
            <w:pPr>
              <w:pStyle w:val="TableParagraph"/>
              <w:spacing w:before="5"/>
              <w:ind w:left="108"/>
              <w:rPr>
                <w:sz w:val="20"/>
              </w:rPr>
            </w:pPr>
            <w:r>
              <w:rPr>
                <w:sz w:val="20"/>
              </w:rPr>
              <w:t>Role for other people (for patient leaflet)</w:t>
            </w:r>
          </w:p>
        </w:tc>
        <w:tc>
          <w:tcPr>
            <w:tcW w:w="1033" w:type="dxa"/>
            <w:shd w:val="clear" w:color="auto" w:fill="CCC0D9"/>
          </w:tcPr>
          <w:p>
            <w:pPr>
              <w:pStyle w:val="TableParagraph"/>
              <w:spacing w:before="6"/>
              <w:ind w:left="0" w:right="107"/>
              <w:jc w:val="right"/>
              <w:rPr>
                <w:rFonts w:ascii="Webdings" w:hAnsi="Webdings"/>
                <w:sz w:val="20"/>
              </w:rPr>
            </w:pPr>
            <w:r>
              <w:rPr>
                <w:rFonts w:ascii="Webdings" w:hAnsi="Webdings"/>
                <w:w w:val="100"/>
                <w:sz w:val="20"/>
              </w:rPr>
              <w:t></w:t>
            </w:r>
          </w:p>
        </w:tc>
        <w:tc>
          <w:tcPr>
            <w:tcW w:w="416" w:type="dxa"/>
            <w:shd w:val="clear" w:color="auto" w:fill="CCC0D9"/>
          </w:tcPr>
          <w:p>
            <w:pPr>
              <w:pStyle w:val="TableParagraph"/>
              <w:spacing w:before="6"/>
              <w:ind w:left="0" w:right="105"/>
              <w:jc w:val="right"/>
              <w:rPr>
                <w:rFonts w:ascii="Webdings" w:hAnsi="Webdings"/>
                <w:sz w:val="20"/>
              </w:rPr>
            </w:pPr>
            <w:r>
              <w:rPr>
                <w:rFonts w:ascii="Webdings" w:hAnsi="Webdings"/>
                <w:w w:val="100"/>
                <w:sz w:val="20"/>
              </w:rPr>
              <w:t></w:t>
            </w:r>
          </w:p>
        </w:tc>
        <w:tc>
          <w:tcPr>
            <w:tcW w:w="416" w:type="dxa"/>
            <w:shd w:val="clear" w:color="auto" w:fill="CCC0D9"/>
          </w:tcPr>
          <w:p>
            <w:pPr>
              <w:pStyle w:val="TableParagraph"/>
              <w:spacing w:before="6"/>
              <w:ind w:left="0"/>
              <w:jc w:val="center"/>
              <w:rPr>
                <w:rFonts w:ascii="Webdings" w:hAnsi="Webdings"/>
                <w:sz w:val="20"/>
              </w:rPr>
            </w:pPr>
            <w:r>
              <w:rPr>
                <w:rFonts w:ascii="Webdings" w:hAnsi="Webdings"/>
                <w:w w:val="100"/>
                <w:sz w:val="20"/>
              </w:rPr>
              <w:t></w:t>
            </w:r>
          </w:p>
        </w:tc>
        <w:tc>
          <w:tcPr>
            <w:tcW w:w="416" w:type="dxa"/>
            <w:shd w:val="clear" w:color="auto" w:fill="CCC0D9"/>
          </w:tcPr>
          <w:p>
            <w:pPr/>
          </w:p>
        </w:tc>
        <w:tc>
          <w:tcPr>
            <w:tcW w:w="416" w:type="dxa"/>
            <w:shd w:val="clear" w:color="auto" w:fill="CCC0D9"/>
          </w:tcPr>
          <w:p>
            <w:pPr/>
          </w:p>
        </w:tc>
        <w:tc>
          <w:tcPr>
            <w:tcW w:w="416" w:type="dxa"/>
            <w:shd w:val="clear" w:color="auto" w:fill="CCC0D9"/>
          </w:tcPr>
          <w:p>
            <w:pPr/>
          </w:p>
        </w:tc>
        <w:tc>
          <w:tcPr>
            <w:tcW w:w="416" w:type="dxa"/>
            <w:shd w:val="clear" w:color="auto" w:fill="CCC0D9"/>
          </w:tcPr>
          <w:p>
            <w:pPr/>
          </w:p>
        </w:tc>
        <w:tc>
          <w:tcPr>
            <w:tcW w:w="416" w:type="dxa"/>
            <w:shd w:val="clear" w:color="auto" w:fill="CCC0D9"/>
          </w:tcPr>
          <w:p>
            <w:pPr>
              <w:pStyle w:val="TableParagraph"/>
              <w:spacing w:before="6"/>
              <w:ind w:left="0"/>
              <w:jc w:val="center"/>
              <w:rPr>
                <w:rFonts w:ascii="Webdings" w:hAnsi="Webdings"/>
                <w:sz w:val="20"/>
              </w:rPr>
            </w:pPr>
            <w:r>
              <w:rPr>
                <w:rFonts w:ascii="Webdings" w:hAnsi="Webdings"/>
                <w:w w:val="100"/>
                <w:sz w:val="20"/>
              </w:rPr>
              <w:t></w:t>
            </w:r>
          </w:p>
        </w:tc>
        <w:tc>
          <w:tcPr>
            <w:tcW w:w="416" w:type="dxa"/>
            <w:shd w:val="clear" w:color="auto" w:fill="CCC0D9"/>
          </w:tcPr>
          <w:p>
            <w:pPr/>
          </w:p>
        </w:tc>
        <w:tc>
          <w:tcPr>
            <w:tcW w:w="1140" w:type="dxa"/>
            <w:shd w:val="clear" w:color="auto" w:fill="CCC0D9"/>
          </w:tcPr>
          <w:p>
            <w:pPr>
              <w:pStyle w:val="TableParagraph"/>
              <w:spacing w:before="5"/>
              <w:ind w:left="107"/>
              <w:rPr>
                <w:sz w:val="20"/>
              </w:rPr>
            </w:pPr>
            <w:r>
              <w:rPr>
                <w:sz w:val="20"/>
              </w:rPr>
              <w:t>44.4% (4)</w:t>
            </w:r>
          </w:p>
        </w:tc>
      </w:tr>
      <w:tr>
        <w:trPr>
          <w:trHeight w:val="252" w:hRule="exact"/>
        </w:trPr>
        <w:tc>
          <w:tcPr>
            <w:tcW w:w="4417" w:type="dxa"/>
            <w:shd w:val="clear" w:color="auto" w:fill="E4DFEB"/>
          </w:tcPr>
          <w:p>
            <w:pPr>
              <w:pStyle w:val="TableParagraph"/>
              <w:spacing w:line="243" w:lineRule="exact"/>
              <w:ind w:left="108"/>
              <w:rPr>
                <w:sz w:val="20"/>
              </w:rPr>
            </w:pPr>
            <w:r>
              <w:rPr>
                <w:sz w:val="20"/>
              </w:rPr>
              <w:t>Why is naloxone important?</w:t>
            </w:r>
          </w:p>
        </w:tc>
        <w:tc>
          <w:tcPr>
            <w:tcW w:w="1033" w:type="dxa"/>
            <w:shd w:val="clear" w:color="auto" w:fill="E4DFEB"/>
          </w:tcPr>
          <w:p>
            <w:pPr/>
          </w:p>
        </w:tc>
        <w:tc>
          <w:tcPr>
            <w:tcW w:w="416" w:type="dxa"/>
            <w:shd w:val="clear" w:color="auto" w:fill="E4DFEB"/>
          </w:tcPr>
          <w:p>
            <w:pPr>
              <w:pStyle w:val="TableParagraph"/>
              <w:spacing w:before="1"/>
              <w:ind w:left="0" w:right="105"/>
              <w:jc w:val="right"/>
              <w:rPr>
                <w:rFonts w:ascii="Webdings" w:hAnsi="Webdings"/>
                <w:sz w:val="20"/>
              </w:rPr>
            </w:pPr>
            <w:r>
              <w:rPr>
                <w:rFonts w:ascii="Webdings" w:hAnsi="Webdings"/>
                <w:w w:val="100"/>
                <w:sz w:val="20"/>
              </w:rPr>
              <w:t></w:t>
            </w:r>
          </w:p>
        </w:tc>
        <w:tc>
          <w:tcPr>
            <w:tcW w:w="416" w:type="dxa"/>
            <w:shd w:val="clear" w:color="auto" w:fill="E4DFEB"/>
          </w:tcPr>
          <w:p>
            <w:pPr/>
          </w:p>
        </w:tc>
        <w:tc>
          <w:tcPr>
            <w:tcW w:w="416" w:type="dxa"/>
            <w:shd w:val="clear" w:color="auto" w:fill="E4DFEB"/>
          </w:tcPr>
          <w:p>
            <w:pPr/>
          </w:p>
        </w:tc>
        <w:tc>
          <w:tcPr>
            <w:tcW w:w="416" w:type="dxa"/>
            <w:shd w:val="clear" w:color="auto" w:fill="E4DFEB"/>
          </w:tcPr>
          <w:p>
            <w:pPr>
              <w:pStyle w:val="TableParagraph"/>
              <w:spacing w:before="1"/>
              <w:ind w:left="0"/>
              <w:jc w:val="center"/>
              <w:rPr>
                <w:rFonts w:ascii="Webdings" w:hAnsi="Webdings"/>
                <w:sz w:val="20"/>
              </w:rPr>
            </w:pPr>
            <w:r>
              <w:rPr>
                <w:rFonts w:ascii="Webdings" w:hAnsi="Webdings"/>
                <w:w w:val="100"/>
                <w:sz w:val="20"/>
              </w:rPr>
              <w:t></w:t>
            </w:r>
          </w:p>
        </w:tc>
        <w:tc>
          <w:tcPr>
            <w:tcW w:w="416" w:type="dxa"/>
            <w:shd w:val="clear" w:color="auto" w:fill="E4DFEB"/>
          </w:tcPr>
          <w:p>
            <w:pPr/>
          </w:p>
        </w:tc>
        <w:tc>
          <w:tcPr>
            <w:tcW w:w="416" w:type="dxa"/>
            <w:shd w:val="clear" w:color="auto" w:fill="E4DFEB"/>
          </w:tcPr>
          <w:p>
            <w:pPr/>
          </w:p>
        </w:tc>
        <w:tc>
          <w:tcPr>
            <w:tcW w:w="416" w:type="dxa"/>
            <w:shd w:val="clear" w:color="auto" w:fill="E4DFEB"/>
          </w:tcPr>
          <w:p>
            <w:pPr/>
          </w:p>
        </w:tc>
        <w:tc>
          <w:tcPr>
            <w:tcW w:w="416" w:type="dxa"/>
            <w:shd w:val="clear" w:color="auto" w:fill="E4DFEB"/>
          </w:tcPr>
          <w:p>
            <w:pPr/>
          </w:p>
        </w:tc>
        <w:tc>
          <w:tcPr>
            <w:tcW w:w="1140" w:type="dxa"/>
            <w:shd w:val="clear" w:color="auto" w:fill="E4DFEB"/>
          </w:tcPr>
          <w:p>
            <w:pPr>
              <w:pStyle w:val="TableParagraph"/>
              <w:spacing w:line="243" w:lineRule="exact"/>
              <w:ind w:left="107"/>
              <w:rPr>
                <w:sz w:val="20"/>
              </w:rPr>
            </w:pPr>
            <w:r>
              <w:rPr>
                <w:sz w:val="20"/>
              </w:rPr>
              <w:t>22.2% (2)</w:t>
            </w:r>
          </w:p>
        </w:tc>
      </w:tr>
      <w:tr>
        <w:trPr>
          <w:trHeight w:val="246" w:hRule="exact"/>
        </w:trPr>
        <w:tc>
          <w:tcPr>
            <w:tcW w:w="4417" w:type="dxa"/>
            <w:shd w:val="clear" w:color="auto" w:fill="CCC0D9"/>
          </w:tcPr>
          <w:p>
            <w:pPr>
              <w:pStyle w:val="TableParagraph"/>
              <w:spacing w:line="243" w:lineRule="exact"/>
              <w:ind w:left="108"/>
              <w:rPr>
                <w:sz w:val="20"/>
              </w:rPr>
            </w:pPr>
            <w:r>
              <w:rPr>
                <w:sz w:val="20"/>
              </w:rPr>
              <w:t>How does naloxone work?</w:t>
            </w:r>
          </w:p>
        </w:tc>
        <w:tc>
          <w:tcPr>
            <w:tcW w:w="1033" w:type="dxa"/>
            <w:shd w:val="clear" w:color="auto" w:fill="CCC0D9"/>
          </w:tcPr>
          <w:p>
            <w:pPr/>
          </w:p>
        </w:tc>
        <w:tc>
          <w:tcPr>
            <w:tcW w:w="416" w:type="dxa"/>
            <w:shd w:val="clear" w:color="auto" w:fill="CCC0D9"/>
          </w:tcPr>
          <w:p>
            <w:pPr/>
          </w:p>
        </w:tc>
        <w:tc>
          <w:tcPr>
            <w:tcW w:w="416" w:type="dxa"/>
            <w:shd w:val="clear" w:color="auto" w:fill="CCC0D9"/>
          </w:tcPr>
          <w:p>
            <w:pPr/>
          </w:p>
        </w:tc>
        <w:tc>
          <w:tcPr>
            <w:tcW w:w="416" w:type="dxa"/>
            <w:shd w:val="clear" w:color="auto" w:fill="CCC0D9"/>
          </w:tcPr>
          <w:p>
            <w:pPr/>
          </w:p>
        </w:tc>
        <w:tc>
          <w:tcPr>
            <w:tcW w:w="416" w:type="dxa"/>
            <w:shd w:val="clear" w:color="auto" w:fill="CCC0D9"/>
          </w:tcPr>
          <w:p>
            <w:pPr/>
          </w:p>
        </w:tc>
        <w:tc>
          <w:tcPr>
            <w:tcW w:w="416" w:type="dxa"/>
            <w:shd w:val="clear" w:color="auto" w:fill="CCC0D9"/>
          </w:tcPr>
          <w:p>
            <w:pPr>
              <w:pStyle w:val="TableParagraph"/>
              <w:spacing w:before="1"/>
              <w:ind w:left="107"/>
              <w:rPr>
                <w:rFonts w:ascii="Webdings" w:hAnsi="Webdings"/>
                <w:sz w:val="20"/>
              </w:rPr>
            </w:pPr>
            <w:r>
              <w:rPr>
                <w:rFonts w:ascii="Webdings" w:hAnsi="Webdings"/>
                <w:w w:val="100"/>
                <w:sz w:val="20"/>
              </w:rPr>
              <w:t></w:t>
            </w:r>
          </w:p>
        </w:tc>
        <w:tc>
          <w:tcPr>
            <w:tcW w:w="416" w:type="dxa"/>
            <w:shd w:val="clear" w:color="auto" w:fill="CCC0D9"/>
          </w:tcPr>
          <w:p>
            <w:pPr>
              <w:pStyle w:val="TableParagraph"/>
              <w:spacing w:before="1"/>
              <w:ind w:left="0" w:right="107"/>
              <w:jc w:val="right"/>
              <w:rPr>
                <w:rFonts w:ascii="Webdings" w:hAnsi="Webdings"/>
                <w:sz w:val="20"/>
              </w:rPr>
            </w:pPr>
            <w:r>
              <w:rPr>
                <w:rFonts w:ascii="Webdings" w:hAnsi="Webdings"/>
                <w:w w:val="100"/>
                <w:sz w:val="20"/>
              </w:rPr>
              <w:t></w:t>
            </w:r>
          </w:p>
        </w:tc>
        <w:tc>
          <w:tcPr>
            <w:tcW w:w="416" w:type="dxa"/>
            <w:shd w:val="clear" w:color="auto" w:fill="CCC0D9"/>
          </w:tcPr>
          <w:p>
            <w:pPr>
              <w:pStyle w:val="TableParagraph"/>
              <w:spacing w:before="1"/>
              <w:ind w:left="0"/>
              <w:jc w:val="center"/>
              <w:rPr>
                <w:rFonts w:ascii="Webdings" w:hAnsi="Webdings"/>
                <w:sz w:val="20"/>
              </w:rPr>
            </w:pPr>
            <w:r>
              <w:rPr>
                <w:rFonts w:ascii="Webdings" w:hAnsi="Webdings"/>
                <w:w w:val="100"/>
                <w:sz w:val="20"/>
              </w:rPr>
              <w:t></w:t>
            </w:r>
          </w:p>
        </w:tc>
        <w:tc>
          <w:tcPr>
            <w:tcW w:w="416" w:type="dxa"/>
            <w:shd w:val="clear" w:color="auto" w:fill="CCC0D9"/>
          </w:tcPr>
          <w:p>
            <w:pPr/>
          </w:p>
        </w:tc>
        <w:tc>
          <w:tcPr>
            <w:tcW w:w="1140" w:type="dxa"/>
            <w:shd w:val="clear" w:color="auto" w:fill="CCC0D9"/>
          </w:tcPr>
          <w:p>
            <w:pPr>
              <w:pStyle w:val="TableParagraph"/>
              <w:spacing w:line="243" w:lineRule="exact"/>
              <w:ind w:left="107"/>
              <w:rPr>
                <w:sz w:val="20"/>
              </w:rPr>
            </w:pPr>
            <w:r>
              <w:rPr>
                <w:sz w:val="20"/>
              </w:rPr>
              <w:t>33.3% (3)</w:t>
            </w:r>
          </w:p>
        </w:tc>
      </w:tr>
      <w:tr>
        <w:trPr>
          <w:trHeight w:val="258" w:hRule="exact"/>
        </w:trPr>
        <w:tc>
          <w:tcPr>
            <w:tcW w:w="4417" w:type="dxa"/>
            <w:shd w:val="clear" w:color="auto" w:fill="CCC0D9"/>
          </w:tcPr>
          <w:p>
            <w:pPr>
              <w:pStyle w:val="TableParagraph"/>
              <w:spacing w:before="5"/>
              <w:ind w:left="108"/>
              <w:rPr>
                <w:sz w:val="20"/>
              </w:rPr>
            </w:pPr>
            <w:r>
              <w:rPr>
                <w:sz w:val="20"/>
              </w:rPr>
              <w:t>How to use naloxone</w:t>
            </w:r>
          </w:p>
        </w:tc>
        <w:tc>
          <w:tcPr>
            <w:tcW w:w="1033" w:type="dxa"/>
            <w:shd w:val="clear" w:color="auto" w:fill="CCC0D9"/>
          </w:tcPr>
          <w:p>
            <w:pPr/>
          </w:p>
        </w:tc>
        <w:tc>
          <w:tcPr>
            <w:tcW w:w="416" w:type="dxa"/>
            <w:shd w:val="clear" w:color="auto" w:fill="CCC0D9"/>
          </w:tcPr>
          <w:p>
            <w:pPr/>
          </w:p>
        </w:tc>
        <w:tc>
          <w:tcPr>
            <w:tcW w:w="416" w:type="dxa"/>
            <w:shd w:val="clear" w:color="auto" w:fill="CCC0D9"/>
          </w:tcPr>
          <w:p>
            <w:pPr>
              <w:pStyle w:val="TableParagraph"/>
              <w:spacing w:before="6"/>
              <w:ind w:left="0"/>
              <w:jc w:val="center"/>
              <w:rPr>
                <w:rFonts w:ascii="Webdings" w:hAnsi="Webdings"/>
                <w:sz w:val="20"/>
              </w:rPr>
            </w:pPr>
            <w:r>
              <w:rPr>
                <w:rFonts w:ascii="Webdings" w:hAnsi="Webdings"/>
                <w:w w:val="100"/>
                <w:sz w:val="20"/>
              </w:rPr>
              <w:t></w:t>
            </w:r>
          </w:p>
        </w:tc>
        <w:tc>
          <w:tcPr>
            <w:tcW w:w="416" w:type="dxa"/>
            <w:shd w:val="clear" w:color="auto" w:fill="CCC0D9"/>
          </w:tcPr>
          <w:p>
            <w:pPr/>
          </w:p>
        </w:tc>
        <w:tc>
          <w:tcPr>
            <w:tcW w:w="416" w:type="dxa"/>
            <w:shd w:val="clear" w:color="auto" w:fill="CCC0D9"/>
          </w:tcPr>
          <w:p>
            <w:pPr/>
          </w:p>
        </w:tc>
        <w:tc>
          <w:tcPr>
            <w:tcW w:w="416" w:type="dxa"/>
            <w:shd w:val="clear" w:color="auto" w:fill="CCC0D9"/>
          </w:tcPr>
          <w:p>
            <w:pPr>
              <w:pStyle w:val="TableParagraph"/>
              <w:spacing w:before="6"/>
              <w:ind w:left="107"/>
              <w:rPr>
                <w:rFonts w:ascii="Webdings" w:hAnsi="Webdings"/>
                <w:sz w:val="20"/>
              </w:rPr>
            </w:pPr>
            <w:r>
              <w:rPr>
                <w:rFonts w:ascii="Webdings" w:hAnsi="Webdings"/>
                <w:w w:val="100"/>
                <w:sz w:val="20"/>
              </w:rPr>
              <w:t></w:t>
            </w:r>
          </w:p>
        </w:tc>
        <w:tc>
          <w:tcPr>
            <w:tcW w:w="416" w:type="dxa"/>
            <w:shd w:val="clear" w:color="auto" w:fill="CCC0D9"/>
          </w:tcPr>
          <w:p>
            <w:pPr>
              <w:pStyle w:val="TableParagraph"/>
              <w:spacing w:before="6"/>
              <w:ind w:left="0" w:right="107"/>
              <w:jc w:val="right"/>
              <w:rPr>
                <w:rFonts w:ascii="Webdings" w:hAnsi="Webdings"/>
                <w:sz w:val="20"/>
              </w:rPr>
            </w:pPr>
            <w:r>
              <w:rPr>
                <w:rFonts w:ascii="Webdings" w:hAnsi="Webdings"/>
                <w:w w:val="100"/>
                <w:sz w:val="20"/>
              </w:rPr>
              <w:t></w:t>
            </w:r>
          </w:p>
        </w:tc>
        <w:tc>
          <w:tcPr>
            <w:tcW w:w="416" w:type="dxa"/>
            <w:shd w:val="clear" w:color="auto" w:fill="CCC0D9"/>
          </w:tcPr>
          <w:p>
            <w:pPr>
              <w:pStyle w:val="TableParagraph"/>
              <w:spacing w:before="6"/>
              <w:ind w:left="0"/>
              <w:jc w:val="center"/>
              <w:rPr>
                <w:rFonts w:ascii="Webdings" w:hAnsi="Webdings"/>
                <w:sz w:val="20"/>
              </w:rPr>
            </w:pPr>
            <w:r>
              <w:rPr>
                <w:rFonts w:ascii="Webdings" w:hAnsi="Webdings"/>
                <w:w w:val="100"/>
                <w:sz w:val="20"/>
              </w:rPr>
              <w:t></w:t>
            </w:r>
          </w:p>
        </w:tc>
        <w:tc>
          <w:tcPr>
            <w:tcW w:w="416" w:type="dxa"/>
            <w:shd w:val="clear" w:color="auto" w:fill="CCC0D9"/>
          </w:tcPr>
          <w:p>
            <w:pPr/>
          </w:p>
        </w:tc>
        <w:tc>
          <w:tcPr>
            <w:tcW w:w="1140" w:type="dxa"/>
            <w:shd w:val="clear" w:color="auto" w:fill="CCC0D9"/>
          </w:tcPr>
          <w:p>
            <w:pPr>
              <w:pStyle w:val="TableParagraph"/>
              <w:spacing w:before="5"/>
              <w:ind w:left="107"/>
              <w:rPr>
                <w:sz w:val="20"/>
              </w:rPr>
            </w:pPr>
            <w:r>
              <w:rPr>
                <w:sz w:val="20"/>
              </w:rPr>
              <w:t>44.4% (4)</w:t>
            </w:r>
          </w:p>
        </w:tc>
      </w:tr>
      <w:tr>
        <w:trPr>
          <w:trHeight w:val="246" w:hRule="exact"/>
        </w:trPr>
        <w:tc>
          <w:tcPr>
            <w:tcW w:w="4417" w:type="dxa"/>
            <w:shd w:val="clear" w:color="auto" w:fill="E4DFEB"/>
          </w:tcPr>
          <w:p>
            <w:pPr>
              <w:pStyle w:val="TableParagraph"/>
              <w:spacing w:line="243" w:lineRule="exact"/>
              <w:ind w:left="108"/>
              <w:rPr>
                <w:sz w:val="20"/>
              </w:rPr>
            </w:pPr>
            <w:r>
              <w:rPr>
                <w:sz w:val="20"/>
              </w:rPr>
              <w:t>Who can administer?</w:t>
            </w:r>
          </w:p>
        </w:tc>
        <w:tc>
          <w:tcPr>
            <w:tcW w:w="1033" w:type="dxa"/>
            <w:shd w:val="clear" w:color="auto" w:fill="E4DFEB"/>
          </w:tcPr>
          <w:p>
            <w:pPr/>
          </w:p>
        </w:tc>
        <w:tc>
          <w:tcPr>
            <w:tcW w:w="416" w:type="dxa"/>
            <w:shd w:val="clear" w:color="auto" w:fill="E4DFEB"/>
          </w:tcPr>
          <w:p>
            <w:pPr/>
          </w:p>
        </w:tc>
        <w:tc>
          <w:tcPr>
            <w:tcW w:w="416" w:type="dxa"/>
            <w:shd w:val="clear" w:color="auto" w:fill="E4DFEB"/>
          </w:tcPr>
          <w:p>
            <w:pPr/>
          </w:p>
        </w:tc>
        <w:tc>
          <w:tcPr>
            <w:tcW w:w="416" w:type="dxa"/>
            <w:shd w:val="clear" w:color="auto" w:fill="E4DFEB"/>
          </w:tcPr>
          <w:p>
            <w:pPr/>
          </w:p>
        </w:tc>
        <w:tc>
          <w:tcPr>
            <w:tcW w:w="416" w:type="dxa"/>
            <w:shd w:val="clear" w:color="auto" w:fill="E4DFEB"/>
          </w:tcPr>
          <w:p>
            <w:pPr/>
          </w:p>
        </w:tc>
        <w:tc>
          <w:tcPr>
            <w:tcW w:w="416" w:type="dxa"/>
            <w:shd w:val="clear" w:color="auto" w:fill="E4DFEB"/>
          </w:tcPr>
          <w:p>
            <w:pPr/>
          </w:p>
        </w:tc>
        <w:tc>
          <w:tcPr>
            <w:tcW w:w="416" w:type="dxa"/>
            <w:shd w:val="clear" w:color="auto" w:fill="E4DFEB"/>
          </w:tcPr>
          <w:p>
            <w:pPr>
              <w:pStyle w:val="TableParagraph"/>
              <w:spacing w:before="1"/>
              <w:ind w:left="0" w:right="107"/>
              <w:jc w:val="right"/>
              <w:rPr>
                <w:rFonts w:ascii="Webdings" w:hAnsi="Webdings"/>
                <w:sz w:val="20"/>
              </w:rPr>
            </w:pPr>
            <w:r>
              <w:rPr>
                <w:rFonts w:ascii="Webdings" w:hAnsi="Webdings"/>
                <w:w w:val="100"/>
                <w:sz w:val="20"/>
              </w:rPr>
              <w:t></w:t>
            </w:r>
          </w:p>
        </w:tc>
        <w:tc>
          <w:tcPr>
            <w:tcW w:w="416" w:type="dxa"/>
            <w:shd w:val="clear" w:color="auto" w:fill="E4DFEB"/>
          </w:tcPr>
          <w:p>
            <w:pPr/>
          </w:p>
        </w:tc>
        <w:tc>
          <w:tcPr>
            <w:tcW w:w="416" w:type="dxa"/>
            <w:shd w:val="clear" w:color="auto" w:fill="E4DFEB"/>
          </w:tcPr>
          <w:p>
            <w:pPr/>
          </w:p>
        </w:tc>
        <w:tc>
          <w:tcPr>
            <w:tcW w:w="1140" w:type="dxa"/>
            <w:shd w:val="clear" w:color="auto" w:fill="E4DFEB"/>
          </w:tcPr>
          <w:p>
            <w:pPr>
              <w:pStyle w:val="TableParagraph"/>
              <w:spacing w:line="243" w:lineRule="exact"/>
              <w:ind w:left="107"/>
              <w:rPr>
                <w:sz w:val="20"/>
              </w:rPr>
            </w:pPr>
            <w:r>
              <w:rPr>
                <w:sz w:val="20"/>
              </w:rPr>
              <w:t>11.1% (1)</w:t>
            </w:r>
          </w:p>
        </w:tc>
      </w:tr>
      <w:tr>
        <w:trPr>
          <w:trHeight w:val="258" w:hRule="exact"/>
        </w:trPr>
        <w:tc>
          <w:tcPr>
            <w:tcW w:w="4417" w:type="dxa"/>
            <w:shd w:val="clear" w:color="auto" w:fill="E4DFEB"/>
          </w:tcPr>
          <w:p>
            <w:pPr>
              <w:pStyle w:val="TableParagraph"/>
              <w:spacing w:before="5"/>
              <w:ind w:left="108"/>
              <w:rPr>
                <w:sz w:val="20"/>
              </w:rPr>
            </w:pPr>
            <w:r>
              <w:rPr>
                <w:sz w:val="20"/>
              </w:rPr>
              <w:t>What to expect after administration</w:t>
            </w:r>
          </w:p>
        </w:tc>
        <w:tc>
          <w:tcPr>
            <w:tcW w:w="1033" w:type="dxa"/>
            <w:shd w:val="clear" w:color="auto" w:fill="E4DFEB"/>
          </w:tcPr>
          <w:p>
            <w:pPr/>
          </w:p>
        </w:tc>
        <w:tc>
          <w:tcPr>
            <w:tcW w:w="416" w:type="dxa"/>
            <w:shd w:val="clear" w:color="auto" w:fill="E4DFEB"/>
          </w:tcPr>
          <w:p>
            <w:pPr/>
          </w:p>
        </w:tc>
        <w:tc>
          <w:tcPr>
            <w:tcW w:w="416" w:type="dxa"/>
            <w:shd w:val="clear" w:color="auto" w:fill="E4DFEB"/>
          </w:tcPr>
          <w:p>
            <w:pPr/>
          </w:p>
        </w:tc>
        <w:tc>
          <w:tcPr>
            <w:tcW w:w="416" w:type="dxa"/>
            <w:shd w:val="clear" w:color="auto" w:fill="E4DFEB"/>
          </w:tcPr>
          <w:p>
            <w:pPr/>
          </w:p>
        </w:tc>
        <w:tc>
          <w:tcPr>
            <w:tcW w:w="416" w:type="dxa"/>
            <w:shd w:val="clear" w:color="auto" w:fill="E4DFEB"/>
          </w:tcPr>
          <w:p>
            <w:pPr/>
          </w:p>
        </w:tc>
        <w:tc>
          <w:tcPr>
            <w:tcW w:w="416" w:type="dxa"/>
            <w:shd w:val="clear" w:color="auto" w:fill="E4DFEB"/>
          </w:tcPr>
          <w:p>
            <w:pPr/>
          </w:p>
        </w:tc>
        <w:tc>
          <w:tcPr>
            <w:tcW w:w="416" w:type="dxa"/>
            <w:shd w:val="clear" w:color="auto" w:fill="E4DFEB"/>
          </w:tcPr>
          <w:p>
            <w:pPr>
              <w:pStyle w:val="TableParagraph"/>
              <w:spacing w:before="6"/>
              <w:ind w:left="0" w:right="107"/>
              <w:jc w:val="right"/>
              <w:rPr>
                <w:rFonts w:ascii="Webdings" w:hAnsi="Webdings"/>
                <w:sz w:val="20"/>
              </w:rPr>
            </w:pPr>
            <w:r>
              <w:rPr>
                <w:rFonts w:ascii="Webdings" w:hAnsi="Webdings"/>
                <w:w w:val="100"/>
                <w:sz w:val="20"/>
              </w:rPr>
              <w:t></w:t>
            </w:r>
          </w:p>
        </w:tc>
        <w:tc>
          <w:tcPr>
            <w:tcW w:w="416" w:type="dxa"/>
            <w:shd w:val="clear" w:color="auto" w:fill="E4DFEB"/>
          </w:tcPr>
          <w:p>
            <w:pPr/>
          </w:p>
        </w:tc>
        <w:tc>
          <w:tcPr>
            <w:tcW w:w="416" w:type="dxa"/>
            <w:shd w:val="clear" w:color="auto" w:fill="E4DFEB"/>
          </w:tcPr>
          <w:p>
            <w:pPr/>
          </w:p>
        </w:tc>
        <w:tc>
          <w:tcPr>
            <w:tcW w:w="1140" w:type="dxa"/>
            <w:shd w:val="clear" w:color="auto" w:fill="E4DFEB"/>
          </w:tcPr>
          <w:p>
            <w:pPr>
              <w:pStyle w:val="TableParagraph"/>
              <w:spacing w:before="5"/>
              <w:ind w:left="107"/>
              <w:rPr>
                <w:sz w:val="20"/>
              </w:rPr>
            </w:pPr>
            <w:r>
              <w:rPr>
                <w:sz w:val="20"/>
              </w:rPr>
              <w:t>11.1% (1)</w:t>
            </w:r>
          </w:p>
        </w:tc>
      </w:tr>
      <w:tr>
        <w:trPr>
          <w:trHeight w:val="252" w:hRule="exact"/>
        </w:trPr>
        <w:tc>
          <w:tcPr>
            <w:tcW w:w="4417" w:type="dxa"/>
            <w:shd w:val="clear" w:color="auto" w:fill="CCC0D9"/>
          </w:tcPr>
          <w:p>
            <w:pPr>
              <w:pStyle w:val="TableParagraph"/>
              <w:spacing w:line="243" w:lineRule="exact"/>
              <w:ind w:left="108"/>
              <w:rPr>
                <w:sz w:val="20"/>
              </w:rPr>
            </w:pPr>
            <w:r>
              <w:rPr>
                <w:sz w:val="20"/>
              </w:rPr>
              <w:t>Where/how is naloxone available?</w:t>
            </w:r>
          </w:p>
        </w:tc>
        <w:tc>
          <w:tcPr>
            <w:tcW w:w="1033" w:type="dxa"/>
            <w:shd w:val="clear" w:color="auto" w:fill="CCC0D9"/>
          </w:tcPr>
          <w:p>
            <w:pPr/>
          </w:p>
        </w:tc>
        <w:tc>
          <w:tcPr>
            <w:tcW w:w="416" w:type="dxa"/>
            <w:shd w:val="clear" w:color="auto" w:fill="CCC0D9"/>
          </w:tcPr>
          <w:p>
            <w:pPr>
              <w:pStyle w:val="TableParagraph"/>
              <w:spacing w:before="1"/>
              <w:ind w:left="0" w:right="105"/>
              <w:jc w:val="right"/>
              <w:rPr>
                <w:rFonts w:ascii="Webdings" w:hAnsi="Webdings"/>
                <w:sz w:val="20"/>
              </w:rPr>
            </w:pPr>
            <w:r>
              <w:rPr>
                <w:rFonts w:ascii="Webdings" w:hAnsi="Webdings"/>
                <w:w w:val="100"/>
                <w:sz w:val="20"/>
              </w:rPr>
              <w:t></w:t>
            </w:r>
          </w:p>
        </w:tc>
        <w:tc>
          <w:tcPr>
            <w:tcW w:w="416" w:type="dxa"/>
            <w:shd w:val="clear" w:color="auto" w:fill="CCC0D9"/>
          </w:tcPr>
          <w:p>
            <w:pPr/>
          </w:p>
        </w:tc>
        <w:tc>
          <w:tcPr>
            <w:tcW w:w="416" w:type="dxa"/>
            <w:shd w:val="clear" w:color="auto" w:fill="CCC0D9"/>
          </w:tcPr>
          <w:p>
            <w:pPr/>
          </w:p>
        </w:tc>
        <w:tc>
          <w:tcPr>
            <w:tcW w:w="416" w:type="dxa"/>
            <w:shd w:val="clear" w:color="auto" w:fill="CCC0D9"/>
          </w:tcPr>
          <w:p>
            <w:pPr/>
          </w:p>
        </w:tc>
        <w:tc>
          <w:tcPr>
            <w:tcW w:w="416" w:type="dxa"/>
            <w:shd w:val="clear" w:color="auto" w:fill="CCC0D9"/>
          </w:tcPr>
          <w:p>
            <w:pPr/>
          </w:p>
        </w:tc>
        <w:tc>
          <w:tcPr>
            <w:tcW w:w="416" w:type="dxa"/>
            <w:shd w:val="clear" w:color="auto" w:fill="CCC0D9"/>
          </w:tcPr>
          <w:p>
            <w:pPr>
              <w:pStyle w:val="TableParagraph"/>
              <w:spacing w:before="1"/>
              <w:ind w:left="0" w:right="107"/>
              <w:jc w:val="right"/>
              <w:rPr>
                <w:rFonts w:ascii="Webdings" w:hAnsi="Webdings"/>
                <w:sz w:val="20"/>
              </w:rPr>
            </w:pPr>
            <w:r>
              <w:rPr>
                <w:rFonts w:ascii="Webdings" w:hAnsi="Webdings"/>
                <w:w w:val="100"/>
                <w:sz w:val="20"/>
              </w:rPr>
              <w:t></w:t>
            </w:r>
          </w:p>
        </w:tc>
        <w:tc>
          <w:tcPr>
            <w:tcW w:w="416" w:type="dxa"/>
            <w:shd w:val="clear" w:color="auto" w:fill="CCC0D9"/>
          </w:tcPr>
          <w:p>
            <w:pPr>
              <w:pStyle w:val="TableParagraph"/>
              <w:spacing w:before="1"/>
              <w:ind w:left="0"/>
              <w:jc w:val="center"/>
              <w:rPr>
                <w:rFonts w:ascii="Webdings" w:hAnsi="Webdings"/>
                <w:sz w:val="20"/>
              </w:rPr>
            </w:pPr>
            <w:r>
              <w:rPr>
                <w:rFonts w:ascii="Webdings" w:hAnsi="Webdings"/>
                <w:w w:val="100"/>
                <w:sz w:val="20"/>
              </w:rPr>
              <w:t></w:t>
            </w:r>
          </w:p>
        </w:tc>
        <w:tc>
          <w:tcPr>
            <w:tcW w:w="416" w:type="dxa"/>
            <w:shd w:val="clear" w:color="auto" w:fill="CCC0D9"/>
          </w:tcPr>
          <w:p>
            <w:pPr/>
          </w:p>
        </w:tc>
        <w:tc>
          <w:tcPr>
            <w:tcW w:w="1140" w:type="dxa"/>
            <w:shd w:val="clear" w:color="auto" w:fill="CCC0D9"/>
          </w:tcPr>
          <w:p>
            <w:pPr>
              <w:pStyle w:val="TableParagraph"/>
              <w:spacing w:line="243" w:lineRule="exact"/>
              <w:ind w:left="107"/>
              <w:rPr>
                <w:sz w:val="20"/>
              </w:rPr>
            </w:pPr>
            <w:r>
              <w:rPr>
                <w:sz w:val="20"/>
              </w:rPr>
              <w:t>33.3% (3)</w:t>
            </w:r>
          </w:p>
        </w:tc>
      </w:tr>
      <w:tr>
        <w:trPr>
          <w:trHeight w:val="246" w:hRule="exact"/>
        </w:trPr>
        <w:tc>
          <w:tcPr>
            <w:tcW w:w="4417" w:type="dxa"/>
            <w:shd w:val="clear" w:color="auto" w:fill="E4DFEB"/>
          </w:tcPr>
          <w:p>
            <w:pPr>
              <w:pStyle w:val="TableParagraph"/>
              <w:spacing w:line="243" w:lineRule="exact"/>
              <w:ind w:left="108"/>
              <w:rPr>
                <w:sz w:val="20"/>
              </w:rPr>
            </w:pPr>
            <w:r>
              <w:rPr>
                <w:sz w:val="20"/>
              </w:rPr>
              <w:t>Safety</w:t>
            </w:r>
          </w:p>
        </w:tc>
        <w:tc>
          <w:tcPr>
            <w:tcW w:w="1033" w:type="dxa"/>
            <w:shd w:val="clear" w:color="auto" w:fill="E4DFEB"/>
          </w:tcPr>
          <w:p>
            <w:pPr/>
          </w:p>
        </w:tc>
        <w:tc>
          <w:tcPr>
            <w:tcW w:w="416" w:type="dxa"/>
            <w:shd w:val="clear" w:color="auto" w:fill="E4DFEB"/>
          </w:tcPr>
          <w:p>
            <w:pPr/>
          </w:p>
        </w:tc>
        <w:tc>
          <w:tcPr>
            <w:tcW w:w="416" w:type="dxa"/>
            <w:shd w:val="clear" w:color="auto" w:fill="E4DFEB"/>
          </w:tcPr>
          <w:p>
            <w:pPr/>
          </w:p>
        </w:tc>
        <w:tc>
          <w:tcPr>
            <w:tcW w:w="416" w:type="dxa"/>
            <w:shd w:val="clear" w:color="auto" w:fill="E4DFEB"/>
          </w:tcPr>
          <w:p>
            <w:pPr/>
          </w:p>
        </w:tc>
        <w:tc>
          <w:tcPr>
            <w:tcW w:w="416" w:type="dxa"/>
            <w:shd w:val="clear" w:color="auto" w:fill="E4DFEB"/>
          </w:tcPr>
          <w:p>
            <w:pPr/>
          </w:p>
        </w:tc>
        <w:tc>
          <w:tcPr>
            <w:tcW w:w="416" w:type="dxa"/>
            <w:shd w:val="clear" w:color="auto" w:fill="E4DFEB"/>
          </w:tcPr>
          <w:p>
            <w:pPr>
              <w:pStyle w:val="TableParagraph"/>
              <w:spacing w:before="1"/>
              <w:ind w:left="107"/>
              <w:rPr>
                <w:rFonts w:ascii="Webdings" w:hAnsi="Webdings"/>
                <w:sz w:val="20"/>
              </w:rPr>
            </w:pPr>
            <w:r>
              <w:rPr>
                <w:rFonts w:ascii="Webdings" w:hAnsi="Webdings"/>
                <w:w w:val="100"/>
                <w:sz w:val="20"/>
              </w:rPr>
              <w:t></w:t>
            </w:r>
          </w:p>
        </w:tc>
        <w:tc>
          <w:tcPr>
            <w:tcW w:w="416" w:type="dxa"/>
            <w:shd w:val="clear" w:color="auto" w:fill="E4DFEB"/>
          </w:tcPr>
          <w:p>
            <w:pPr/>
          </w:p>
        </w:tc>
        <w:tc>
          <w:tcPr>
            <w:tcW w:w="416" w:type="dxa"/>
            <w:shd w:val="clear" w:color="auto" w:fill="E4DFEB"/>
          </w:tcPr>
          <w:p>
            <w:pPr>
              <w:pStyle w:val="TableParagraph"/>
              <w:spacing w:before="1"/>
              <w:ind w:left="0"/>
              <w:jc w:val="center"/>
              <w:rPr>
                <w:rFonts w:ascii="Webdings" w:hAnsi="Webdings"/>
                <w:sz w:val="20"/>
              </w:rPr>
            </w:pPr>
            <w:r>
              <w:rPr>
                <w:rFonts w:ascii="Webdings" w:hAnsi="Webdings"/>
                <w:w w:val="100"/>
                <w:sz w:val="20"/>
              </w:rPr>
              <w:t></w:t>
            </w:r>
          </w:p>
        </w:tc>
        <w:tc>
          <w:tcPr>
            <w:tcW w:w="416" w:type="dxa"/>
            <w:shd w:val="clear" w:color="auto" w:fill="E4DFEB"/>
          </w:tcPr>
          <w:p>
            <w:pPr/>
          </w:p>
        </w:tc>
        <w:tc>
          <w:tcPr>
            <w:tcW w:w="1140" w:type="dxa"/>
            <w:shd w:val="clear" w:color="auto" w:fill="E4DFEB"/>
          </w:tcPr>
          <w:p>
            <w:pPr>
              <w:pStyle w:val="TableParagraph"/>
              <w:spacing w:line="243" w:lineRule="exact"/>
              <w:ind w:left="107"/>
              <w:rPr>
                <w:sz w:val="20"/>
              </w:rPr>
            </w:pPr>
            <w:r>
              <w:rPr>
                <w:sz w:val="20"/>
              </w:rPr>
              <w:t>22.2% (2)</w:t>
            </w:r>
          </w:p>
        </w:tc>
      </w:tr>
      <w:tr>
        <w:trPr>
          <w:trHeight w:val="258" w:hRule="exact"/>
        </w:trPr>
        <w:tc>
          <w:tcPr>
            <w:tcW w:w="4417" w:type="dxa"/>
            <w:shd w:val="clear" w:color="auto" w:fill="E4DFEB"/>
          </w:tcPr>
          <w:p>
            <w:pPr>
              <w:pStyle w:val="TableParagraph"/>
              <w:spacing w:before="5"/>
              <w:ind w:left="108"/>
              <w:rPr>
                <w:sz w:val="20"/>
              </w:rPr>
            </w:pPr>
            <w:r>
              <w:rPr>
                <w:sz w:val="20"/>
              </w:rPr>
              <w:t>Storage</w:t>
            </w:r>
          </w:p>
        </w:tc>
        <w:tc>
          <w:tcPr>
            <w:tcW w:w="1033" w:type="dxa"/>
            <w:shd w:val="clear" w:color="auto" w:fill="E4DFEB"/>
          </w:tcPr>
          <w:p>
            <w:pPr/>
          </w:p>
        </w:tc>
        <w:tc>
          <w:tcPr>
            <w:tcW w:w="416" w:type="dxa"/>
            <w:shd w:val="clear" w:color="auto" w:fill="E4DFEB"/>
          </w:tcPr>
          <w:p>
            <w:pPr/>
          </w:p>
        </w:tc>
        <w:tc>
          <w:tcPr>
            <w:tcW w:w="416" w:type="dxa"/>
            <w:shd w:val="clear" w:color="auto" w:fill="E4DFEB"/>
          </w:tcPr>
          <w:p>
            <w:pPr/>
          </w:p>
        </w:tc>
        <w:tc>
          <w:tcPr>
            <w:tcW w:w="416" w:type="dxa"/>
            <w:shd w:val="clear" w:color="auto" w:fill="E4DFEB"/>
          </w:tcPr>
          <w:p>
            <w:pPr/>
          </w:p>
        </w:tc>
        <w:tc>
          <w:tcPr>
            <w:tcW w:w="416" w:type="dxa"/>
            <w:shd w:val="clear" w:color="auto" w:fill="E4DFEB"/>
          </w:tcPr>
          <w:p>
            <w:pPr/>
          </w:p>
        </w:tc>
        <w:tc>
          <w:tcPr>
            <w:tcW w:w="416" w:type="dxa"/>
            <w:shd w:val="clear" w:color="auto" w:fill="E4DFEB"/>
          </w:tcPr>
          <w:p>
            <w:pPr/>
          </w:p>
        </w:tc>
        <w:tc>
          <w:tcPr>
            <w:tcW w:w="416" w:type="dxa"/>
            <w:shd w:val="clear" w:color="auto" w:fill="E4DFEB"/>
          </w:tcPr>
          <w:p>
            <w:pPr>
              <w:pStyle w:val="TableParagraph"/>
              <w:spacing w:before="6"/>
              <w:ind w:left="0" w:right="107"/>
              <w:jc w:val="right"/>
              <w:rPr>
                <w:rFonts w:ascii="Webdings" w:hAnsi="Webdings"/>
                <w:sz w:val="20"/>
              </w:rPr>
            </w:pPr>
            <w:r>
              <w:rPr>
                <w:rFonts w:ascii="Webdings" w:hAnsi="Webdings"/>
                <w:w w:val="100"/>
                <w:sz w:val="20"/>
              </w:rPr>
              <w:t></w:t>
            </w:r>
          </w:p>
        </w:tc>
        <w:tc>
          <w:tcPr>
            <w:tcW w:w="416" w:type="dxa"/>
            <w:shd w:val="clear" w:color="auto" w:fill="E4DFEB"/>
          </w:tcPr>
          <w:p>
            <w:pPr/>
          </w:p>
        </w:tc>
        <w:tc>
          <w:tcPr>
            <w:tcW w:w="416" w:type="dxa"/>
            <w:shd w:val="clear" w:color="auto" w:fill="E4DFEB"/>
          </w:tcPr>
          <w:p>
            <w:pPr/>
          </w:p>
        </w:tc>
        <w:tc>
          <w:tcPr>
            <w:tcW w:w="1140" w:type="dxa"/>
            <w:shd w:val="clear" w:color="auto" w:fill="E4DFEB"/>
          </w:tcPr>
          <w:p>
            <w:pPr>
              <w:pStyle w:val="TableParagraph"/>
              <w:spacing w:before="5"/>
              <w:ind w:left="107"/>
              <w:rPr>
                <w:sz w:val="20"/>
              </w:rPr>
            </w:pPr>
            <w:r>
              <w:rPr>
                <w:sz w:val="20"/>
              </w:rPr>
              <w:t>11.1% (1)</w:t>
            </w:r>
          </w:p>
        </w:tc>
      </w:tr>
      <w:tr>
        <w:trPr>
          <w:trHeight w:val="252" w:hRule="exact"/>
        </w:trPr>
        <w:tc>
          <w:tcPr>
            <w:tcW w:w="4417" w:type="dxa"/>
            <w:shd w:val="clear" w:color="auto" w:fill="B1A0C6"/>
          </w:tcPr>
          <w:p>
            <w:pPr>
              <w:pStyle w:val="TableParagraph"/>
              <w:spacing w:line="243" w:lineRule="exact"/>
              <w:ind w:left="108"/>
              <w:rPr>
                <w:sz w:val="20"/>
              </w:rPr>
            </w:pPr>
            <w:r>
              <w:rPr>
                <w:sz w:val="20"/>
              </w:rPr>
              <w:t>How to have a conversation about naloxone</w:t>
            </w:r>
          </w:p>
        </w:tc>
        <w:tc>
          <w:tcPr>
            <w:tcW w:w="1033" w:type="dxa"/>
            <w:shd w:val="clear" w:color="auto" w:fill="B1A0C6"/>
          </w:tcPr>
          <w:p>
            <w:pPr>
              <w:pStyle w:val="TableParagraph"/>
              <w:spacing w:before="1"/>
              <w:ind w:left="0" w:right="107"/>
              <w:jc w:val="right"/>
              <w:rPr>
                <w:rFonts w:ascii="Webdings" w:hAnsi="Webdings"/>
                <w:sz w:val="20"/>
              </w:rPr>
            </w:pPr>
            <w:r>
              <w:rPr>
                <w:rFonts w:ascii="Webdings" w:hAnsi="Webdings"/>
                <w:w w:val="100"/>
                <w:sz w:val="20"/>
              </w:rPr>
              <w:t></w:t>
            </w:r>
          </w:p>
        </w:tc>
        <w:tc>
          <w:tcPr>
            <w:tcW w:w="416" w:type="dxa"/>
            <w:shd w:val="clear" w:color="auto" w:fill="B1A0C6"/>
          </w:tcPr>
          <w:p>
            <w:pPr>
              <w:pStyle w:val="TableParagraph"/>
              <w:spacing w:before="1"/>
              <w:ind w:left="0" w:right="105"/>
              <w:jc w:val="right"/>
              <w:rPr>
                <w:rFonts w:ascii="Webdings" w:hAnsi="Webdings"/>
                <w:sz w:val="20"/>
              </w:rPr>
            </w:pPr>
            <w:r>
              <w:rPr>
                <w:rFonts w:ascii="Webdings" w:hAnsi="Webdings"/>
                <w:w w:val="100"/>
                <w:sz w:val="20"/>
              </w:rPr>
              <w:t></w:t>
            </w:r>
          </w:p>
        </w:tc>
        <w:tc>
          <w:tcPr>
            <w:tcW w:w="416" w:type="dxa"/>
            <w:shd w:val="clear" w:color="auto" w:fill="B1A0C6"/>
          </w:tcPr>
          <w:p>
            <w:pPr>
              <w:pStyle w:val="TableParagraph"/>
              <w:spacing w:before="1"/>
              <w:ind w:left="0"/>
              <w:jc w:val="center"/>
              <w:rPr>
                <w:rFonts w:ascii="Webdings" w:hAnsi="Webdings"/>
                <w:sz w:val="20"/>
              </w:rPr>
            </w:pPr>
            <w:r>
              <w:rPr>
                <w:rFonts w:ascii="Webdings" w:hAnsi="Webdings"/>
                <w:w w:val="100"/>
                <w:sz w:val="20"/>
              </w:rPr>
              <w:t></w:t>
            </w:r>
          </w:p>
        </w:tc>
        <w:tc>
          <w:tcPr>
            <w:tcW w:w="416" w:type="dxa"/>
            <w:shd w:val="clear" w:color="auto" w:fill="B1A0C6"/>
          </w:tcPr>
          <w:p>
            <w:pPr>
              <w:pStyle w:val="TableParagraph"/>
              <w:spacing w:before="1"/>
              <w:ind w:left="107"/>
              <w:rPr>
                <w:rFonts w:ascii="Webdings" w:hAnsi="Webdings"/>
                <w:sz w:val="20"/>
              </w:rPr>
            </w:pPr>
            <w:r>
              <w:rPr>
                <w:rFonts w:ascii="Webdings" w:hAnsi="Webdings"/>
                <w:w w:val="100"/>
                <w:sz w:val="20"/>
              </w:rPr>
              <w:t></w:t>
            </w:r>
          </w:p>
        </w:tc>
        <w:tc>
          <w:tcPr>
            <w:tcW w:w="416" w:type="dxa"/>
            <w:shd w:val="clear" w:color="auto" w:fill="B1A0C6"/>
          </w:tcPr>
          <w:p>
            <w:pPr>
              <w:pStyle w:val="TableParagraph"/>
              <w:spacing w:before="1"/>
              <w:ind w:left="0"/>
              <w:jc w:val="center"/>
              <w:rPr>
                <w:rFonts w:ascii="Webdings" w:hAnsi="Webdings"/>
                <w:sz w:val="20"/>
              </w:rPr>
            </w:pPr>
            <w:r>
              <w:rPr>
                <w:rFonts w:ascii="Webdings" w:hAnsi="Webdings"/>
                <w:w w:val="100"/>
                <w:sz w:val="20"/>
              </w:rPr>
              <w:t></w:t>
            </w:r>
          </w:p>
        </w:tc>
        <w:tc>
          <w:tcPr>
            <w:tcW w:w="416" w:type="dxa"/>
            <w:shd w:val="clear" w:color="auto" w:fill="B1A0C6"/>
          </w:tcPr>
          <w:p>
            <w:pPr>
              <w:pStyle w:val="TableParagraph"/>
              <w:spacing w:before="1"/>
              <w:ind w:left="107"/>
              <w:rPr>
                <w:rFonts w:ascii="Webdings" w:hAnsi="Webdings"/>
                <w:sz w:val="20"/>
              </w:rPr>
            </w:pPr>
            <w:r>
              <w:rPr>
                <w:rFonts w:ascii="Webdings" w:hAnsi="Webdings"/>
                <w:w w:val="100"/>
                <w:sz w:val="20"/>
              </w:rPr>
              <w:t></w:t>
            </w:r>
          </w:p>
        </w:tc>
        <w:tc>
          <w:tcPr>
            <w:tcW w:w="416" w:type="dxa"/>
            <w:shd w:val="clear" w:color="auto" w:fill="B1A0C6"/>
          </w:tcPr>
          <w:p>
            <w:pPr>
              <w:pStyle w:val="TableParagraph"/>
              <w:spacing w:before="1"/>
              <w:ind w:left="0" w:right="107"/>
              <w:jc w:val="right"/>
              <w:rPr>
                <w:rFonts w:ascii="Webdings" w:hAnsi="Webdings"/>
                <w:sz w:val="20"/>
              </w:rPr>
            </w:pPr>
            <w:r>
              <w:rPr>
                <w:rFonts w:ascii="Webdings" w:hAnsi="Webdings"/>
                <w:w w:val="100"/>
                <w:sz w:val="20"/>
              </w:rPr>
              <w:t></w:t>
            </w:r>
          </w:p>
        </w:tc>
        <w:tc>
          <w:tcPr>
            <w:tcW w:w="416" w:type="dxa"/>
            <w:shd w:val="clear" w:color="auto" w:fill="B1A0C6"/>
          </w:tcPr>
          <w:p>
            <w:pPr>
              <w:pStyle w:val="TableParagraph"/>
              <w:spacing w:before="1"/>
              <w:ind w:left="0"/>
              <w:jc w:val="center"/>
              <w:rPr>
                <w:rFonts w:ascii="Webdings" w:hAnsi="Webdings"/>
                <w:sz w:val="20"/>
              </w:rPr>
            </w:pPr>
            <w:r>
              <w:rPr>
                <w:rFonts w:ascii="Webdings" w:hAnsi="Webdings"/>
                <w:w w:val="100"/>
                <w:sz w:val="20"/>
              </w:rPr>
              <w:t></w:t>
            </w:r>
          </w:p>
        </w:tc>
        <w:tc>
          <w:tcPr>
            <w:tcW w:w="416" w:type="dxa"/>
            <w:shd w:val="clear" w:color="auto" w:fill="B1A0C6"/>
          </w:tcPr>
          <w:p>
            <w:pPr>
              <w:pStyle w:val="TableParagraph"/>
              <w:spacing w:before="1"/>
              <w:ind w:left="107"/>
              <w:rPr>
                <w:rFonts w:ascii="Webdings" w:hAnsi="Webdings"/>
                <w:sz w:val="20"/>
              </w:rPr>
            </w:pPr>
            <w:r>
              <w:rPr>
                <w:rFonts w:ascii="Webdings" w:hAnsi="Webdings"/>
                <w:w w:val="100"/>
                <w:sz w:val="20"/>
              </w:rPr>
              <w:t></w:t>
            </w:r>
          </w:p>
        </w:tc>
        <w:tc>
          <w:tcPr>
            <w:tcW w:w="1140" w:type="dxa"/>
            <w:shd w:val="clear" w:color="auto" w:fill="B1A0C6"/>
          </w:tcPr>
          <w:p>
            <w:pPr>
              <w:pStyle w:val="TableParagraph"/>
              <w:spacing w:line="243" w:lineRule="exact"/>
              <w:ind w:left="107"/>
              <w:rPr>
                <w:sz w:val="20"/>
              </w:rPr>
            </w:pPr>
            <w:r>
              <w:rPr>
                <w:sz w:val="20"/>
              </w:rPr>
              <w:t>100% (9)</w:t>
            </w:r>
          </w:p>
        </w:tc>
      </w:tr>
      <w:tr>
        <w:trPr>
          <w:trHeight w:val="246" w:hRule="exact"/>
        </w:trPr>
        <w:tc>
          <w:tcPr>
            <w:tcW w:w="4417" w:type="dxa"/>
            <w:shd w:val="clear" w:color="auto" w:fill="E4DFEB"/>
          </w:tcPr>
          <w:p>
            <w:pPr>
              <w:pStyle w:val="TableParagraph"/>
              <w:spacing w:line="243" w:lineRule="exact"/>
              <w:ind w:left="108"/>
              <w:rPr>
                <w:sz w:val="20"/>
              </w:rPr>
            </w:pPr>
            <w:r>
              <w:rPr>
                <w:sz w:val="20"/>
              </w:rPr>
              <w:t>How to have follow up conversations</w:t>
            </w:r>
          </w:p>
        </w:tc>
        <w:tc>
          <w:tcPr>
            <w:tcW w:w="1033" w:type="dxa"/>
            <w:shd w:val="clear" w:color="auto" w:fill="E4DFEB"/>
          </w:tcPr>
          <w:p>
            <w:pPr/>
          </w:p>
        </w:tc>
        <w:tc>
          <w:tcPr>
            <w:tcW w:w="416" w:type="dxa"/>
            <w:shd w:val="clear" w:color="auto" w:fill="E4DFEB"/>
          </w:tcPr>
          <w:p>
            <w:pPr/>
          </w:p>
        </w:tc>
        <w:tc>
          <w:tcPr>
            <w:tcW w:w="416" w:type="dxa"/>
            <w:shd w:val="clear" w:color="auto" w:fill="E4DFEB"/>
          </w:tcPr>
          <w:p>
            <w:pPr/>
          </w:p>
        </w:tc>
        <w:tc>
          <w:tcPr>
            <w:tcW w:w="416" w:type="dxa"/>
            <w:shd w:val="clear" w:color="auto" w:fill="E4DFEB"/>
          </w:tcPr>
          <w:p>
            <w:pPr>
              <w:pStyle w:val="TableParagraph"/>
              <w:spacing w:before="1"/>
              <w:ind w:left="107"/>
              <w:rPr>
                <w:rFonts w:ascii="Webdings" w:hAnsi="Webdings"/>
                <w:sz w:val="20"/>
              </w:rPr>
            </w:pPr>
            <w:r>
              <w:rPr>
                <w:rFonts w:ascii="Webdings" w:hAnsi="Webdings"/>
                <w:w w:val="100"/>
                <w:sz w:val="20"/>
              </w:rPr>
              <w:t></w:t>
            </w:r>
          </w:p>
        </w:tc>
        <w:tc>
          <w:tcPr>
            <w:tcW w:w="416" w:type="dxa"/>
            <w:shd w:val="clear" w:color="auto" w:fill="E4DFEB"/>
          </w:tcPr>
          <w:p>
            <w:pPr/>
          </w:p>
        </w:tc>
        <w:tc>
          <w:tcPr>
            <w:tcW w:w="416" w:type="dxa"/>
            <w:shd w:val="clear" w:color="auto" w:fill="E4DFEB"/>
          </w:tcPr>
          <w:p>
            <w:pPr>
              <w:pStyle w:val="TableParagraph"/>
              <w:spacing w:before="1"/>
              <w:ind w:left="107"/>
              <w:rPr>
                <w:rFonts w:ascii="Webdings" w:hAnsi="Webdings"/>
                <w:sz w:val="20"/>
              </w:rPr>
            </w:pPr>
            <w:r>
              <w:rPr>
                <w:rFonts w:ascii="Webdings" w:hAnsi="Webdings"/>
                <w:w w:val="100"/>
                <w:sz w:val="20"/>
              </w:rPr>
              <w:t></w:t>
            </w:r>
          </w:p>
        </w:tc>
        <w:tc>
          <w:tcPr>
            <w:tcW w:w="416" w:type="dxa"/>
            <w:shd w:val="clear" w:color="auto" w:fill="E4DFEB"/>
          </w:tcPr>
          <w:p>
            <w:pPr/>
          </w:p>
        </w:tc>
        <w:tc>
          <w:tcPr>
            <w:tcW w:w="416" w:type="dxa"/>
            <w:shd w:val="clear" w:color="auto" w:fill="E4DFEB"/>
          </w:tcPr>
          <w:p>
            <w:pPr/>
          </w:p>
        </w:tc>
        <w:tc>
          <w:tcPr>
            <w:tcW w:w="416" w:type="dxa"/>
            <w:shd w:val="clear" w:color="auto" w:fill="E4DFEB"/>
          </w:tcPr>
          <w:p>
            <w:pPr/>
          </w:p>
        </w:tc>
        <w:tc>
          <w:tcPr>
            <w:tcW w:w="1140" w:type="dxa"/>
            <w:shd w:val="clear" w:color="auto" w:fill="E4DFEB"/>
          </w:tcPr>
          <w:p>
            <w:pPr>
              <w:pStyle w:val="TableParagraph"/>
              <w:spacing w:line="243" w:lineRule="exact"/>
              <w:ind w:left="107"/>
              <w:rPr>
                <w:sz w:val="20"/>
              </w:rPr>
            </w:pPr>
            <w:r>
              <w:rPr>
                <w:sz w:val="20"/>
              </w:rPr>
              <w:t>22.2% (2)</w:t>
            </w:r>
          </w:p>
        </w:tc>
      </w:tr>
      <w:tr>
        <w:trPr>
          <w:trHeight w:val="258" w:hRule="exact"/>
        </w:trPr>
        <w:tc>
          <w:tcPr>
            <w:tcW w:w="4417" w:type="dxa"/>
            <w:shd w:val="clear" w:color="auto" w:fill="E4DFEB"/>
          </w:tcPr>
          <w:p>
            <w:pPr>
              <w:pStyle w:val="TableParagraph"/>
              <w:spacing w:before="5"/>
              <w:ind w:left="108"/>
              <w:rPr>
                <w:sz w:val="20"/>
              </w:rPr>
            </w:pPr>
            <w:r>
              <w:rPr>
                <w:sz w:val="20"/>
              </w:rPr>
              <w:t>Referral pathways</w:t>
            </w:r>
          </w:p>
        </w:tc>
        <w:tc>
          <w:tcPr>
            <w:tcW w:w="1033" w:type="dxa"/>
            <w:shd w:val="clear" w:color="auto" w:fill="E4DFEB"/>
          </w:tcPr>
          <w:p>
            <w:pPr/>
          </w:p>
        </w:tc>
        <w:tc>
          <w:tcPr>
            <w:tcW w:w="416" w:type="dxa"/>
            <w:shd w:val="clear" w:color="auto" w:fill="E4DFEB"/>
          </w:tcPr>
          <w:p>
            <w:pPr/>
          </w:p>
        </w:tc>
        <w:tc>
          <w:tcPr>
            <w:tcW w:w="416" w:type="dxa"/>
            <w:shd w:val="clear" w:color="auto" w:fill="E4DFEB"/>
          </w:tcPr>
          <w:p>
            <w:pPr/>
          </w:p>
        </w:tc>
        <w:tc>
          <w:tcPr>
            <w:tcW w:w="416" w:type="dxa"/>
            <w:shd w:val="clear" w:color="auto" w:fill="E4DFEB"/>
          </w:tcPr>
          <w:p>
            <w:pPr/>
          </w:p>
        </w:tc>
        <w:tc>
          <w:tcPr>
            <w:tcW w:w="416" w:type="dxa"/>
            <w:shd w:val="clear" w:color="auto" w:fill="E4DFEB"/>
          </w:tcPr>
          <w:p>
            <w:pPr/>
          </w:p>
        </w:tc>
        <w:tc>
          <w:tcPr>
            <w:tcW w:w="416" w:type="dxa"/>
            <w:shd w:val="clear" w:color="auto" w:fill="E4DFEB"/>
          </w:tcPr>
          <w:p>
            <w:pPr/>
          </w:p>
        </w:tc>
        <w:tc>
          <w:tcPr>
            <w:tcW w:w="416" w:type="dxa"/>
            <w:shd w:val="clear" w:color="auto" w:fill="E4DFEB"/>
          </w:tcPr>
          <w:p>
            <w:pPr>
              <w:pStyle w:val="TableParagraph"/>
              <w:spacing w:before="6"/>
              <w:ind w:left="0" w:right="107"/>
              <w:jc w:val="right"/>
              <w:rPr>
                <w:rFonts w:ascii="Webdings" w:hAnsi="Webdings"/>
                <w:sz w:val="20"/>
              </w:rPr>
            </w:pPr>
            <w:r>
              <w:rPr>
                <w:rFonts w:ascii="Webdings" w:hAnsi="Webdings"/>
                <w:w w:val="100"/>
                <w:sz w:val="20"/>
              </w:rPr>
              <w:t></w:t>
            </w:r>
          </w:p>
        </w:tc>
        <w:tc>
          <w:tcPr>
            <w:tcW w:w="416" w:type="dxa"/>
            <w:shd w:val="clear" w:color="auto" w:fill="E4DFEB"/>
          </w:tcPr>
          <w:p>
            <w:pPr/>
          </w:p>
        </w:tc>
        <w:tc>
          <w:tcPr>
            <w:tcW w:w="416" w:type="dxa"/>
            <w:shd w:val="clear" w:color="auto" w:fill="E4DFEB"/>
          </w:tcPr>
          <w:p>
            <w:pPr/>
          </w:p>
        </w:tc>
        <w:tc>
          <w:tcPr>
            <w:tcW w:w="1140" w:type="dxa"/>
            <w:shd w:val="clear" w:color="auto" w:fill="E4DFEB"/>
          </w:tcPr>
          <w:p>
            <w:pPr>
              <w:pStyle w:val="TableParagraph"/>
              <w:spacing w:before="5"/>
              <w:ind w:left="107"/>
              <w:rPr>
                <w:sz w:val="20"/>
              </w:rPr>
            </w:pPr>
            <w:r>
              <w:rPr>
                <w:sz w:val="20"/>
              </w:rPr>
              <w:t>11.1% (1)</w:t>
            </w:r>
          </w:p>
        </w:tc>
      </w:tr>
    </w:tbl>
    <w:p>
      <w:pPr>
        <w:spacing w:before="0"/>
        <w:ind w:left="120" w:right="1547" w:firstLine="0"/>
        <w:jc w:val="left"/>
        <w:rPr>
          <w:i/>
          <w:sz w:val="20"/>
        </w:rPr>
      </w:pPr>
      <w:r>
        <w:rPr>
          <w:i/>
          <w:sz w:val="20"/>
        </w:rPr>
        <w:t>Note: this is a summary of content areas which were raised spontaneously by patients, rather than being </w:t>
      </w:r>
      <w:r>
        <w:rPr>
          <w:i/>
          <w:sz w:val="20"/>
        </w:rPr>
        <w:t>prompted by the researcher.</w:t>
      </w:r>
    </w:p>
    <w:p>
      <w:pPr>
        <w:pStyle w:val="BodyText"/>
        <w:spacing w:before="11"/>
        <w:rPr>
          <w:i/>
          <w:sz w:val="19"/>
        </w:rPr>
      </w:pPr>
    </w:p>
    <w:p>
      <w:pPr>
        <w:spacing w:before="0"/>
        <w:ind w:left="120" w:right="4960" w:firstLine="0"/>
        <w:jc w:val="left"/>
        <w:rPr>
          <w:rFonts w:ascii="Webdings" w:hAnsi="Webdings"/>
          <w:sz w:val="20"/>
        </w:rPr>
      </w:pPr>
      <w:r>
        <w:rPr>
          <w:i/>
          <w:sz w:val="20"/>
        </w:rPr>
        <w:t>Content areas are colour coded by how common the area was: </w:t>
      </w:r>
      <w:r>
        <w:rPr>
          <w:i/>
          <w:sz w:val="20"/>
        </w:rPr>
        <w:t>0-24% (low): lightest </w:t>
      </w:r>
      <w:r>
        <w:rPr>
          <w:rFonts w:ascii="Webdings" w:hAnsi="Webdings"/>
          <w:color w:val="E4DFEB"/>
          <w:sz w:val="20"/>
        </w:rPr>
        <w:t></w:t>
      </w:r>
    </w:p>
    <w:p>
      <w:pPr>
        <w:spacing w:line="244" w:lineRule="exact" w:before="0"/>
        <w:ind w:left="119" w:right="0" w:firstLine="0"/>
        <w:jc w:val="both"/>
        <w:rPr>
          <w:rFonts w:ascii="Webdings" w:hAnsi="Webdings"/>
          <w:sz w:val="20"/>
        </w:rPr>
      </w:pPr>
      <w:r>
        <w:rPr>
          <w:i/>
          <w:sz w:val="20"/>
        </w:rPr>
        <w:t>25-49% (moderate): medium </w:t>
      </w:r>
      <w:r>
        <w:rPr>
          <w:rFonts w:ascii="Webdings" w:hAnsi="Webdings"/>
          <w:color w:val="CCC0D9"/>
          <w:sz w:val="20"/>
        </w:rPr>
        <w:t></w:t>
      </w:r>
    </w:p>
    <w:p>
      <w:pPr>
        <w:spacing w:before="1"/>
        <w:ind w:left="120" w:right="0" w:firstLine="0"/>
        <w:jc w:val="both"/>
        <w:rPr>
          <w:rFonts w:ascii="Webdings" w:hAnsi="Webdings"/>
          <w:sz w:val="20"/>
        </w:rPr>
      </w:pPr>
      <w:bookmarkStart w:name="4. Developing the materials and obtainin" w:id="15"/>
      <w:bookmarkEnd w:id="15"/>
      <w:r>
        <w:rPr/>
      </w:r>
      <w:bookmarkStart w:name="_bookmark5" w:id="16"/>
      <w:bookmarkEnd w:id="16"/>
      <w:r>
        <w:rPr/>
      </w:r>
      <w:r>
        <w:rPr>
          <w:i/>
          <w:sz w:val="20"/>
        </w:rPr>
        <w:t>50%+: darkest  </w:t>
      </w:r>
      <w:r>
        <w:rPr>
          <w:rFonts w:ascii="Webdings" w:hAnsi="Webdings"/>
          <w:color w:val="B1A0C6"/>
          <w:sz w:val="20"/>
        </w:rPr>
        <w:t></w:t>
      </w:r>
    </w:p>
    <w:p>
      <w:pPr>
        <w:pStyle w:val="BodyText"/>
        <w:rPr>
          <w:rFonts w:ascii="Webdings" w:hAnsi="Webdings"/>
          <w:sz w:val="20"/>
        </w:rPr>
      </w:pPr>
    </w:p>
    <w:p>
      <w:pPr>
        <w:pStyle w:val="BodyText"/>
        <w:spacing w:before="9"/>
        <w:rPr>
          <w:rFonts w:ascii="Webdings" w:hAnsi="Webdings"/>
          <w:sz w:val="27"/>
        </w:rPr>
      </w:pPr>
    </w:p>
    <w:p>
      <w:pPr>
        <w:pStyle w:val="Heading1"/>
        <w:numPr>
          <w:ilvl w:val="1"/>
          <w:numId w:val="5"/>
        </w:numPr>
        <w:tabs>
          <w:tab w:pos="400" w:val="left" w:leader="none"/>
        </w:tabs>
        <w:spacing w:line="240" w:lineRule="auto" w:before="0" w:after="0"/>
        <w:ind w:left="399" w:right="0" w:hanging="279"/>
        <w:jc w:val="both"/>
      </w:pPr>
      <w:r>
        <w:rPr>
          <w:color w:val="6C1D6C"/>
        </w:rPr>
        <w:t>Developing the materials and obtaining further</w:t>
      </w:r>
      <w:r>
        <w:rPr>
          <w:color w:val="6C1D6C"/>
          <w:spacing w:val="-30"/>
        </w:rPr>
        <w:t> </w:t>
      </w:r>
      <w:r>
        <w:rPr>
          <w:color w:val="6C1D6C"/>
        </w:rPr>
        <w:t>feedback</w:t>
      </w:r>
    </w:p>
    <w:p>
      <w:pPr>
        <w:pStyle w:val="BodyText"/>
        <w:spacing w:before="11"/>
        <w:rPr>
          <w:b/>
          <w:sz w:val="21"/>
        </w:rPr>
      </w:pPr>
    </w:p>
    <w:p>
      <w:pPr>
        <w:pStyle w:val="Heading2"/>
        <w:spacing w:before="1"/>
        <w:ind w:left="120"/>
      </w:pPr>
      <w:r>
        <w:rPr/>
        <w:t>Developing the materials and obtaining further feedback</w:t>
      </w:r>
    </w:p>
    <w:p>
      <w:pPr>
        <w:pStyle w:val="BodyText"/>
        <w:spacing w:before="12"/>
        <w:rPr>
          <w:b/>
          <w:sz w:val="23"/>
        </w:rPr>
      </w:pPr>
    </w:p>
    <w:p>
      <w:pPr>
        <w:pStyle w:val="BodyText"/>
        <w:ind w:left="119" w:right="996"/>
        <w:jc w:val="both"/>
      </w:pPr>
      <w:r>
        <w:rPr/>
        <w:t>Based</w:t>
      </w:r>
      <w:r>
        <w:rPr>
          <w:spacing w:val="-17"/>
        </w:rPr>
        <w:t> </w:t>
      </w:r>
      <w:r>
        <w:rPr/>
        <w:t>on</w:t>
      </w:r>
      <w:r>
        <w:rPr>
          <w:spacing w:val="-17"/>
        </w:rPr>
        <w:t> </w:t>
      </w:r>
      <w:r>
        <w:rPr/>
        <w:t>the</w:t>
      </w:r>
      <w:r>
        <w:rPr>
          <w:spacing w:val="-16"/>
        </w:rPr>
        <w:t> </w:t>
      </w:r>
      <w:r>
        <w:rPr/>
        <w:t>input</w:t>
      </w:r>
      <w:r>
        <w:rPr>
          <w:spacing w:val="-17"/>
        </w:rPr>
        <w:t> </w:t>
      </w:r>
      <w:r>
        <w:rPr/>
        <w:t>received</w:t>
      </w:r>
      <w:r>
        <w:rPr>
          <w:spacing w:val="-17"/>
        </w:rPr>
        <w:t> </w:t>
      </w:r>
      <w:r>
        <w:rPr/>
        <w:t>from</w:t>
      </w:r>
      <w:r>
        <w:rPr>
          <w:spacing w:val="-17"/>
        </w:rPr>
        <w:t> </w:t>
      </w:r>
      <w:r>
        <w:rPr/>
        <w:t>patients</w:t>
      </w:r>
      <w:r>
        <w:rPr>
          <w:spacing w:val="-17"/>
        </w:rPr>
        <w:t> </w:t>
      </w:r>
      <w:r>
        <w:rPr/>
        <w:t>and</w:t>
      </w:r>
      <w:r>
        <w:rPr>
          <w:spacing w:val="-17"/>
        </w:rPr>
        <w:t> </w:t>
      </w:r>
      <w:r>
        <w:rPr/>
        <w:t>pharmacists,</w:t>
      </w:r>
      <w:r>
        <w:rPr>
          <w:spacing w:val="-18"/>
        </w:rPr>
        <w:t> </w:t>
      </w:r>
      <w:r>
        <w:rPr/>
        <w:t>we</w:t>
      </w:r>
      <w:r>
        <w:rPr>
          <w:spacing w:val="-16"/>
        </w:rPr>
        <w:t> </w:t>
      </w:r>
      <w:r>
        <w:rPr/>
        <w:t>developed</w:t>
      </w:r>
      <w:r>
        <w:rPr>
          <w:spacing w:val="-17"/>
        </w:rPr>
        <w:t> </w:t>
      </w:r>
      <w:r>
        <w:rPr/>
        <w:t>a</w:t>
      </w:r>
      <w:r>
        <w:rPr>
          <w:spacing w:val="-17"/>
        </w:rPr>
        <w:t> </w:t>
      </w:r>
      <w:r>
        <w:rPr/>
        <w:t>one-page</w:t>
      </w:r>
      <w:r>
        <w:rPr>
          <w:spacing w:val="-16"/>
        </w:rPr>
        <w:t> </w:t>
      </w:r>
      <w:r>
        <w:rPr/>
        <w:t>training poster for pharmacists (see Appendix 2) and a complimentary two-page leaflet for patients (see Appendix 3). In addition to these materials, we developed a five-minute training animation for pharmacists, to accompany the launch of the materials (see Appendix 4). Content areas are detailed in Figure</w:t>
      </w:r>
      <w:r>
        <w:rPr>
          <w:spacing w:val="-16"/>
        </w:rPr>
        <w:t> </w:t>
      </w:r>
      <w:r>
        <w:rPr/>
        <w:t>2.</w:t>
      </w:r>
    </w:p>
    <w:p>
      <w:pPr>
        <w:pStyle w:val="BodyText"/>
        <w:spacing w:before="11"/>
        <w:rPr>
          <w:sz w:val="23"/>
        </w:rPr>
      </w:pPr>
    </w:p>
    <w:p>
      <w:pPr>
        <w:pStyle w:val="BodyText"/>
        <w:spacing w:before="1"/>
        <w:ind w:left="120" w:right="997"/>
        <w:jc w:val="both"/>
      </w:pPr>
      <w:r>
        <w:rPr/>
        <w:t>Rather than including prescriptive and highly structured information, the pharmacist poster contain conversation prompts to stimulate discussion. ‘Key counselling points’ and tips for sensitively approaching overdose and naloxone are provided but allow for flexibility and a tailored discussion depending on the patient (and the relationship between the patient and pharmacist).</w:t>
      </w:r>
      <w:r>
        <w:rPr>
          <w:spacing w:val="-7"/>
        </w:rPr>
        <w:t> </w:t>
      </w:r>
      <w:r>
        <w:rPr/>
        <w:t>The</w:t>
      </w:r>
      <w:r>
        <w:rPr>
          <w:spacing w:val="-4"/>
        </w:rPr>
        <w:t> </w:t>
      </w:r>
      <w:r>
        <w:rPr/>
        <w:t>pharmacist</w:t>
      </w:r>
      <w:r>
        <w:rPr>
          <w:spacing w:val="-5"/>
        </w:rPr>
        <w:t> </w:t>
      </w:r>
      <w:r>
        <w:rPr/>
        <w:t>poster</w:t>
      </w:r>
      <w:r>
        <w:rPr>
          <w:spacing w:val="-5"/>
        </w:rPr>
        <w:t> </w:t>
      </w:r>
      <w:r>
        <w:rPr/>
        <w:t>is</w:t>
      </w:r>
      <w:r>
        <w:rPr>
          <w:spacing w:val="-5"/>
        </w:rPr>
        <w:t> </w:t>
      </w:r>
      <w:r>
        <w:rPr/>
        <w:t>designed</w:t>
      </w:r>
      <w:r>
        <w:rPr>
          <w:spacing w:val="-5"/>
        </w:rPr>
        <w:t> </w:t>
      </w:r>
      <w:r>
        <w:rPr/>
        <w:t>to</w:t>
      </w:r>
      <w:r>
        <w:rPr>
          <w:spacing w:val="-6"/>
        </w:rPr>
        <w:t> </w:t>
      </w:r>
      <w:r>
        <w:rPr/>
        <w:t>be</w:t>
      </w:r>
      <w:r>
        <w:rPr>
          <w:spacing w:val="-4"/>
        </w:rPr>
        <w:t> </w:t>
      </w:r>
      <w:r>
        <w:rPr/>
        <w:t>displayed</w:t>
      </w:r>
      <w:r>
        <w:rPr>
          <w:spacing w:val="-5"/>
        </w:rPr>
        <w:t> </w:t>
      </w:r>
      <w:r>
        <w:rPr/>
        <w:t>where</w:t>
      </w:r>
      <w:r>
        <w:rPr>
          <w:spacing w:val="-4"/>
        </w:rPr>
        <w:t> </w:t>
      </w:r>
      <w:r>
        <w:rPr/>
        <w:t>prescribed</w:t>
      </w:r>
      <w:r>
        <w:rPr>
          <w:spacing w:val="-5"/>
        </w:rPr>
        <w:t> </w:t>
      </w:r>
      <w:r>
        <w:rPr/>
        <w:t>opioids</w:t>
      </w:r>
      <w:r>
        <w:rPr>
          <w:spacing w:val="-5"/>
        </w:rPr>
        <w:t> </w:t>
      </w:r>
      <w:r>
        <w:rPr/>
        <w:t>are stored, prompting conversation about naloxone as a routine part of dispensing. The key counselling</w:t>
      </w:r>
      <w:r>
        <w:rPr>
          <w:spacing w:val="-11"/>
        </w:rPr>
        <w:t> </w:t>
      </w:r>
      <w:r>
        <w:rPr/>
        <w:t>points</w:t>
      </w:r>
      <w:r>
        <w:rPr>
          <w:spacing w:val="-11"/>
        </w:rPr>
        <w:t> </w:t>
      </w:r>
      <w:r>
        <w:rPr/>
        <w:t>on</w:t>
      </w:r>
      <w:r>
        <w:rPr>
          <w:spacing w:val="-11"/>
        </w:rPr>
        <w:t> </w:t>
      </w:r>
      <w:r>
        <w:rPr/>
        <w:t>this</w:t>
      </w:r>
      <w:r>
        <w:rPr>
          <w:spacing w:val="-11"/>
        </w:rPr>
        <w:t> </w:t>
      </w:r>
      <w:r>
        <w:rPr/>
        <w:t>page</w:t>
      </w:r>
      <w:r>
        <w:rPr>
          <w:spacing w:val="-10"/>
        </w:rPr>
        <w:t> </w:t>
      </w:r>
      <w:r>
        <w:rPr/>
        <w:t>follow</w:t>
      </w:r>
      <w:r>
        <w:rPr>
          <w:spacing w:val="-11"/>
        </w:rPr>
        <w:t> </w:t>
      </w:r>
      <w:r>
        <w:rPr/>
        <w:t>a</w:t>
      </w:r>
      <w:r>
        <w:rPr>
          <w:spacing w:val="-11"/>
        </w:rPr>
        <w:t> </w:t>
      </w:r>
      <w:r>
        <w:rPr/>
        <w:t>‘prepare,</w:t>
      </w:r>
      <w:r>
        <w:rPr>
          <w:spacing w:val="-11"/>
        </w:rPr>
        <w:t> </w:t>
      </w:r>
      <w:r>
        <w:rPr/>
        <w:t>prevent,</w:t>
      </w:r>
      <w:r>
        <w:rPr>
          <w:spacing w:val="-11"/>
        </w:rPr>
        <w:t> </w:t>
      </w:r>
      <w:r>
        <w:rPr/>
        <w:t>respond’</w:t>
      </w:r>
      <w:r>
        <w:rPr>
          <w:spacing w:val="-11"/>
        </w:rPr>
        <w:t> </w:t>
      </w:r>
      <w:r>
        <w:rPr/>
        <w:t>format,</w:t>
      </w:r>
      <w:r>
        <w:rPr>
          <w:spacing w:val="-11"/>
        </w:rPr>
        <w:t> </w:t>
      </w:r>
      <w:r>
        <w:rPr/>
        <w:t>which</w:t>
      </w:r>
      <w:r>
        <w:rPr>
          <w:spacing w:val="-11"/>
        </w:rPr>
        <w:t> </w:t>
      </w:r>
      <w:r>
        <w:rPr/>
        <w:t>is</w:t>
      </w:r>
      <w:r>
        <w:rPr>
          <w:spacing w:val="-12"/>
        </w:rPr>
        <w:t> </w:t>
      </w:r>
      <w:r>
        <w:rPr/>
        <w:t>mirrored in the patient leaflet and pharmacist training</w:t>
      </w:r>
      <w:r>
        <w:rPr>
          <w:spacing w:val="-21"/>
        </w:rPr>
        <w:t> </w:t>
      </w:r>
      <w:r>
        <w:rPr/>
        <w:t>animation.</w:t>
      </w:r>
    </w:p>
    <w:p>
      <w:pPr>
        <w:spacing w:after="0"/>
        <w:jc w:val="both"/>
        <w:sectPr>
          <w:footerReference w:type="default" r:id="rId13"/>
          <w:pgSz w:w="11910" w:h="16840"/>
          <w:pgMar w:footer="1328" w:header="0" w:top="1580" w:bottom="1520" w:left="1320" w:right="440"/>
          <w:pgNumType w:start="18"/>
        </w:sectPr>
      </w:pPr>
    </w:p>
    <w:p>
      <w:pPr>
        <w:pStyle w:val="BodyText"/>
        <w:spacing w:before="7"/>
        <w:rPr>
          <w:sz w:val="14"/>
        </w:rPr>
      </w:pPr>
    </w:p>
    <w:p>
      <w:pPr>
        <w:pStyle w:val="BodyText"/>
        <w:spacing w:before="52"/>
        <w:ind w:left="119" w:right="116"/>
        <w:jc w:val="both"/>
      </w:pPr>
      <w:r>
        <w:rPr/>
        <w:t>The</w:t>
      </w:r>
      <w:r>
        <w:rPr>
          <w:spacing w:val="-11"/>
        </w:rPr>
        <w:t> </w:t>
      </w:r>
      <w:r>
        <w:rPr/>
        <w:t>patient</w:t>
      </w:r>
      <w:r>
        <w:rPr>
          <w:spacing w:val="-11"/>
        </w:rPr>
        <w:t> </w:t>
      </w:r>
      <w:r>
        <w:rPr/>
        <w:t>leaflet</w:t>
      </w:r>
      <w:r>
        <w:rPr>
          <w:spacing w:val="-11"/>
        </w:rPr>
        <w:t> </w:t>
      </w:r>
      <w:r>
        <w:rPr/>
        <w:t>is</w:t>
      </w:r>
      <w:r>
        <w:rPr>
          <w:spacing w:val="-11"/>
        </w:rPr>
        <w:t> </w:t>
      </w:r>
      <w:r>
        <w:rPr/>
        <w:t>titled</w:t>
      </w:r>
      <w:r>
        <w:rPr>
          <w:spacing w:val="-11"/>
        </w:rPr>
        <w:t> </w:t>
      </w:r>
      <w:r>
        <w:rPr/>
        <w:t>‘maximising</w:t>
      </w:r>
      <w:r>
        <w:rPr>
          <w:spacing w:val="-11"/>
        </w:rPr>
        <w:t> </w:t>
      </w:r>
      <w:r>
        <w:rPr/>
        <w:t>opioid</w:t>
      </w:r>
      <w:r>
        <w:rPr>
          <w:spacing w:val="-10"/>
        </w:rPr>
        <w:t> </w:t>
      </w:r>
      <w:r>
        <w:rPr/>
        <w:t>safety’,</w:t>
      </w:r>
      <w:r>
        <w:rPr>
          <w:spacing w:val="-11"/>
        </w:rPr>
        <w:t> </w:t>
      </w:r>
      <w:r>
        <w:rPr/>
        <w:t>to</w:t>
      </w:r>
      <w:r>
        <w:rPr>
          <w:spacing w:val="-12"/>
        </w:rPr>
        <w:t> </w:t>
      </w:r>
      <w:r>
        <w:rPr/>
        <w:t>emphasise</w:t>
      </w:r>
      <w:r>
        <w:rPr>
          <w:spacing w:val="-11"/>
        </w:rPr>
        <w:t> </w:t>
      </w:r>
      <w:r>
        <w:rPr/>
        <w:t>naloxone</w:t>
      </w:r>
      <w:r>
        <w:rPr>
          <w:spacing w:val="-11"/>
        </w:rPr>
        <w:t> </w:t>
      </w:r>
      <w:r>
        <w:rPr/>
        <w:t>as</w:t>
      </w:r>
      <w:r>
        <w:rPr>
          <w:spacing w:val="-11"/>
        </w:rPr>
        <w:t> </w:t>
      </w:r>
      <w:r>
        <w:rPr/>
        <w:t>a</w:t>
      </w:r>
      <w:r>
        <w:rPr>
          <w:spacing w:val="-11"/>
        </w:rPr>
        <w:t> </w:t>
      </w:r>
      <w:r>
        <w:rPr/>
        <w:t>strategy</w:t>
      </w:r>
      <w:r>
        <w:rPr>
          <w:spacing w:val="-11"/>
        </w:rPr>
        <w:t> </w:t>
      </w:r>
      <w:r>
        <w:rPr/>
        <w:t>for safety,</w:t>
      </w:r>
      <w:r>
        <w:rPr>
          <w:spacing w:val="-10"/>
        </w:rPr>
        <w:t> </w:t>
      </w:r>
      <w:r>
        <w:rPr/>
        <w:t>rather</w:t>
      </w:r>
      <w:r>
        <w:rPr>
          <w:spacing w:val="-10"/>
        </w:rPr>
        <w:t> </w:t>
      </w:r>
      <w:r>
        <w:rPr/>
        <w:t>than</w:t>
      </w:r>
      <w:r>
        <w:rPr>
          <w:spacing w:val="-10"/>
        </w:rPr>
        <w:t> </w:t>
      </w:r>
      <w:r>
        <w:rPr/>
        <w:t>opioids</w:t>
      </w:r>
      <w:r>
        <w:rPr>
          <w:spacing w:val="-10"/>
        </w:rPr>
        <w:t> </w:t>
      </w:r>
      <w:r>
        <w:rPr/>
        <w:t>as</w:t>
      </w:r>
      <w:r>
        <w:rPr>
          <w:spacing w:val="-10"/>
        </w:rPr>
        <w:t> </w:t>
      </w:r>
      <w:r>
        <w:rPr/>
        <w:t>risky.</w:t>
      </w:r>
      <w:r>
        <w:rPr>
          <w:spacing w:val="-10"/>
        </w:rPr>
        <w:t> </w:t>
      </w:r>
      <w:r>
        <w:rPr/>
        <w:t>This</w:t>
      </w:r>
      <w:r>
        <w:rPr>
          <w:spacing w:val="-10"/>
        </w:rPr>
        <w:t> </w:t>
      </w:r>
      <w:r>
        <w:rPr/>
        <w:t>reflected</w:t>
      </w:r>
      <w:r>
        <w:rPr>
          <w:spacing w:val="-11"/>
        </w:rPr>
        <w:t> </w:t>
      </w:r>
      <w:r>
        <w:rPr/>
        <w:t>patient</w:t>
      </w:r>
      <w:r>
        <w:rPr>
          <w:spacing w:val="-10"/>
        </w:rPr>
        <w:t> </w:t>
      </w:r>
      <w:r>
        <w:rPr/>
        <w:t>comments</w:t>
      </w:r>
      <w:r>
        <w:rPr>
          <w:spacing w:val="-10"/>
        </w:rPr>
        <w:t> </w:t>
      </w:r>
      <w:r>
        <w:rPr/>
        <w:t>about</w:t>
      </w:r>
      <w:r>
        <w:rPr>
          <w:spacing w:val="-10"/>
        </w:rPr>
        <w:t> </w:t>
      </w:r>
      <w:r>
        <w:rPr/>
        <w:t>wanting</w:t>
      </w:r>
      <w:r>
        <w:rPr>
          <w:spacing w:val="-10"/>
        </w:rPr>
        <w:t> </w:t>
      </w:r>
      <w:r>
        <w:rPr/>
        <w:t>to</w:t>
      </w:r>
      <w:r>
        <w:rPr>
          <w:spacing w:val="-10"/>
        </w:rPr>
        <w:t> </w:t>
      </w:r>
      <w:r>
        <w:rPr/>
        <w:t>receive empowering</w:t>
      </w:r>
      <w:r>
        <w:rPr>
          <w:spacing w:val="-14"/>
        </w:rPr>
        <w:t> </w:t>
      </w:r>
      <w:r>
        <w:rPr/>
        <w:t>information,</w:t>
      </w:r>
      <w:r>
        <w:rPr>
          <w:spacing w:val="-13"/>
        </w:rPr>
        <w:t> </w:t>
      </w:r>
      <w:r>
        <w:rPr/>
        <w:t>rather</w:t>
      </w:r>
      <w:r>
        <w:rPr>
          <w:spacing w:val="-13"/>
        </w:rPr>
        <w:t> </w:t>
      </w:r>
      <w:r>
        <w:rPr/>
        <w:t>than</w:t>
      </w:r>
      <w:r>
        <w:rPr>
          <w:spacing w:val="-13"/>
        </w:rPr>
        <w:t> </w:t>
      </w:r>
      <w:r>
        <w:rPr/>
        <w:t>messages</w:t>
      </w:r>
      <w:r>
        <w:rPr>
          <w:spacing w:val="-15"/>
        </w:rPr>
        <w:t> </w:t>
      </w:r>
      <w:r>
        <w:rPr/>
        <w:t>based</w:t>
      </w:r>
      <w:r>
        <w:rPr>
          <w:spacing w:val="-13"/>
        </w:rPr>
        <w:t> </w:t>
      </w:r>
      <w:r>
        <w:rPr/>
        <w:t>on</w:t>
      </w:r>
      <w:r>
        <w:rPr>
          <w:spacing w:val="-13"/>
        </w:rPr>
        <w:t> </w:t>
      </w:r>
      <w:r>
        <w:rPr/>
        <w:t>fear</w:t>
      </w:r>
      <w:r>
        <w:rPr>
          <w:spacing w:val="-13"/>
        </w:rPr>
        <w:t> </w:t>
      </w:r>
      <w:r>
        <w:rPr/>
        <w:t>which</w:t>
      </w:r>
      <w:r>
        <w:rPr>
          <w:spacing w:val="-13"/>
        </w:rPr>
        <w:t> </w:t>
      </w:r>
      <w:r>
        <w:rPr/>
        <w:t>might</w:t>
      </w:r>
      <w:r>
        <w:rPr>
          <w:spacing w:val="-13"/>
        </w:rPr>
        <w:t> </w:t>
      </w:r>
      <w:r>
        <w:rPr/>
        <w:t>inadvertently</w:t>
      </w:r>
      <w:r>
        <w:rPr>
          <w:spacing w:val="-13"/>
        </w:rPr>
        <w:t> </w:t>
      </w:r>
      <w:r>
        <w:rPr/>
        <w:t>lead to</w:t>
      </w:r>
      <w:r>
        <w:rPr>
          <w:spacing w:val="-11"/>
        </w:rPr>
        <w:t> </w:t>
      </w:r>
      <w:r>
        <w:rPr/>
        <w:t>sub-optimal</w:t>
      </w:r>
      <w:r>
        <w:rPr>
          <w:spacing w:val="-10"/>
        </w:rPr>
        <w:t> </w:t>
      </w:r>
      <w:r>
        <w:rPr/>
        <w:t>dosing</w:t>
      </w:r>
      <w:r>
        <w:rPr>
          <w:spacing w:val="-10"/>
        </w:rPr>
        <w:t> </w:t>
      </w:r>
      <w:r>
        <w:rPr/>
        <w:t>or</w:t>
      </w:r>
      <w:r>
        <w:rPr>
          <w:spacing w:val="-10"/>
        </w:rPr>
        <w:t> </w:t>
      </w:r>
      <w:r>
        <w:rPr/>
        <w:t>the</w:t>
      </w:r>
      <w:r>
        <w:rPr>
          <w:spacing w:val="-9"/>
        </w:rPr>
        <w:t> </w:t>
      </w:r>
      <w:r>
        <w:rPr/>
        <w:t>ceasing</w:t>
      </w:r>
      <w:r>
        <w:rPr>
          <w:spacing w:val="-11"/>
        </w:rPr>
        <w:t> </w:t>
      </w:r>
      <w:r>
        <w:rPr/>
        <w:t>of</w:t>
      </w:r>
      <w:r>
        <w:rPr>
          <w:spacing w:val="-10"/>
        </w:rPr>
        <w:t> </w:t>
      </w:r>
      <w:r>
        <w:rPr/>
        <w:t>medication</w:t>
      </w:r>
      <w:r>
        <w:rPr>
          <w:spacing w:val="-10"/>
        </w:rPr>
        <w:t> </w:t>
      </w:r>
      <w:r>
        <w:rPr/>
        <w:t>use.</w:t>
      </w:r>
      <w:r>
        <w:rPr>
          <w:spacing w:val="35"/>
        </w:rPr>
        <w:t> </w:t>
      </w:r>
      <w:r>
        <w:rPr/>
        <w:t>The</w:t>
      </w:r>
      <w:r>
        <w:rPr>
          <w:spacing w:val="-9"/>
        </w:rPr>
        <w:t> </w:t>
      </w:r>
      <w:r>
        <w:rPr/>
        <w:t>first</w:t>
      </w:r>
      <w:r>
        <w:rPr>
          <w:spacing w:val="-10"/>
        </w:rPr>
        <w:t> </w:t>
      </w:r>
      <w:r>
        <w:rPr/>
        <w:t>page</w:t>
      </w:r>
      <w:r>
        <w:rPr>
          <w:spacing w:val="-9"/>
        </w:rPr>
        <w:t> </w:t>
      </w:r>
      <w:r>
        <w:rPr/>
        <w:t>includes</w:t>
      </w:r>
      <w:r>
        <w:rPr>
          <w:spacing w:val="-10"/>
        </w:rPr>
        <w:t> </w:t>
      </w:r>
      <w:r>
        <w:rPr/>
        <w:t>a</w:t>
      </w:r>
      <w:r>
        <w:rPr>
          <w:spacing w:val="-10"/>
        </w:rPr>
        <w:t> </w:t>
      </w:r>
      <w:r>
        <w:rPr/>
        <w:t>rationale</w:t>
      </w:r>
      <w:r>
        <w:rPr>
          <w:spacing w:val="-9"/>
        </w:rPr>
        <w:t> </w:t>
      </w:r>
      <w:r>
        <w:rPr/>
        <w:t>for the</w:t>
      </w:r>
      <w:r>
        <w:rPr>
          <w:spacing w:val="-7"/>
        </w:rPr>
        <w:t> </w:t>
      </w:r>
      <w:r>
        <w:rPr/>
        <w:t>importance</w:t>
      </w:r>
      <w:r>
        <w:rPr>
          <w:spacing w:val="-7"/>
        </w:rPr>
        <w:t> </w:t>
      </w:r>
      <w:r>
        <w:rPr/>
        <w:t>of</w:t>
      </w:r>
      <w:r>
        <w:rPr>
          <w:spacing w:val="-8"/>
        </w:rPr>
        <w:t> </w:t>
      </w:r>
      <w:r>
        <w:rPr/>
        <w:t>keeping</w:t>
      </w:r>
      <w:r>
        <w:rPr>
          <w:spacing w:val="-8"/>
        </w:rPr>
        <w:t> </w:t>
      </w:r>
      <w:r>
        <w:rPr/>
        <w:t>naloxone</w:t>
      </w:r>
      <w:r>
        <w:rPr>
          <w:spacing w:val="-7"/>
        </w:rPr>
        <w:t> </w:t>
      </w:r>
      <w:r>
        <w:rPr/>
        <w:t>in</w:t>
      </w:r>
      <w:r>
        <w:rPr>
          <w:spacing w:val="-8"/>
        </w:rPr>
        <w:t> </w:t>
      </w:r>
      <w:r>
        <w:rPr/>
        <w:t>the</w:t>
      </w:r>
      <w:r>
        <w:rPr>
          <w:spacing w:val="-7"/>
        </w:rPr>
        <w:t> </w:t>
      </w:r>
      <w:r>
        <w:rPr/>
        <w:t>home.</w:t>
      </w:r>
      <w:r>
        <w:rPr>
          <w:spacing w:val="-8"/>
        </w:rPr>
        <w:t> </w:t>
      </w:r>
      <w:r>
        <w:rPr/>
        <w:t>We</w:t>
      </w:r>
      <w:r>
        <w:rPr>
          <w:spacing w:val="-7"/>
        </w:rPr>
        <w:t> </w:t>
      </w:r>
      <w:r>
        <w:rPr/>
        <w:t>included</w:t>
      </w:r>
      <w:r>
        <w:rPr>
          <w:spacing w:val="-8"/>
        </w:rPr>
        <w:t> </w:t>
      </w:r>
      <w:r>
        <w:rPr/>
        <w:t>common</w:t>
      </w:r>
      <w:r>
        <w:rPr>
          <w:spacing w:val="-8"/>
        </w:rPr>
        <w:t> </w:t>
      </w:r>
      <w:r>
        <w:rPr/>
        <w:t>opioid</w:t>
      </w:r>
      <w:r>
        <w:rPr>
          <w:spacing w:val="-8"/>
        </w:rPr>
        <w:t> </w:t>
      </w:r>
      <w:r>
        <w:rPr/>
        <w:t>brand</w:t>
      </w:r>
      <w:r>
        <w:rPr>
          <w:spacing w:val="-6"/>
        </w:rPr>
        <w:t> </w:t>
      </w:r>
      <w:r>
        <w:rPr/>
        <w:t>names, to help remind patients understand which of their medicines naloxone is relevant to. Although we considered providing information about accessing naloxone via the PBS to address concerns about affordability, we decided to exclude this information to increase the longevity</w:t>
      </w:r>
      <w:r>
        <w:rPr>
          <w:spacing w:val="-14"/>
        </w:rPr>
        <w:t> </w:t>
      </w:r>
      <w:r>
        <w:rPr/>
        <w:t>of</w:t>
      </w:r>
      <w:r>
        <w:rPr>
          <w:spacing w:val="-15"/>
        </w:rPr>
        <w:t> </w:t>
      </w:r>
      <w:r>
        <w:rPr/>
        <w:t>the</w:t>
      </w:r>
      <w:r>
        <w:rPr>
          <w:spacing w:val="-14"/>
        </w:rPr>
        <w:t> </w:t>
      </w:r>
      <w:r>
        <w:rPr/>
        <w:t>materials</w:t>
      </w:r>
      <w:r>
        <w:rPr>
          <w:spacing w:val="-15"/>
        </w:rPr>
        <w:t> </w:t>
      </w:r>
      <w:r>
        <w:rPr/>
        <w:t>(so</w:t>
      </w:r>
      <w:r>
        <w:rPr>
          <w:spacing w:val="-15"/>
        </w:rPr>
        <w:t> </w:t>
      </w:r>
      <w:r>
        <w:rPr/>
        <w:t>that</w:t>
      </w:r>
      <w:r>
        <w:rPr>
          <w:spacing w:val="-15"/>
        </w:rPr>
        <w:t> </w:t>
      </w:r>
      <w:r>
        <w:rPr/>
        <w:t>they</w:t>
      </w:r>
      <w:r>
        <w:rPr>
          <w:spacing w:val="-14"/>
        </w:rPr>
        <w:t> </w:t>
      </w:r>
      <w:r>
        <w:rPr/>
        <w:t>would</w:t>
      </w:r>
      <w:r>
        <w:rPr>
          <w:spacing w:val="-15"/>
        </w:rPr>
        <w:t> </w:t>
      </w:r>
      <w:r>
        <w:rPr/>
        <w:t>not</w:t>
      </w:r>
      <w:r>
        <w:rPr>
          <w:spacing w:val="-15"/>
        </w:rPr>
        <w:t> </w:t>
      </w:r>
      <w:r>
        <w:rPr/>
        <w:t>quickly</w:t>
      </w:r>
      <w:r>
        <w:rPr>
          <w:spacing w:val="-14"/>
        </w:rPr>
        <w:t> </w:t>
      </w:r>
      <w:r>
        <w:rPr/>
        <w:t>become</w:t>
      </w:r>
      <w:r>
        <w:rPr>
          <w:spacing w:val="-14"/>
        </w:rPr>
        <w:t> </w:t>
      </w:r>
      <w:r>
        <w:rPr/>
        <w:t>outdated).</w:t>
      </w:r>
      <w:r>
        <w:rPr>
          <w:spacing w:val="-15"/>
        </w:rPr>
        <w:t> </w:t>
      </w:r>
      <w:r>
        <w:rPr/>
        <w:t>The</w:t>
      </w:r>
      <w:r>
        <w:rPr>
          <w:spacing w:val="-14"/>
        </w:rPr>
        <w:t> </w:t>
      </w:r>
      <w:r>
        <w:rPr/>
        <w:t>second</w:t>
      </w:r>
      <w:r>
        <w:rPr>
          <w:spacing w:val="-15"/>
        </w:rPr>
        <w:t> </w:t>
      </w:r>
      <w:r>
        <w:rPr/>
        <w:t>page of</w:t>
      </w:r>
      <w:r>
        <w:rPr>
          <w:spacing w:val="-14"/>
        </w:rPr>
        <w:t> </w:t>
      </w:r>
      <w:r>
        <w:rPr/>
        <w:t>the</w:t>
      </w:r>
      <w:r>
        <w:rPr>
          <w:spacing w:val="-13"/>
        </w:rPr>
        <w:t> </w:t>
      </w:r>
      <w:r>
        <w:rPr/>
        <w:t>leaflet</w:t>
      </w:r>
      <w:r>
        <w:rPr>
          <w:spacing w:val="-14"/>
        </w:rPr>
        <w:t> </w:t>
      </w:r>
      <w:r>
        <w:rPr/>
        <w:t>includes</w:t>
      </w:r>
      <w:r>
        <w:rPr>
          <w:spacing w:val="-14"/>
        </w:rPr>
        <w:t> </w:t>
      </w:r>
      <w:r>
        <w:rPr/>
        <w:t>an</w:t>
      </w:r>
      <w:r>
        <w:rPr>
          <w:spacing w:val="-14"/>
        </w:rPr>
        <w:t> </w:t>
      </w:r>
      <w:r>
        <w:rPr/>
        <w:t>‘opioid</w:t>
      </w:r>
      <w:r>
        <w:rPr>
          <w:spacing w:val="-14"/>
        </w:rPr>
        <w:t> </w:t>
      </w:r>
      <w:r>
        <w:rPr/>
        <w:t>safety</w:t>
      </w:r>
      <w:r>
        <w:rPr>
          <w:spacing w:val="-13"/>
        </w:rPr>
        <w:t> </w:t>
      </w:r>
      <w:r>
        <w:rPr/>
        <w:t>plan’.</w:t>
      </w:r>
      <w:r>
        <w:rPr>
          <w:spacing w:val="-14"/>
        </w:rPr>
        <w:t> </w:t>
      </w:r>
      <w:r>
        <w:rPr/>
        <w:t>This</w:t>
      </w:r>
      <w:r>
        <w:rPr>
          <w:spacing w:val="-13"/>
        </w:rPr>
        <w:t> </w:t>
      </w:r>
      <w:r>
        <w:rPr/>
        <w:t>is</w:t>
      </w:r>
      <w:r>
        <w:rPr>
          <w:spacing w:val="-14"/>
        </w:rPr>
        <w:t> </w:t>
      </w:r>
      <w:r>
        <w:rPr/>
        <w:t>designed</w:t>
      </w:r>
      <w:r>
        <w:rPr>
          <w:spacing w:val="-14"/>
        </w:rPr>
        <w:t> </w:t>
      </w:r>
      <w:r>
        <w:rPr/>
        <w:t>to</w:t>
      </w:r>
      <w:r>
        <w:rPr>
          <w:spacing w:val="-14"/>
        </w:rPr>
        <w:t> </w:t>
      </w:r>
      <w:r>
        <w:rPr/>
        <w:t>be</w:t>
      </w:r>
      <w:r>
        <w:rPr>
          <w:spacing w:val="-13"/>
        </w:rPr>
        <w:t> </w:t>
      </w:r>
      <w:r>
        <w:rPr/>
        <w:t>a</w:t>
      </w:r>
      <w:r>
        <w:rPr>
          <w:spacing w:val="-13"/>
        </w:rPr>
        <w:t> </w:t>
      </w:r>
      <w:r>
        <w:rPr/>
        <w:t>quick-reference</w:t>
      </w:r>
      <w:r>
        <w:rPr>
          <w:spacing w:val="-13"/>
        </w:rPr>
        <w:t> </w:t>
      </w:r>
      <w:r>
        <w:rPr/>
        <w:t>resource with essential information presented in a clear an appealing way, which patients can keep with their medicine or in a prominent place. The plan includes advice to discuss the safety plan with family members, friends, or a carer (serving as a prompt to help patients start a conversation about overdose and</w:t>
      </w:r>
      <w:r>
        <w:rPr>
          <w:spacing w:val="-20"/>
        </w:rPr>
        <w:t> </w:t>
      </w:r>
      <w:r>
        <w:rPr/>
        <w:t>naloxone).</w:t>
      </w:r>
    </w:p>
    <w:p>
      <w:pPr>
        <w:pStyle w:val="BodyText"/>
        <w:spacing w:before="11"/>
        <w:rPr>
          <w:sz w:val="23"/>
        </w:rPr>
      </w:pPr>
    </w:p>
    <w:p>
      <w:pPr>
        <w:pStyle w:val="BodyText"/>
        <w:spacing w:before="1"/>
        <w:ind w:left="119" w:right="118"/>
        <w:jc w:val="both"/>
      </w:pPr>
      <w:r>
        <w:rPr/>
        <w:t>As is illustrated in Figure 2, the patient leaflet covers all the main content areas that patients considered important. As the patient and pharmacist materials are designed to be complimentary, most of this information is not duplicated on the pharmacist poster. Additional content areas covered in the pharmacist poster are illustrated in Figure 3. Three content areas (suggested by pharmacists) were excluded from the patient and pharmacist materials for brevity: ‘other pain management strategies’, ‘how to have follow up conversations’, and ‘referral pathways’. This was due to there being extensive materials on pain management and related issues already developed and freely available [9].</w:t>
      </w:r>
    </w:p>
    <w:p>
      <w:pPr>
        <w:pStyle w:val="BodyText"/>
        <w:spacing w:before="12"/>
        <w:rPr>
          <w:sz w:val="23"/>
        </w:rPr>
      </w:pPr>
    </w:p>
    <w:p>
      <w:pPr>
        <w:pStyle w:val="BodyText"/>
        <w:ind w:left="119" w:right="118"/>
        <w:jc w:val="both"/>
      </w:pPr>
      <w:r>
        <w:rPr/>
        <w:t>The draft materials were circulated to patients, pharmacists, and the Pharmaceutical Society of Australia Harm Reduction Committee for further feedback prior to finalisation.</w:t>
      </w:r>
    </w:p>
    <w:p>
      <w:pPr>
        <w:spacing w:after="0"/>
        <w:jc w:val="both"/>
        <w:sectPr>
          <w:pgSz w:w="11910" w:h="16840"/>
          <w:pgMar w:header="0" w:footer="1328" w:top="1580" w:bottom="1520" w:left="1320" w:right="1320"/>
        </w:sectPr>
      </w:pPr>
    </w:p>
    <w:p>
      <w:pPr>
        <w:pStyle w:val="BodyText"/>
        <w:rPr>
          <w:sz w:val="20"/>
        </w:rPr>
      </w:pPr>
    </w:p>
    <w:p>
      <w:pPr>
        <w:spacing w:before="186"/>
        <w:ind w:left="780" w:right="0" w:firstLine="0"/>
        <w:jc w:val="left"/>
        <w:rPr>
          <w:i/>
          <w:sz w:val="22"/>
        </w:rPr>
      </w:pPr>
      <w:r>
        <w:rPr>
          <w:i/>
          <w:sz w:val="22"/>
        </w:rPr>
        <w:t>Figure 2. Patient leaflet content areas</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
        <w:rPr>
          <w:i/>
          <w:sz w:val="29"/>
        </w:rPr>
      </w:pPr>
    </w:p>
    <w:p>
      <w:pPr>
        <w:pStyle w:val="ListParagraph"/>
        <w:numPr>
          <w:ilvl w:val="0"/>
          <w:numId w:val="6"/>
        </w:numPr>
        <w:tabs>
          <w:tab w:pos="466" w:val="left" w:leader="none"/>
        </w:tabs>
        <w:spacing w:line="240" w:lineRule="auto" w:before="55" w:after="0"/>
        <w:ind w:left="465" w:right="13628" w:hanging="360"/>
        <w:jc w:val="left"/>
        <w:rPr>
          <w:sz w:val="22"/>
        </w:rPr>
      </w:pPr>
      <w:r>
        <w:rPr/>
        <w:drawing>
          <wp:anchor distT="0" distB="0" distL="0" distR="0" allowOverlap="1" layoutInCell="1" locked="0" behindDoc="0" simplePos="0" relativeHeight="1096">
            <wp:simplePos x="0" y="0"/>
            <wp:positionH relativeFrom="page">
              <wp:posOffset>1994535</wp:posOffset>
            </wp:positionH>
            <wp:positionV relativeFrom="paragraph">
              <wp:posOffset>-382731</wp:posOffset>
            </wp:positionV>
            <wp:extent cx="8385807" cy="4952352"/>
            <wp:effectExtent l="0" t="0" r="0" b="0"/>
            <wp:wrapNone/>
            <wp:docPr id="3" name="image5.png" descr=""/>
            <wp:cNvGraphicFramePr>
              <a:graphicFrameLocks noChangeAspect="1"/>
            </wp:cNvGraphicFramePr>
            <a:graphic>
              <a:graphicData uri="http://schemas.openxmlformats.org/drawingml/2006/picture">
                <pic:pic>
                  <pic:nvPicPr>
                    <pic:cNvPr id="4" name="image5.png"/>
                    <pic:cNvPicPr/>
                  </pic:nvPicPr>
                  <pic:blipFill>
                    <a:blip r:embed="rId15" cstate="print"/>
                    <a:stretch>
                      <a:fillRect/>
                    </a:stretch>
                  </pic:blipFill>
                  <pic:spPr>
                    <a:xfrm>
                      <a:off x="0" y="0"/>
                      <a:ext cx="8385807" cy="4952352"/>
                    </a:xfrm>
                    <a:prstGeom prst="rect">
                      <a:avLst/>
                    </a:prstGeom>
                  </pic:spPr>
                </pic:pic>
              </a:graphicData>
            </a:graphic>
          </wp:anchor>
        </w:drawing>
      </w:r>
      <w:r>
        <w:rPr>
          <w:color w:val="7C467C"/>
          <w:sz w:val="22"/>
        </w:rPr>
        <w:t>Signs/symptoms of overdose</w:t>
      </w:r>
    </w:p>
    <w:p>
      <w:pPr>
        <w:pStyle w:val="ListParagraph"/>
        <w:numPr>
          <w:ilvl w:val="0"/>
          <w:numId w:val="6"/>
        </w:numPr>
        <w:tabs>
          <w:tab w:pos="466" w:val="left" w:leader="none"/>
        </w:tabs>
        <w:spacing w:line="268" w:lineRule="exact" w:before="0" w:after="0"/>
        <w:ind w:left="465" w:right="0" w:hanging="360"/>
        <w:jc w:val="left"/>
        <w:rPr>
          <w:sz w:val="22"/>
        </w:rPr>
      </w:pPr>
      <w:r>
        <w:rPr>
          <w:color w:val="7C467C"/>
          <w:sz w:val="22"/>
        </w:rPr>
        <w:t>Opioid</w:t>
      </w:r>
      <w:r>
        <w:rPr>
          <w:color w:val="7C467C"/>
          <w:spacing w:val="-6"/>
          <w:sz w:val="22"/>
        </w:rPr>
        <w:t> </w:t>
      </w:r>
      <w:r>
        <w:rPr>
          <w:color w:val="7C467C"/>
          <w:sz w:val="22"/>
        </w:rPr>
        <w:t>risks</w:t>
      </w:r>
    </w:p>
    <w:p>
      <w:pPr>
        <w:pStyle w:val="ListParagraph"/>
        <w:numPr>
          <w:ilvl w:val="0"/>
          <w:numId w:val="6"/>
        </w:numPr>
        <w:tabs>
          <w:tab w:pos="466" w:val="left" w:leader="none"/>
        </w:tabs>
        <w:spacing w:line="240" w:lineRule="auto" w:before="0" w:after="0"/>
        <w:ind w:left="465" w:right="13912" w:hanging="360"/>
        <w:jc w:val="left"/>
        <w:rPr>
          <w:sz w:val="22"/>
        </w:rPr>
      </w:pPr>
      <w:r>
        <w:rPr>
          <w:color w:val="7C467C"/>
          <w:sz w:val="22"/>
        </w:rPr>
        <w:t>Reducing risk of overdose</w:t>
      </w:r>
    </w:p>
    <w:p>
      <w:pPr>
        <w:pStyle w:val="ListParagraph"/>
        <w:numPr>
          <w:ilvl w:val="0"/>
          <w:numId w:val="6"/>
        </w:numPr>
        <w:tabs>
          <w:tab w:pos="467" w:val="left" w:leader="none"/>
        </w:tabs>
        <w:spacing w:line="240" w:lineRule="auto" w:before="0" w:after="0"/>
        <w:ind w:left="466" w:right="13902" w:hanging="360"/>
        <w:jc w:val="left"/>
        <w:rPr>
          <w:sz w:val="22"/>
        </w:rPr>
      </w:pPr>
      <w:r>
        <w:rPr>
          <w:color w:val="7C467C"/>
          <w:sz w:val="22"/>
        </w:rPr>
        <w:t>Alternative pain management strategies</w:t>
      </w:r>
    </w:p>
    <w:p>
      <w:pPr>
        <w:pStyle w:val="ListParagraph"/>
        <w:numPr>
          <w:ilvl w:val="0"/>
          <w:numId w:val="6"/>
        </w:numPr>
        <w:tabs>
          <w:tab w:pos="467" w:val="left" w:leader="none"/>
        </w:tabs>
        <w:spacing w:line="240" w:lineRule="auto" w:before="0" w:after="0"/>
        <w:ind w:left="466" w:right="13524" w:hanging="360"/>
        <w:jc w:val="left"/>
        <w:rPr>
          <w:sz w:val="22"/>
        </w:rPr>
      </w:pPr>
      <w:r>
        <w:rPr>
          <w:color w:val="7C467C"/>
          <w:sz w:val="22"/>
        </w:rPr>
        <w:t>Responding to overdose</w:t>
      </w:r>
      <w:r>
        <w:rPr>
          <w:color w:val="7C467C"/>
          <w:spacing w:val="-12"/>
          <w:sz w:val="22"/>
        </w:rPr>
        <w:t> </w:t>
      </w:r>
      <w:r>
        <w:rPr>
          <w:color w:val="7C467C"/>
          <w:sz w:val="22"/>
        </w:rPr>
        <w:t>symptoms</w:t>
      </w:r>
    </w:p>
    <w:p>
      <w:pPr>
        <w:pStyle w:val="ListParagraph"/>
        <w:numPr>
          <w:ilvl w:val="0"/>
          <w:numId w:val="6"/>
        </w:numPr>
        <w:tabs>
          <w:tab w:pos="467" w:val="left" w:leader="none"/>
        </w:tabs>
        <w:spacing w:line="240" w:lineRule="auto" w:before="1" w:after="0"/>
        <w:ind w:left="466" w:right="13592" w:hanging="360"/>
        <w:jc w:val="left"/>
        <w:rPr>
          <w:sz w:val="22"/>
        </w:rPr>
      </w:pPr>
      <w:r>
        <w:rPr>
          <w:color w:val="7C467C"/>
          <w:sz w:val="22"/>
        </w:rPr>
        <w:t>What is naloxone? What is it used for? How does it</w:t>
      </w:r>
      <w:r>
        <w:rPr>
          <w:color w:val="7C467C"/>
          <w:spacing w:val="-8"/>
          <w:sz w:val="22"/>
        </w:rPr>
        <w:t> </w:t>
      </w:r>
      <w:r>
        <w:rPr>
          <w:color w:val="7C467C"/>
          <w:sz w:val="22"/>
        </w:rPr>
        <w:t>work?</w:t>
      </w:r>
    </w:p>
    <w:p>
      <w:pPr>
        <w:pStyle w:val="ListParagraph"/>
        <w:numPr>
          <w:ilvl w:val="0"/>
          <w:numId w:val="6"/>
        </w:numPr>
        <w:tabs>
          <w:tab w:pos="467" w:val="left" w:leader="none"/>
        </w:tabs>
        <w:spacing w:line="268" w:lineRule="exact" w:before="0" w:after="0"/>
        <w:ind w:left="466" w:right="0" w:hanging="360"/>
        <w:jc w:val="left"/>
        <w:rPr>
          <w:sz w:val="22"/>
        </w:rPr>
      </w:pPr>
      <w:r>
        <w:rPr>
          <w:color w:val="7C467C"/>
          <w:sz w:val="22"/>
        </w:rPr>
        <w:t>How to use</w:t>
      </w:r>
      <w:r>
        <w:rPr>
          <w:color w:val="7C467C"/>
          <w:spacing w:val="-9"/>
          <w:sz w:val="22"/>
        </w:rPr>
        <w:t> </w:t>
      </w:r>
      <w:r>
        <w:rPr>
          <w:color w:val="7C467C"/>
          <w:sz w:val="22"/>
        </w:rPr>
        <w:t>naloxone</w:t>
      </w:r>
    </w:p>
    <w:p>
      <w:pPr>
        <w:pStyle w:val="ListParagraph"/>
        <w:numPr>
          <w:ilvl w:val="0"/>
          <w:numId w:val="6"/>
        </w:numPr>
        <w:tabs>
          <w:tab w:pos="467" w:val="left" w:leader="none"/>
        </w:tabs>
        <w:spacing w:line="240" w:lineRule="auto" w:before="0" w:after="0"/>
        <w:ind w:left="466" w:right="13674" w:hanging="360"/>
        <w:jc w:val="left"/>
        <w:rPr>
          <w:sz w:val="22"/>
        </w:rPr>
      </w:pPr>
      <w:r>
        <w:rPr>
          <w:color w:val="7C467C"/>
          <w:sz w:val="22"/>
        </w:rPr>
        <w:t>Where/how to get naloxone</w:t>
      </w:r>
    </w:p>
    <w:p>
      <w:pPr>
        <w:pStyle w:val="ListParagraph"/>
        <w:numPr>
          <w:ilvl w:val="0"/>
          <w:numId w:val="6"/>
        </w:numPr>
        <w:tabs>
          <w:tab w:pos="468" w:val="left" w:leader="none"/>
        </w:tabs>
        <w:spacing w:line="240" w:lineRule="auto" w:before="0" w:after="0"/>
        <w:ind w:left="467" w:right="13421" w:hanging="361"/>
        <w:jc w:val="left"/>
        <w:rPr>
          <w:sz w:val="22"/>
        </w:rPr>
      </w:pPr>
      <w:r>
        <w:rPr>
          <w:color w:val="7C467C"/>
          <w:sz w:val="22"/>
        </w:rPr>
        <w:t>Discussing naloxone with family or</w:t>
      </w:r>
      <w:r>
        <w:rPr>
          <w:color w:val="7C467C"/>
          <w:spacing w:val="-10"/>
          <w:sz w:val="22"/>
        </w:rPr>
        <w:t> </w:t>
      </w:r>
      <w:r>
        <w:rPr>
          <w:color w:val="7C467C"/>
          <w:sz w:val="22"/>
        </w:rPr>
        <w:t>friends</w:t>
      </w:r>
    </w:p>
    <w:p>
      <w:pPr>
        <w:pStyle w:val="ListParagraph"/>
        <w:numPr>
          <w:ilvl w:val="0"/>
          <w:numId w:val="6"/>
        </w:numPr>
        <w:tabs>
          <w:tab w:pos="468" w:val="left" w:leader="none"/>
        </w:tabs>
        <w:spacing w:line="240" w:lineRule="auto" w:before="0" w:after="0"/>
        <w:ind w:left="467" w:right="0" w:hanging="360"/>
        <w:jc w:val="left"/>
        <w:rPr>
          <w:sz w:val="22"/>
        </w:rPr>
      </w:pPr>
      <w:r>
        <w:rPr>
          <w:color w:val="7C467C"/>
          <w:sz w:val="22"/>
        </w:rPr>
        <w:t>Storage</w:t>
      </w:r>
    </w:p>
    <w:p>
      <w:pPr>
        <w:pStyle w:val="ListParagraph"/>
        <w:numPr>
          <w:ilvl w:val="0"/>
          <w:numId w:val="6"/>
        </w:numPr>
        <w:tabs>
          <w:tab w:pos="468" w:val="left" w:leader="none"/>
        </w:tabs>
        <w:spacing w:line="240" w:lineRule="auto" w:before="0" w:after="0"/>
        <w:ind w:left="467" w:right="0" w:hanging="360"/>
        <w:jc w:val="left"/>
        <w:rPr>
          <w:sz w:val="22"/>
        </w:rPr>
      </w:pPr>
      <w:r>
        <w:rPr>
          <w:color w:val="7C467C"/>
          <w:sz w:val="22"/>
        </w:rPr>
        <w:t>Naloxone</w:t>
      </w:r>
      <w:r>
        <w:rPr>
          <w:color w:val="7C467C"/>
          <w:spacing w:val="-9"/>
          <w:sz w:val="22"/>
        </w:rPr>
        <w:t> </w:t>
      </w:r>
      <w:r>
        <w:rPr>
          <w:color w:val="7C467C"/>
          <w:sz w:val="22"/>
        </w:rPr>
        <w:t>safety</w:t>
      </w:r>
    </w:p>
    <w:p>
      <w:pPr>
        <w:spacing w:after="0" w:line="240" w:lineRule="auto"/>
        <w:jc w:val="left"/>
        <w:rPr>
          <w:sz w:val="22"/>
        </w:rPr>
        <w:sectPr>
          <w:footerReference w:type="default" r:id="rId14"/>
          <w:pgSz w:w="16840" w:h="11910" w:orient="landscape"/>
          <w:pgMar w:footer="1328" w:header="0" w:top="1100" w:bottom="1520" w:left="660" w:right="380"/>
          <w:pgNumType w:start="20"/>
        </w:sectPr>
      </w:pPr>
    </w:p>
    <w:p>
      <w:pPr>
        <w:pStyle w:val="BodyText"/>
        <w:rPr>
          <w:sz w:val="20"/>
        </w:rPr>
      </w:pPr>
    </w:p>
    <w:p>
      <w:pPr>
        <w:spacing w:before="186"/>
        <w:ind w:left="100" w:right="0" w:firstLine="0"/>
        <w:jc w:val="left"/>
        <w:rPr>
          <w:i/>
          <w:sz w:val="22"/>
        </w:rPr>
      </w:pPr>
      <w:r>
        <w:rPr/>
        <w:drawing>
          <wp:anchor distT="0" distB="0" distL="0" distR="0" allowOverlap="1" layoutInCell="1" locked="0" behindDoc="1" simplePos="0" relativeHeight="268346663">
            <wp:simplePos x="0" y="0"/>
            <wp:positionH relativeFrom="page">
              <wp:posOffset>3072764</wp:posOffset>
            </wp:positionH>
            <wp:positionV relativeFrom="paragraph">
              <wp:posOffset>288462</wp:posOffset>
            </wp:positionV>
            <wp:extent cx="4542153" cy="5240528"/>
            <wp:effectExtent l="0" t="0" r="0" b="0"/>
            <wp:wrapNone/>
            <wp:docPr id="5" name="image6.jpeg" descr="A screenshot of a cell phone  Description automatically generated "/>
            <wp:cNvGraphicFramePr>
              <a:graphicFrameLocks noChangeAspect="1"/>
            </wp:cNvGraphicFramePr>
            <a:graphic>
              <a:graphicData uri="http://schemas.openxmlformats.org/drawingml/2006/picture">
                <pic:pic>
                  <pic:nvPicPr>
                    <pic:cNvPr id="6" name="image6.jpeg"/>
                    <pic:cNvPicPr/>
                  </pic:nvPicPr>
                  <pic:blipFill>
                    <a:blip r:embed="rId16" cstate="print"/>
                    <a:stretch>
                      <a:fillRect/>
                    </a:stretch>
                  </pic:blipFill>
                  <pic:spPr>
                    <a:xfrm>
                      <a:off x="0" y="0"/>
                      <a:ext cx="4542153" cy="5240528"/>
                    </a:xfrm>
                    <a:prstGeom prst="rect">
                      <a:avLst/>
                    </a:prstGeom>
                  </pic:spPr>
                </pic:pic>
              </a:graphicData>
            </a:graphic>
          </wp:anchor>
        </w:drawing>
      </w:r>
      <w:r>
        <w:rPr>
          <w:i/>
          <w:sz w:val="22"/>
        </w:rPr>
        <w:t>Figure 3. Pharmacist poster content areas</w:t>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8"/>
        <w:rPr>
          <w:i/>
          <w:sz w:val="25"/>
        </w:rPr>
      </w:pPr>
    </w:p>
    <w:p>
      <w:pPr>
        <w:pStyle w:val="ListParagraph"/>
        <w:numPr>
          <w:ilvl w:val="0"/>
          <w:numId w:val="7"/>
        </w:numPr>
        <w:tabs>
          <w:tab w:pos="465" w:val="left" w:leader="none"/>
        </w:tabs>
        <w:spacing w:line="240" w:lineRule="auto" w:before="0" w:after="0"/>
        <w:ind w:left="248" w:right="0" w:firstLine="0"/>
        <w:jc w:val="left"/>
        <w:rPr>
          <w:color w:val="7C467C"/>
          <w:sz w:val="22"/>
        </w:rPr>
      </w:pPr>
      <w:r>
        <w:rPr>
          <w:color w:val="7C467C"/>
          <w:sz w:val="22"/>
        </w:rPr>
        <w:t>Risk</w:t>
      </w:r>
      <w:r>
        <w:rPr>
          <w:color w:val="7C467C"/>
          <w:spacing w:val="-4"/>
          <w:sz w:val="22"/>
        </w:rPr>
        <w:t> </w:t>
      </w:r>
      <w:r>
        <w:rPr>
          <w:color w:val="7C467C"/>
          <w:sz w:val="22"/>
        </w:rPr>
        <w:t>factors</w:t>
      </w:r>
    </w:p>
    <w:p>
      <w:pPr>
        <w:pStyle w:val="ListParagraph"/>
        <w:numPr>
          <w:ilvl w:val="0"/>
          <w:numId w:val="7"/>
        </w:numPr>
        <w:tabs>
          <w:tab w:pos="465" w:val="left" w:leader="none"/>
        </w:tabs>
        <w:spacing w:line="240" w:lineRule="auto" w:before="0" w:after="0"/>
        <w:ind w:left="248" w:right="12240" w:firstLine="0"/>
        <w:jc w:val="left"/>
        <w:rPr>
          <w:color w:val="7C467C"/>
          <w:sz w:val="22"/>
        </w:rPr>
      </w:pPr>
      <w:r>
        <w:rPr>
          <w:color w:val="7C467C"/>
          <w:sz w:val="22"/>
        </w:rPr>
        <w:t>Why is naloxone important?</w:t>
      </w:r>
    </w:p>
    <w:p>
      <w:pPr>
        <w:pStyle w:val="ListParagraph"/>
        <w:numPr>
          <w:ilvl w:val="0"/>
          <w:numId w:val="7"/>
        </w:numPr>
        <w:tabs>
          <w:tab w:pos="465" w:val="left" w:leader="none"/>
        </w:tabs>
        <w:spacing w:line="240" w:lineRule="auto" w:before="0" w:after="0"/>
        <w:ind w:left="248" w:right="12094" w:firstLine="0"/>
        <w:jc w:val="left"/>
        <w:rPr>
          <w:color w:val="7C467C"/>
          <w:sz w:val="22"/>
        </w:rPr>
      </w:pPr>
      <w:r>
        <w:rPr>
          <w:color w:val="7C467C"/>
          <w:sz w:val="22"/>
        </w:rPr>
        <w:t>Where and how is naloxone</w:t>
      </w:r>
      <w:r>
        <w:rPr>
          <w:color w:val="7C467C"/>
          <w:spacing w:val="-14"/>
          <w:sz w:val="22"/>
        </w:rPr>
        <w:t> </w:t>
      </w:r>
      <w:r>
        <w:rPr>
          <w:color w:val="7C467C"/>
          <w:sz w:val="22"/>
        </w:rPr>
        <w:t>available?</w:t>
      </w:r>
    </w:p>
    <w:p>
      <w:pPr>
        <w:pStyle w:val="ListParagraph"/>
        <w:numPr>
          <w:ilvl w:val="0"/>
          <w:numId w:val="7"/>
        </w:numPr>
        <w:tabs>
          <w:tab w:pos="465" w:val="left" w:leader="none"/>
        </w:tabs>
        <w:spacing w:line="240" w:lineRule="auto" w:before="1" w:after="0"/>
        <w:ind w:left="248" w:right="12194" w:firstLine="0"/>
        <w:jc w:val="left"/>
        <w:rPr>
          <w:color w:val="7C467C"/>
          <w:sz w:val="22"/>
        </w:rPr>
      </w:pPr>
      <w:r>
        <w:rPr>
          <w:color w:val="7C467C"/>
          <w:sz w:val="22"/>
        </w:rPr>
        <w:t>How to have a conversation about naloxone</w:t>
      </w:r>
    </w:p>
    <w:p>
      <w:pPr>
        <w:spacing w:after="0" w:line="240" w:lineRule="auto"/>
        <w:jc w:val="left"/>
        <w:rPr>
          <w:sz w:val="22"/>
        </w:rPr>
        <w:sectPr>
          <w:pgSz w:w="16840" w:h="11910" w:orient="landscape"/>
          <w:pgMar w:header="0" w:footer="1328" w:top="1100" w:bottom="1520" w:left="1340" w:right="1320"/>
        </w:sectPr>
      </w:pPr>
    </w:p>
    <w:p>
      <w:pPr>
        <w:spacing w:before="37"/>
        <w:ind w:left="119" w:right="0" w:firstLine="0"/>
        <w:jc w:val="both"/>
        <w:rPr>
          <w:i/>
          <w:sz w:val="24"/>
        </w:rPr>
      </w:pPr>
      <w:r>
        <w:rPr>
          <w:i/>
          <w:sz w:val="24"/>
        </w:rPr>
        <w:t>Patient feedback</w:t>
      </w:r>
    </w:p>
    <w:p>
      <w:pPr>
        <w:pStyle w:val="BodyText"/>
        <w:spacing w:before="11"/>
        <w:rPr>
          <w:i/>
          <w:sz w:val="23"/>
        </w:rPr>
      </w:pPr>
    </w:p>
    <w:p>
      <w:pPr>
        <w:pStyle w:val="BodyText"/>
        <w:ind w:left="119" w:right="119"/>
        <w:jc w:val="both"/>
      </w:pPr>
      <w:r>
        <w:rPr/>
        <w:t>Patient</w:t>
      </w:r>
      <w:r>
        <w:rPr>
          <w:spacing w:val="-6"/>
        </w:rPr>
        <w:t> </w:t>
      </w:r>
      <w:r>
        <w:rPr/>
        <w:t>feedback</w:t>
      </w:r>
      <w:r>
        <w:rPr>
          <w:spacing w:val="-6"/>
        </w:rPr>
        <w:t> </w:t>
      </w:r>
      <w:r>
        <w:rPr/>
        <w:t>received</w:t>
      </w:r>
      <w:r>
        <w:rPr>
          <w:spacing w:val="-6"/>
        </w:rPr>
        <w:t> </w:t>
      </w:r>
      <w:r>
        <w:rPr/>
        <w:t>was</w:t>
      </w:r>
      <w:r>
        <w:rPr>
          <w:spacing w:val="-5"/>
        </w:rPr>
        <w:t> </w:t>
      </w:r>
      <w:r>
        <w:rPr/>
        <w:t>overwhelmingly</w:t>
      </w:r>
      <w:r>
        <w:rPr>
          <w:spacing w:val="-6"/>
        </w:rPr>
        <w:t> </w:t>
      </w:r>
      <w:r>
        <w:rPr/>
        <w:t>positive</w:t>
      </w:r>
      <w:r>
        <w:rPr>
          <w:spacing w:val="-6"/>
        </w:rPr>
        <w:t> </w:t>
      </w:r>
      <w:r>
        <w:rPr/>
        <w:t>(see</w:t>
      </w:r>
      <w:r>
        <w:rPr>
          <w:spacing w:val="-6"/>
        </w:rPr>
        <w:t> </w:t>
      </w:r>
      <w:r>
        <w:rPr/>
        <w:t>Figure</w:t>
      </w:r>
      <w:r>
        <w:rPr>
          <w:spacing w:val="-6"/>
        </w:rPr>
        <w:t> </w:t>
      </w:r>
      <w:r>
        <w:rPr/>
        <w:t>4)</w:t>
      </w:r>
      <w:r>
        <w:rPr>
          <w:spacing w:val="-6"/>
        </w:rPr>
        <w:t> </w:t>
      </w:r>
      <w:r>
        <w:rPr/>
        <w:t>and</w:t>
      </w:r>
      <w:r>
        <w:rPr>
          <w:spacing w:val="-6"/>
        </w:rPr>
        <w:t> </w:t>
      </w:r>
      <w:r>
        <w:rPr/>
        <w:t>reiterated</w:t>
      </w:r>
      <w:r>
        <w:rPr>
          <w:spacing w:val="-6"/>
        </w:rPr>
        <w:t> </w:t>
      </w:r>
      <w:r>
        <w:rPr/>
        <w:t>that</w:t>
      </w:r>
      <w:r>
        <w:rPr>
          <w:spacing w:val="-6"/>
        </w:rPr>
        <w:t> </w:t>
      </w:r>
      <w:r>
        <w:rPr/>
        <w:t>the materials were interesting, easy to understand, useful and relevant, and designed in a way that appealed to patients (see Table</w:t>
      </w:r>
      <w:r>
        <w:rPr>
          <w:spacing w:val="-16"/>
        </w:rPr>
        <w:t> </w:t>
      </w:r>
      <w:r>
        <w:rPr/>
        <w:t>7).</w:t>
      </w:r>
    </w:p>
    <w:p>
      <w:pPr>
        <w:pStyle w:val="BodyText"/>
        <w:spacing w:before="11"/>
        <w:rPr>
          <w:sz w:val="21"/>
        </w:rPr>
      </w:pPr>
    </w:p>
    <w:p>
      <w:pPr>
        <w:spacing w:before="0"/>
        <w:ind w:left="119" w:right="0" w:firstLine="0"/>
        <w:jc w:val="both"/>
        <w:rPr>
          <w:i/>
          <w:sz w:val="22"/>
        </w:rPr>
      </w:pPr>
      <w:r>
        <w:rPr>
          <w:i/>
          <w:sz w:val="22"/>
        </w:rPr>
        <w:t>Figure 4. Anonymous quotes from patient feedback</w:t>
      </w:r>
    </w:p>
    <w:p>
      <w:pPr>
        <w:pStyle w:val="BodyText"/>
        <w:spacing w:before="9"/>
        <w:rPr>
          <w:i/>
          <w:sz w:val="16"/>
        </w:rPr>
      </w:pPr>
      <w:r>
        <w:rPr/>
        <w:drawing>
          <wp:anchor distT="0" distB="0" distL="0" distR="0" allowOverlap="1" layoutInCell="1" locked="0" behindDoc="0" simplePos="0" relativeHeight="1144">
            <wp:simplePos x="0" y="0"/>
            <wp:positionH relativeFrom="page">
              <wp:posOffset>914400</wp:posOffset>
            </wp:positionH>
            <wp:positionV relativeFrom="paragraph">
              <wp:posOffset>155035</wp:posOffset>
            </wp:positionV>
            <wp:extent cx="5736715" cy="1465897"/>
            <wp:effectExtent l="0" t="0" r="0" b="0"/>
            <wp:wrapTopAndBottom/>
            <wp:docPr id="7" name="image7.png" descr="A screenshot of a cell phone  Description automatically generated "/>
            <wp:cNvGraphicFramePr>
              <a:graphicFrameLocks noChangeAspect="1"/>
            </wp:cNvGraphicFramePr>
            <a:graphic>
              <a:graphicData uri="http://schemas.openxmlformats.org/drawingml/2006/picture">
                <pic:pic>
                  <pic:nvPicPr>
                    <pic:cNvPr id="8" name="image7.png"/>
                    <pic:cNvPicPr/>
                  </pic:nvPicPr>
                  <pic:blipFill>
                    <a:blip r:embed="rId18" cstate="print"/>
                    <a:stretch>
                      <a:fillRect/>
                    </a:stretch>
                  </pic:blipFill>
                  <pic:spPr>
                    <a:xfrm>
                      <a:off x="0" y="0"/>
                      <a:ext cx="5736715" cy="1465897"/>
                    </a:xfrm>
                    <a:prstGeom prst="rect">
                      <a:avLst/>
                    </a:prstGeom>
                  </pic:spPr>
                </pic:pic>
              </a:graphicData>
            </a:graphic>
          </wp:anchor>
        </w:drawing>
      </w:r>
    </w:p>
    <w:p>
      <w:pPr>
        <w:pStyle w:val="BodyText"/>
        <w:spacing w:before="6"/>
        <w:rPr>
          <w:i/>
          <w:sz w:val="19"/>
        </w:rPr>
      </w:pPr>
    </w:p>
    <w:p>
      <w:pPr>
        <w:spacing w:before="0"/>
        <w:ind w:left="120" w:right="0" w:firstLine="0"/>
        <w:jc w:val="both"/>
        <w:rPr>
          <w:i/>
          <w:sz w:val="22"/>
        </w:rPr>
      </w:pPr>
      <w:r>
        <w:rPr>
          <w:i/>
          <w:sz w:val="22"/>
        </w:rPr>
        <w:t>Table 7. Patient feedback (n=6)</w:t>
      </w:r>
    </w:p>
    <w:p>
      <w:pPr>
        <w:pStyle w:val="BodyText"/>
        <w:spacing w:before="11"/>
        <w:rPr>
          <w:i/>
          <w:sz w:val="19"/>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61"/>
        <w:gridCol w:w="965"/>
        <w:gridCol w:w="878"/>
        <w:gridCol w:w="1167"/>
        <w:gridCol w:w="1251"/>
        <w:gridCol w:w="904"/>
      </w:tblGrid>
      <w:tr>
        <w:trPr>
          <w:trHeight w:val="743" w:hRule="exact"/>
        </w:trPr>
        <w:tc>
          <w:tcPr>
            <w:tcW w:w="3861" w:type="dxa"/>
            <w:tcBorders>
              <w:top w:val="single" w:sz="4" w:space="0" w:color="8063A1"/>
              <w:bottom w:val="single" w:sz="4" w:space="0" w:color="8063A1"/>
            </w:tcBorders>
          </w:tcPr>
          <w:p>
            <w:pPr/>
          </w:p>
        </w:tc>
        <w:tc>
          <w:tcPr>
            <w:tcW w:w="965" w:type="dxa"/>
            <w:tcBorders>
              <w:top w:val="single" w:sz="4" w:space="0" w:color="8063A1"/>
              <w:bottom w:val="single" w:sz="4" w:space="0" w:color="8063A1"/>
            </w:tcBorders>
          </w:tcPr>
          <w:p>
            <w:pPr>
              <w:pStyle w:val="TableParagraph"/>
              <w:spacing w:before="121"/>
              <w:ind w:left="125" w:right="150"/>
              <w:rPr>
                <w:sz w:val="20"/>
              </w:rPr>
            </w:pPr>
            <w:r>
              <w:rPr>
                <w:sz w:val="20"/>
              </w:rPr>
              <w:t>Strongly agree</w:t>
            </w:r>
          </w:p>
        </w:tc>
        <w:tc>
          <w:tcPr>
            <w:tcW w:w="878" w:type="dxa"/>
            <w:tcBorders>
              <w:top w:val="single" w:sz="4" w:space="0" w:color="8063A1"/>
              <w:bottom w:val="single" w:sz="4" w:space="0" w:color="8063A1"/>
            </w:tcBorders>
          </w:tcPr>
          <w:p>
            <w:pPr>
              <w:pStyle w:val="TableParagraph"/>
              <w:spacing w:before="12"/>
              <w:ind w:left="0"/>
              <w:rPr>
                <w:i/>
                <w:sz w:val="19"/>
              </w:rPr>
            </w:pPr>
          </w:p>
          <w:p>
            <w:pPr>
              <w:pStyle w:val="TableParagraph"/>
              <w:ind w:left="169"/>
              <w:rPr>
                <w:sz w:val="20"/>
              </w:rPr>
            </w:pPr>
            <w:r>
              <w:rPr>
                <w:sz w:val="20"/>
              </w:rPr>
              <w:t>Agree</w:t>
            </w:r>
          </w:p>
        </w:tc>
        <w:tc>
          <w:tcPr>
            <w:tcW w:w="1167" w:type="dxa"/>
            <w:tcBorders>
              <w:top w:val="single" w:sz="4" w:space="0" w:color="8063A1"/>
              <w:bottom w:val="single" w:sz="4" w:space="0" w:color="8063A1"/>
            </w:tcBorders>
          </w:tcPr>
          <w:p>
            <w:pPr>
              <w:pStyle w:val="TableParagraph"/>
              <w:ind w:left="106" w:right="256"/>
              <w:rPr>
                <w:sz w:val="20"/>
              </w:rPr>
            </w:pPr>
            <w:r>
              <w:rPr>
                <w:sz w:val="20"/>
              </w:rPr>
              <w:t>Neither agree nor disagree</w:t>
            </w:r>
          </w:p>
        </w:tc>
        <w:tc>
          <w:tcPr>
            <w:tcW w:w="1251" w:type="dxa"/>
            <w:tcBorders>
              <w:top w:val="single" w:sz="4" w:space="0" w:color="8063A1"/>
              <w:bottom w:val="single" w:sz="4" w:space="0" w:color="8063A1"/>
            </w:tcBorders>
          </w:tcPr>
          <w:p>
            <w:pPr>
              <w:pStyle w:val="TableParagraph"/>
              <w:spacing w:before="121"/>
              <w:ind w:left="274" w:right="89"/>
              <w:rPr>
                <w:sz w:val="20"/>
              </w:rPr>
            </w:pPr>
            <w:r>
              <w:rPr>
                <w:sz w:val="20"/>
              </w:rPr>
              <w:t>Somewhat disagree</w:t>
            </w:r>
          </w:p>
        </w:tc>
        <w:tc>
          <w:tcPr>
            <w:tcW w:w="904" w:type="dxa"/>
            <w:tcBorders>
              <w:top w:val="single" w:sz="4" w:space="0" w:color="8063A1"/>
              <w:bottom w:val="single" w:sz="4" w:space="0" w:color="8063A1"/>
            </w:tcBorders>
          </w:tcPr>
          <w:p>
            <w:pPr>
              <w:pStyle w:val="TableParagraph"/>
              <w:spacing w:before="121"/>
              <w:ind w:left="107" w:right="89"/>
              <w:rPr>
                <w:sz w:val="20"/>
              </w:rPr>
            </w:pPr>
            <w:r>
              <w:rPr>
                <w:sz w:val="20"/>
              </w:rPr>
              <w:t>Strongly disagree</w:t>
            </w:r>
          </w:p>
        </w:tc>
      </w:tr>
      <w:tr>
        <w:trPr>
          <w:trHeight w:val="250" w:hRule="exact"/>
        </w:trPr>
        <w:tc>
          <w:tcPr>
            <w:tcW w:w="3861" w:type="dxa"/>
            <w:tcBorders>
              <w:top w:val="single" w:sz="4" w:space="0" w:color="8063A1"/>
            </w:tcBorders>
            <w:shd w:val="clear" w:color="auto" w:fill="E4DFEB"/>
          </w:tcPr>
          <w:p>
            <w:pPr>
              <w:pStyle w:val="TableParagraph"/>
              <w:spacing w:line="243" w:lineRule="exact"/>
              <w:ind w:left="108"/>
              <w:rPr>
                <w:sz w:val="20"/>
              </w:rPr>
            </w:pPr>
            <w:r>
              <w:rPr>
                <w:sz w:val="20"/>
              </w:rPr>
              <w:t>The topic of this leaflet is interesting to me</w:t>
            </w:r>
          </w:p>
        </w:tc>
        <w:tc>
          <w:tcPr>
            <w:tcW w:w="965" w:type="dxa"/>
            <w:tcBorders>
              <w:top w:val="single" w:sz="4" w:space="0" w:color="8063A1"/>
            </w:tcBorders>
            <w:shd w:val="clear" w:color="auto" w:fill="E4DFEB"/>
          </w:tcPr>
          <w:p>
            <w:pPr>
              <w:pStyle w:val="TableParagraph"/>
              <w:spacing w:line="243" w:lineRule="exact"/>
              <w:ind w:left="125"/>
              <w:rPr>
                <w:sz w:val="20"/>
              </w:rPr>
            </w:pPr>
            <w:r>
              <w:rPr>
                <w:sz w:val="20"/>
              </w:rPr>
              <w:t>100%</w:t>
            </w:r>
          </w:p>
        </w:tc>
        <w:tc>
          <w:tcPr>
            <w:tcW w:w="878" w:type="dxa"/>
            <w:tcBorders>
              <w:top w:val="single" w:sz="4" w:space="0" w:color="8063A1"/>
            </w:tcBorders>
            <w:shd w:val="clear" w:color="auto" w:fill="E4DFEB"/>
          </w:tcPr>
          <w:p>
            <w:pPr>
              <w:pStyle w:val="TableParagraph"/>
              <w:spacing w:line="243" w:lineRule="exact"/>
              <w:ind w:left="170"/>
              <w:rPr>
                <w:sz w:val="20"/>
              </w:rPr>
            </w:pPr>
            <w:r>
              <w:rPr>
                <w:sz w:val="20"/>
              </w:rPr>
              <w:t>0%</w:t>
            </w:r>
          </w:p>
        </w:tc>
        <w:tc>
          <w:tcPr>
            <w:tcW w:w="1167" w:type="dxa"/>
            <w:tcBorders>
              <w:top w:val="single" w:sz="4" w:space="0" w:color="8063A1"/>
            </w:tcBorders>
            <w:shd w:val="clear" w:color="auto" w:fill="E4DFEB"/>
          </w:tcPr>
          <w:p>
            <w:pPr>
              <w:pStyle w:val="TableParagraph"/>
              <w:spacing w:line="243" w:lineRule="exact"/>
              <w:ind w:left="106"/>
              <w:rPr>
                <w:sz w:val="20"/>
              </w:rPr>
            </w:pPr>
            <w:r>
              <w:rPr>
                <w:sz w:val="20"/>
              </w:rPr>
              <w:t>0%</w:t>
            </w:r>
          </w:p>
        </w:tc>
        <w:tc>
          <w:tcPr>
            <w:tcW w:w="1251" w:type="dxa"/>
            <w:tcBorders>
              <w:top w:val="single" w:sz="4" w:space="0" w:color="8063A1"/>
            </w:tcBorders>
            <w:shd w:val="clear" w:color="auto" w:fill="E4DFEB"/>
          </w:tcPr>
          <w:p>
            <w:pPr>
              <w:pStyle w:val="TableParagraph"/>
              <w:spacing w:line="243" w:lineRule="exact"/>
              <w:ind w:left="274"/>
              <w:rPr>
                <w:sz w:val="20"/>
              </w:rPr>
            </w:pPr>
            <w:r>
              <w:rPr>
                <w:sz w:val="20"/>
              </w:rPr>
              <w:t>0%</w:t>
            </w:r>
          </w:p>
        </w:tc>
        <w:tc>
          <w:tcPr>
            <w:tcW w:w="904" w:type="dxa"/>
            <w:tcBorders>
              <w:top w:val="single" w:sz="4" w:space="0" w:color="8063A1"/>
            </w:tcBorders>
            <w:shd w:val="clear" w:color="auto" w:fill="E4DFEB"/>
          </w:tcPr>
          <w:p>
            <w:pPr>
              <w:pStyle w:val="TableParagraph"/>
              <w:spacing w:line="243" w:lineRule="exact"/>
              <w:ind w:left="107"/>
              <w:rPr>
                <w:sz w:val="20"/>
              </w:rPr>
            </w:pPr>
            <w:r>
              <w:rPr>
                <w:sz w:val="20"/>
              </w:rPr>
              <w:t>0%</w:t>
            </w:r>
          </w:p>
        </w:tc>
      </w:tr>
      <w:tr>
        <w:trPr>
          <w:trHeight w:val="488" w:hRule="exact"/>
        </w:trPr>
        <w:tc>
          <w:tcPr>
            <w:tcW w:w="3861" w:type="dxa"/>
          </w:tcPr>
          <w:p>
            <w:pPr>
              <w:pStyle w:val="TableParagraph"/>
              <w:ind w:left="108" w:right="105"/>
              <w:rPr>
                <w:sz w:val="20"/>
              </w:rPr>
            </w:pPr>
            <w:r>
              <w:rPr>
                <w:sz w:val="20"/>
              </w:rPr>
              <w:t>If this leaflet was given to me at a pharmacy, I would read it</w:t>
            </w:r>
          </w:p>
        </w:tc>
        <w:tc>
          <w:tcPr>
            <w:tcW w:w="965" w:type="dxa"/>
          </w:tcPr>
          <w:p>
            <w:pPr>
              <w:pStyle w:val="TableParagraph"/>
              <w:spacing w:before="120"/>
              <w:ind w:left="125"/>
              <w:rPr>
                <w:sz w:val="20"/>
              </w:rPr>
            </w:pPr>
            <w:r>
              <w:rPr>
                <w:sz w:val="20"/>
              </w:rPr>
              <w:t>50%</w:t>
            </w:r>
          </w:p>
        </w:tc>
        <w:tc>
          <w:tcPr>
            <w:tcW w:w="878" w:type="dxa"/>
          </w:tcPr>
          <w:p>
            <w:pPr>
              <w:pStyle w:val="TableParagraph"/>
              <w:spacing w:before="120"/>
              <w:ind w:left="170"/>
              <w:rPr>
                <w:sz w:val="20"/>
              </w:rPr>
            </w:pPr>
            <w:r>
              <w:rPr>
                <w:sz w:val="20"/>
              </w:rPr>
              <w:t>16.67%</w:t>
            </w:r>
          </w:p>
        </w:tc>
        <w:tc>
          <w:tcPr>
            <w:tcW w:w="1167" w:type="dxa"/>
          </w:tcPr>
          <w:p>
            <w:pPr>
              <w:pStyle w:val="TableParagraph"/>
              <w:spacing w:before="120"/>
              <w:ind w:left="106"/>
              <w:rPr>
                <w:sz w:val="20"/>
              </w:rPr>
            </w:pPr>
            <w:r>
              <w:rPr>
                <w:sz w:val="20"/>
              </w:rPr>
              <w:t>33.33%</w:t>
            </w:r>
          </w:p>
        </w:tc>
        <w:tc>
          <w:tcPr>
            <w:tcW w:w="1251" w:type="dxa"/>
          </w:tcPr>
          <w:p>
            <w:pPr>
              <w:pStyle w:val="TableParagraph"/>
              <w:spacing w:before="120"/>
              <w:ind w:left="274"/>
              <w:rPr>
                <w:sz w:val="20"/>
              </w:rPr>
            </w:pPr>
            <w:r>
              <w:rPr>
                <w:sz w:val="20"/>
              </w:rPr>
              <w:t>0%</w:t>
            </w:r>
          </w:p>
        </w:tc>
        <w:tc>
          <w:tcPr>
            <w:tcW w:w="904" w:type="dxa"/>
          </w:tcPr>
          <w:p>
            <w:pPr>
              <w:pStyle w:val="TableParagraph"/>
              <w:spacing w:before="120"/>
              <w:ind w:left="107"/>
              <w:rPr>
                <w:sz w:val="20"/>
              </w:rPr>
            </w:pPr>
            <w:r>
              <w:rPr>
                <w:sz w:val="20"/>
              </w:rPr>
              <w:t>0%</w:t>
            </w:r>
          </w:p>
        </w:tc>
      </w:tr>
      <w:tr>
        <w:trPr>
          <w:trHeight w:val="487" w:hRule="exact"/>
        </w:trPr>
        <w:tc>
          <w:tcPr>
            <w:tcW w:w="3861" w:type="dxa"/>
            <w:shd w:val="clear" w:color="auto" w:fill="E4DFEB"/>
          </w:tcPr>
          <w:p>
            <w:pPr>
              <w:pStyle w:val="TableParagraph"/>
              <w:ind w:left="108" w:right="624"/>
              <w:rPr>
                <w:sz w:val="20"/>
              </w:rPr>
            </w:pPr>
            <w:r>
              <w:rPr>
                <w:sz w:val="20"/>
              </w:rPr>
              <w:t>It is easy to understand the words and information in this leaflet</w:t>
            </w:r>
          </w:p>
        </w:tc>
        <w:tc>
          <w:tcPr>
            <w:tcW w:w="965" w:type="dxa"/>
            <w:shd w:val="clear" w:color="auto" w:fill="E4DFEB"/>
          </w:tcPr>
          <w:p>
            <w:pPr>
              <w:pStyle w:val="TableParagraph"/>
              <w:spacing w:before="120"/>
              <w:ind w:left="125"/>
              <w:rPr>
                <w:sz w:val="20"/>
              </w:rPr>
            </w:pPr>
            <w:r>
              <w:rPr>
                <w:sz w:val="20"/>
              </w:rPr>
              <w:t>100%</w:t>
            </w:r>
          </w:p>
        </w:tc>
        <w:tc>
          <w:tcPr>
            <w:tcW w:w="878" w:type="dxa"/>
            <w:shd w:val="clear" w:color="auto" w:fill="E4DFEB"/>
          </w:tcPr>
          <w:p>
            <w:pPr>
              <w:pStyle w:val="TableParagraph"/>
              <w:spacing w:before="120"/>
              <w:ind w:left="170"/>
              <w:rPr>
                <w:sz w:val="20"/>
              </w:rPr>
            </w:pPr>
            <w:r>
              <w:rPr>
                <w:sz w:val="20"/>
              </w:rPr>
              <w:t>0%</w:t>
            </w:r>
          </w:p>
        </w:tc>
        <w:tc>
          <w:tcPr>
            <w:tcW w:w="1167" w:type="dxa"/>
            <w:shd w:val="clear" w:color="auto" w:fill="E4DFEB"/>
          </w:tcPr>
          <w:p>
            <w:pPr>
              <w:pStyle w:val="TableParagraph"/>
              <w:spacing w:before="120"/>
              <w:ind w:left="106"/>
              <w:rPr>
                <w:sz w:val="20"/>
              </w:rPr>
            </w:pPr>
            <w:r>
              <w:rPr>
                <w:sz w:val="20"/>
              </w:rPr>
              <w:t>0%</w:t>
            </w:r>
          </w:p>
        </w:tc>
        <w:tc>
          <w:tcPr>
            <w:tcW w:w="1251" w:type="dxa"/>
            <w:shd w:val="clear" w:color="auto" w:fill="E4DFEB"/>
          </w:tcPr>
          <w:p>
            <w:pPr>
              <w:pStyle w:val="TableParagraph"/>
              <w:spacing w:before="120"/>
              <w:ind w:left="274"/>
              <w:rPr>
                <w:sz w:val="20"/>
              </w:rPr>
            </w:pPr>
            <w:r>
              <w:rPr>
                <w:sz w:val="20"/>
              </w:rPr>
              <w:t>0%</w:t>
            </w:r>
          </w:p>
        </w:tc>
        <w:tc>
          <w:tcPr>
            <w:tcW w:w="904" w:type="dxa"/>
            <w:shd w:val="clear" w:color="auto" w:fill="E4DFEB"/>
          </w:tcPr>
          <w:p>
            <w:pPr>
              <w:pStyle w:val="TableParagraph"/>
              <w:spacing w:before="120"/>
              <w:ind w:left="107"/>
              <w:rPr>
                <w:sz w:val="20"/>
              </w:rPr>
            </w:pPr>
            <w:r>
              <w:rPr>
                <w:sz w:val="20"/>
              </w:rPr>
              <w:t>0%</w:t>
            </w:r>
          </w:p>
        </w:tc>
      </w:tr>
      <w:tr>
        <w:trPr>
          <w:trHeight w:val="245" w:hRule="exact"/>
        </w:trPr>
        <w:tc>
          <w:tcPr>
            <w:tcW w:w="3861" w:type="dxa"/>
          </w:tcPr>
          <w:p>
            <w:pPr>
              <w:pStyle w:val="TableParagraph"/>
              <w:spacing w:line="243" w:lineRule="exact"/>
              <w:ind w:left="108"/>
              <w:rPr>
                <w:sz w:val="20"/>
              </w:rPr>
            </w:pPr>
            <w:r>
              <w:rPr>
                <w:sz w:val="20"/>
              </w:rPr>
              <w:t>I like the design of this leaflet</w:t>
            </w:r>
          </w:p>
        </w:tc>
        <w:tc>
          <w:tcPr>
            <w:tcW w:w="965" w:type="dxa"/>
          </w:tcPr>
          <w:p>
            <w:pPr>
              <w:pStyle w:val="TableParagraph"/>
              <w:spacing w:line="243" w:lineRule="exact"/>
              <w:ind w:left="125"/>
              <w:rPr>
                <w:sz w:val="20"/>
              </w:rPr>
            </w:pPr>
            <w:r>
              <w:rPr>
                <w:sz w:val="20"/>
              </w:rPr>
              <w:t>100%</w:t>
            </w:r>
          </w:p>
        </w:tc>
        <w:tc>
          <w:tcPr>
            <w:tcW w:w="878" w:type="dxa"/>
          </w:tcPr>
          <w:p>
            <w:pPr>
              <w:pStyle w:val="TableParagraph"/>
              <w:spacing w:line="243" w:lineRule="exact"/>
              <w:ind w:left="170"/>
              <w:rPr>
                <w:sz w:val="20"/>
              </w:rPr>
            </w:pPr>
            <w:r>
              <w:rPr>
                <w:sz w:val="20"/>
              </w:rPr>
              <w:t>0%</w:t>
            </w:r>
          </w:p>
        </w:tc>
        <w:tc>
          <w:tcPr>
            <w:tcW w:w="1167" w:type="dxa"/>
          </w:tcPr>
          <w:p>
            <w:pPr>
              <w:pStyle w:val="TableParagraph"/>
              <w:spacing w:line="243" w:lineRule="exact"/>
              <w:ind w:left="106"/>
              <w:rPr>
                <w:sz w:val="20"/>
              </w:rPr>
            </w:pPr>
            <w:r>
              <w:rPr>
                <w:sz w:val="20"/>
              </w:rPr>
              <w:t>0%</w:t>
            </w:r>
          </w:p>
        </w:tc>
        <w:tc>
          <w:tcPr>
            <w:tcW w:w="1251" w:type="dxa"/>
          </w:tcPr>
          <w:p>
            <w:pPr>
              <w:pStyle w:val="TableParagraph"/>
              <w:spacing w:line="243" w:lineRule="exact"/>
              <w:ind w:left="274"/>
              <w:rPr>
                <w:sz w:val="20"/>
              </w:rPr>
            </w:pPr>
            <w:r>
              <w:rPr>
                <w:sz w:val="20"/>
              </w:rPr>
              <w:t>0%</w:t>
            </w:r>
          </w:p>
        </w:tc>
        <w:tc>
          <w:tcPr>
            <w:tcW w:w="904" w:type="dxa"/>
          </w:tcPr>
          <w:p>
            <w:pPr>
              <w:pStyle w:val="TableParagraph"/>
              <w:spacing w:line="243" w:lineRule="exact"/>
              <w:ind w:left="107"/>
              <w:rPr>
                <w:sz w:val="20"/>
              </w:rPr>
            </w:pPr>
            <w:r>
              <w:rPr>
                <w:sz w:val="20"/>
              </w:rPr>
              <w:t>0%</w:t>
            </w:r>
          </w:p>
        </w:tc>
      </w:tr>
      <w:tr>
        <w:trPr>
          <w:trHeight w:val="493" w:hRule="exact"/>
        </w:trPr>
        <w:tc>
          <w:tcPr>
            <w:tcW w:w="3861" w:type="dxa"/>
            <w:tcBorders>
              <w:bottom w:val="single" w:sz="4" w:space="0" w:color="8063A1"/>
            </w:tcBorders>
            <w:shd w:val="clear" w:color="auto" w:fill="E4DFEB"/>
          </w:tcPr>
          <w:p>
            <w:pPr>
              <w:pStyle w:val="TableParagraph"/>
              <w:ind w:left="108" w:right="261"/>
              <w:rPr>
                <w:sz w:val="20"/>
              </w:rPr>
            </w:pPr>
            <w:r>
              <w:rPr>
                <w:sz w:val="20"/>
              </w:rPr>
              <w:t>The information in this leaflet is useful and relevant to me</w:t>
            </w:r>
          </w:p>
        </w:tc>
        <w:tc>
          <w:tcPr>
            <w:tcW w:w="965" w:type="dxa"/>
            <w:tcBorders>
              <w:bottom w:val="single" w:sz="4" w:space="0" w:color="8063A1"/>
            </w:tcBorders>
            <w:shd w:val="clear" w:color="auto" w:fill="E4DFEB"/>
          </w:tcPr>
          <w:p>
            <w:pPr>
              <w:pStyle w:val="TableParagraph"/>
              <w:spacing w:before="121"/>
              <w:ind w:left="125"/>
              <w:rPr>
                <w:sz w:val="20"/>
              </w:rPr>
            </w:pPr>
            <w:r>
              <w:rPr>
                <w:sz w:val="20"/>
              </w:rPr>
              <w:t>100%</w:t>
            </w:r>
          </w:p>
        </w:tc>
        <w:tc>
          <w:tcPr>
            <w:tcW w:w="878" w:type="dxa"/>
            <w:tcBorders>
              <w:bottom w:val="single" w:sz="4" w:space="0" w:color="8063A1"/>
            </w:tcBorders>
            <w:shd w:val="clear" w:color="auto" w:fill="E4DFEB"/>
          </w:tcPr>
          <w:p>
            <w:pPr>
              <w:pStyle w:val="TableParagraph"/>
              <w:spacing w:before="121"/>
              <w:ind w:left="170"/>
              <w:rPr>
                <w:sz w:val="20"/>
              </w:rPr>
            </w:pPr>
            <w:r>
              <w:rPr>
                <w:sz w:val="20"/>
              </w:rPr>
              <w:t>0%</w:t>
            </w:r>
          </w:p>
        </w:tc>
        <w:tc>
          <w:tcPr>
            <w:tcW w:w="1167" w:type="dxa"/>
            <w:tcBorders>
              <w:bottom w:val="single" w:sz="4" w:space="0" w:color="8063A1"/>
            </w:tcBorders>
            <w:shd w:val="clear" w:color="auto" w:fill="E4DFEB"/>
          </w:tcPr>
          <w:p>
            <w:pPr>
              <w:pStyle w:val="TableParagraph"/>
              <w:spacing w:before="121"/>
              <w:ind w:left="106"/>
              <w:rPr>
                <w:sz w:val="20"/>
              </w:rPr>
            </w:pPr>
            <w:r>
              <w:rPr>
                <w:sz w:val="20"/>
              </w:rPr>
              <w:t>0%</w:t>
            </w:r>
          </w:p>
        </w:tc>
        <w:tc>
          <w:tcPr>
            <w:tcW w:w="1251" w:type="dxa"/>
            <w:tcBorders>
              <w:bottom w:val="single" w:sz="4" w:space="0" w:color="8063A1"/>
            </w:tcBorders>
            <w:shd w:val="clear" w:color="auto" w:fill="E4DFEB"/>
          </w:tcPr>
          <w:p>
            <w:pPr>
              <w:pStyle w:val="TableParagraph"/>
              <w:spacing w:before="121"/>
              <w:ind w:left="274"/>
              <w:rPr>
                <w:sz w:val="20"/>
              </w:rPr>
            </w:pPr>
            <w:r>
              <w:rPr>
                <w:sz w:val="20"/>
              </w:rPr>
              <w:t>0%</w:t>
            </w:r>
          </w:p>
        </w:tc>
        <w:tc>
          <w:tcPr>
            <w:tcW w:w="904" w:type="dxa"/>
            <w:tcBorders>
              <w:bottom w:val="single" w:sz="4" w:space="0" w:color="8063A1"/>
            </w:tcBorders>
            <w:shd w:val="clear" w:color="auto" w:fill="E4DFEB"/>
          </w:tcPr>
          <w:p>
            <w:pPr>
              <w:pStyle w:val="TableParagraph"/>
              <w:spacing w:before="121"/>
              <w:ind w:left="107"/>
              <w:rPr>
                <w:sz w:val="20"/>
              </w:rPr>
            </w:pPr>
            <w:r>
              <w:rPr>
                <w:sz w:val="20"/>
              </w:rPr>
              <w:t>0%</w:t>
            </w:r>
          </w:p>
        </w:tc>
      </w:tr>
    </w:tbl>
    <w:p>
      <w:pPr>
        <w:pStyle w:val="BodyText"/>
        <w:rPr>
          <w:i/>
          <w:sz w:val="22"/>
        </w:rPr>
      </w:pPr>
    </w:p>
    <w:p>
      <w:pPr>
        <w:pStyle w:val="BodyText"/>
        <w:spacing w:before="12"/>
        <w:rPr>
          <w:i/>
          <w:sz w:val="21"/>
        </w:rPr>
      </w:pPr>
    </w:p>
    <w:p>
      <w:pPr>
        <w:pStyle w:val="BodyText"/>
        <w:ind w:left="119" w:right="117"/>
        <w:jc w:val="both"/>
      </w:pPr>
      <w:r>
        <w:rPr/>
        <w:t>Feedback included that the design and eye-catching colours of the leaflet was a major strength. Having a well-designed engaging, informative yet succinct leaflet was described as being crucial for catching the attention of people who experience ‘information fatigue’. One participant noted that for patients who do not live with family, it would be useful to discuss how</w:t>
      </w:r>
      <w:r>
        <w:rPr>
          <w:spacing w:val="-9"/>
        </w:rPr>
        <w:t> </w:t>
      </w:r>
      <w:r>
        <w:rPr/>
        <w:t>they</w:t>
      </w:r>
      <w:r>
        <w:rPr>
          <w:spacing w:val="-8"/>
        </w:rPr>
        <w:t> </w:t>
      </w:r>
      <w:r>
        <w:rPr/>
        <w:t>can</w:t>
      </w:r>
      <w:r>
        <w:rPr>
          <w:spacing w:val="-9"/>
        </w:rPr>
        <w:t> </w:t>
      </w:r>
      <w:r>
        <w:rPr/>
        <w:t>set</w:t>
      </w:r>
      <w:r>
        <w:rPr>
          <w:spacing w:val="-9"/>
        </w:rPr>
        <w:t> </w:t>
      </w:r>
      <w:r>
        <w:rPr/>
        <w:t>up</w:t>
      </w:r>
      <w:r>
        <w:rPr>
          <w:spacing w:val="-9"/>
        </w:rPr>
        <w:t> </w:t>
      </w:r>
      <w:r>
        <w:rPr/>
        <w:t>a</w:t>
      </w:r>
      <w:r>
        <w:rPr>
          <w:spacing w:val="-8"/>
        </w:rPr>
        <w:t> </w:t>
      </w:r>
      <w:r>
        <w:rPr/>
        <w:t>safety</w:t>
      </w:r>
      <w:r>
        <w:rPr>
          <w:spacing w:val="-8"/>
        </w:rPr>
        <w:t> </w:t>
      </w:r>
      <w:r>
        <w:rPr/>
        <w:t>plan.</w:t>
      </w:r>
      <w:r>
        <w:rPr>
          <w:spacing w:val="-9"/>
        </w:rPr>
        <w:t> </w:t>
      </w:r>
      <w:r>
        <w:rPr/>
        <w:t>We</w:t>
      </w:r>
      <w:r>
        <w:rPr>
          <w:spacing w:val="-8"/>
        </w:rPr>
        <w:t> </w:t>
      </w:r>
      <w:r>
        <w:rPr/>
        <w:t>incorporated</w:t>
      </w:r>
      <w:r>
        <w:rPr>
          <w:spacing w:val="-9"/>
        </w:rPr>
        <w:t> </w:t>
      </w:r>
      <w:r>
        <w:rPr/>
        <w:t>this</w:t>
      </w:r>
      <w:r>
        <w:rPr>
          <w:spacing w:val="-9"/>
        </w:rPr>
        <w:t> </w:t>
      </w:r>
      <w:r>
        <w:rPr/>
        <w:t>into</w:t>
      </w:r>
      <w:r>
        <w:rPr>
          <w:spacing w:val="-9"/>
        </w:rPr>
        <w:t> </w:t>
      </w:r>
      <w:r>
        <w:rPr/>
        <w:t>the</w:t>
      </w:r>
      <w:r>
        <w:rPr>
          <w:spacing w:val="-8"/>
        </w:rPr>
        <w:t> </w:t>
      </w:r>
      <w:r>
        <w:rPr/>
        <w:t>final</w:t>
      </w:r>
      <w:r>
        <w:rPr>
          <w:spacing w:val="-9"/>
        </w:rPr>
        <w:t> </w:t>
      </w:r>
      <w:r>
        <w:rPr/>
        <w:t>leaflet,</w:t>
      </w:r>
      <w:r>
        <w:rPr>
          <w:spacing w:val="-9"/>
        </w:rPr>
        <w:t> </w:t>
      </w:r>
      <w:r>
        <w:rPr/>
        <w:t>by</w:t>
      </w:r>
      <w:r>
        <w:rPr>
          <w:spacing w:val="-8"/>
        </w:rPr>
        <w:t> </w:t>
      </w:r>
      <w:r>
        <w:rPr/>
        <w:t>expanding</w:t>
      </w:r>
      <w:r>
        <w:rPr>
          <w:spacing w:val="-9"/>
        </w:rPr>
        <w:t> </w:t>
      </w:r>
      <w:r>
        <w:rPr/>
        <w:t>on potential supports and using more inclusive</w:t>
      </w:r>
      <w:r>
        <w:rPr>
          <w:spacing w:val="-24"/>
        </w:rPr>
        <w:t> </w:t>
      </w:r>
      <w:r>
        <w:rPr/>
        <w:t>language.</w:t>
      </w:r>
    </w:p>
    <w:p>
      <w:pPr>
        <w:pStyle w:val="BodyText"/>
      </w:pPr>
    </w:p>
    <w:p>
      <w:pPr>
        <w:pStyle w:val="BodyText"/>
        <w:ind w:left="119" w:right="117"/>
        <w:jc w:val="both"/>
      </w:pPr>
      <w:r>
        <w:rPr/>
        <w:t>One participant treated the leaflet with some scepticism, although they considered it to be ‘well-balanced’</w:t>
      </w:r>
      <w:r>
        <w:rPr>
          <w:spacing w:val="-6"/>
        </w:rPr>
        <w:t> </w:t>
      </w:r>
      <w:r>
        <w:rPr/>
        <w:t>overall.</w:t>
      </w:r>
      <w:r>
        <w:rPr>
          <w:spacing w:val="-7"/>
        </w:rPr>
        <w:t> </w:t>
      </w:r>
      <w:r>
        <w:rPr/>
        <w:t>This</w:t>
      </w:r>
      <w:r>
        <w:rPr>
          <w:spacing w:val="-7"/>
        </w:rPr>
        <w:t> </w:t>
      </w:r>
      <w:r>
        <w:rPr/>
        <w:t>scepticism</w:t>
      </w:r>
      <w:r>
        <w:rPr>
          <w:spacing w:val="-6"/>
        </w:rPr>
        <w:t> </w:t>
      </w:r>
      <w:r>
        <w:rPr/>
        <w:t>was</w:t>
      </w:r>
      <w:r>
        <w:rPr>
          <w:spacing w:val="-7"/>
        </w:rPr>
        <w:t> </w:t>
      </w:r>
      <w:r>
        <w:rPr/>
        <w:t>expressed</w:t>
      </w:r>
      <w:r>
        <w:rPr>
          <w:spacing w:val="-6"/>
        </w:rPr>
        <w:t> </w:t>
      </w:r>
      <w:r>
        <w:rPr/>
        <w:t>as</w:t>
      </w:r>
      <w:r>
        <w:rPr>
          <w:spacing w:val="-7"/>
        </w:rPr>
        <w:t> </w:t>
      </w:r>
      <w:r>
        <w:rPr/>
        <w:t>a</w:t>
      </w:r>
      <w:r>
        <w:rPr>
          <w:spacing w:val="-6"/>
        </w:rPr>
        <w:t> </w:t>
      </w:r>
      <w:r>
        <w:rPr/>
        <w:t>comment</w:t>
      </w:r>
      <w:r>
        <w:rPr>
          <w:spacing w:val="-6"/>
        </w:rPr>
        <w:t> </w:t>
      </w:r>
      <w:r>
        <w:rPr/>
        <w:t>that</w:t>
      </w:r>
      <w:r>
        <w:rPr>
          <w:spacing w:val="-6"/>
        </w:rPr>
        <w:t> </w:t>
      </w:r>
      <w:r>
        <w:rPr/>
        <w:t>the</w:t>
      </w:r>
      <w:r>
        <w:rPr>
          <w:spacing w:val="-6"/>
        </w:rPr>
        <w:t> </w:t>
      </w:r>
      <w:r>
        <w:rPr/>
        <w:t>leaflet</w:t>
      </w:r>
      <w:r>
        <w:rPr>
          <w:spacing w:val="-8"/>
        </w:rPr>
        <w:t> </w:t>
      </w:r>
      <w:r>
        <w:rPr/>
        <w:t>could</w:t>
      </w:r>
      <w:r>
        <w:rPr>
          <w:spacing w:val="-6"/>
        </w:rPr>
        <w:t> </w:t>
      </w:r>
      <w:r>
        <w:rPr/>
        <w:t>be a ‘good marketing ploy for naloxone’. This reflected some experiences we had during the recruitment phase, in which people responded to our study advertisements with cynicism about the purpose of the study, specifically expressing concern about government initiatives to</w:t>
      </w:r>
      <w:r>
        <w:rPr>
          <w:spacing w:val="-8"/>
        </w:rPr>
        <w:t> </w:t>
      </w:r>
      <w:r>
        <w:rPr/>
        <w:t>reduce</w:t>
      </w:r>
      <w:r>
        <w:rPr>
          <w:spacing w:val="-7"/>
        </w:rPr>
        <w:t> </w:t>
      </w:r>
      <w:r>
        <w:rPr/>
        <w:t>prescription</w:t>
      </w:r>
      <w:r>
        <w:rPr>
          <w:spacing w:val="-7"/>
        </w:rPr>
        <w:t> </w:t>
      </w:r>
      <w:r>
        <w:rPr/>
        <w:t>opioid</w:t>
      </w:r>
      <w:r>
        <w:rPr>
          <w:spacing w:val="-7"/>
        </w:rPr>
        <w:t> </w:t>
      </w:r>
      <w:r>
        <w:rPr/>
        <w:t>supply.</w:t>
      </w:r>
      <w:r>
        <w:rPr>
          <w:spacing w:val="-8"/>
        </w:rPr>
        <w:t> </w:t>
      </w:r>
      <w:r>
        <w:rPr/>
        <w:t>We</w:t>
      </w:r>
      <w:r>
        <w:rPr>
          <w:spacing w:val="-7"/>
        </w:rPr>
        <w:t> </w:t>
      </w:r>
      <w:r>
        <w:rPr/>
        <w:t>were</w:t>
      </w:r>
      <w:r>
        <w:rPr>
          <w:spacing w:val="-8"/>
        </w:rPr>
        <w:t> </w:t>
      </w:r>
      <w:r>
        <w:rPr/>
        <w:t>mindful</w:t>
      </w:r>
      <w:r>
        <w:rPr>
          <w:spacing w:val="-7"/>
        </w:rPr>
        <w:t> </w:t>
      </w:r>
      <w:r>
        <w:rPr/>
        <w:t>of</w:t>
      </w:r>
      <w:r>
        <w:rPr>
          <w:spacing w:val="-7"/>
        </w:rPr>
        <w:t> </w:t>
      </w:r>
      <w:r>
        <w:rPr/>
        <w:t>these</w:t>
      </w:r>
      <w:r>
        <w:rPr>
          <w:spacing w:val="-7"/>
        </w:rPr>
        <w:t> </w:t>
      </w:r>
      <w:r>
        <w:rPr/>
        <w:t>concerns</w:t>
      </w:r>
      <w:r>
        <w:rPr>
          <w:spacing w:val="-8"/>
        </w:rPr>
        <w:t> </w:t>
      </w:r>
      <w:r>
        <w:rPr/>
        <w:t>when</w:t>
      </w:r>
      <w:r>
        <w:rPr>
          <w:spacing w:val="-7"/>
        </w:rPr>
        <w:t> </w:t>
      </w:r>
      <w:r>
        <w:rPr/>
        <w:t>designing</w:t>
      </w:r>
      <w:r>
        <w:rPr>
          <w:spacing w:val="-8"/>
        </w:rPr>
        <w:t> </w:t>
      </w:r>
      <w:r>
        <w:rPr/>
        <w:t>the leaflets, and included statements which affirmed the value of opioids in pain management. To</w:t>
      </w:r>
      <w:r>
        <w:rPr>
          <w:spacing w:val="-6"/>
        </w:rPr>
        <w:t> </w:t>
      </w:r>
      <w:r>
        <w:rPr/>
        <w:t>reinforce</w:t>
      </w:r>
      <w:r>
        <w:rPr>
          <w:spacing w:val="-7"/>
        </w:rPr>
        <w:t> </w:t>
      </w:r>
      <w:r>
        <w:rPr/>
        <w:t>that</w:t>
      </w:r>
      <w:r>
        <w:rPr>
          <w:spacing w:val="-6"/>
        </w:rPr>
        <w:t> </w:t>
      </w:r>
      <w:r>
        <w:rPr/>
        <w:t>the</w:t>
      </w:r>
      <w:r>
        <w:rPr>
          <w:spacing w:val="-6"/>
        </w:rPr>
        <w:t> </w:t>
      </w:r>
      <w:r>
        <w:rPr/>
        <w:t>leaflets</w:t>
      </w:r>
      <w:r>
        <w:rPr>
          <w:spacing w:val="-7"/>
        </w:rPr>
        <w:t> </w:t>
      </w:r>
      <w:r>
        <w:rPr/>
        <w:t>were</w:t>
      </w:r>
      <w:r>
        <w:rPr>
          <w:spacing w:val="-6"/>
        </w:rPr>
        <w:t> </w:t>
      </w:r>
      <w:r>
        <w:rPr/>
        <w:t>not</w:t>
      </w:r>
      <w:r>
        <w:rPr>
          <w:spacing w:val="-6"/>
        </w:rPr>
        <w:t> </w:t>
      </w:r>
      <w:r>
        <w:rPr/>
        <w:t>promoting</w:t>
      </w:r>
      <w:r>
        <w:rPr>
          <w:spacing w:val="-6"/>
        </w:rPr>
        <w:t> </w:t>
      </w:r>
      <w:r>
        <w:rPr/>
        <w:t>one</w:t>
      </w:r>
      <w:r>
        <w:rPr>
          <w:spacing w:val="-6"/>
        </w:rPr>
        <w:t> </w:t>
      </w:r>
      <w:r>
        <w:rPr/>
        <w:t>particular</w:t>
      </w:r>
      <w:r>
        <w:rPr>
          <w:spacing w:val="-6"/>
        </w:rPr>
        <w:t> </w:t>
      </w:r>
      <w:r>
        <w:rPr/>
        <w:t>product,</w:t>
      </w:r>
      <w:r>
        <w:rPr>
          <w:spacing w:val="-6"/>
        </w:rPr>
        <w:t> </w:t>
      </w:r>
      <w:r>
        <w:rPr/>
        <w:t>we</w:t>
      </w:r>
      <w:r>
        <w:rPr>
          <w:spacing w:val="-6"/>
        </w:rPr>
        <w:t> </w:t>
      </w:r>
      <w:r>
        <w:rPr/>
        <w:t>added</w:t>
      </w:r>
      <w:r>
        <w:rPr>
          <w:spacing w:val="-5"/>
        </w:rPr>
        <w:t> </w:t>
      </w:r>
      <w:r>
        <w:rPr/>
        <w:t>an</w:t>
      </w:r>
      <w:r>
        <w:rPr>
          <w:spacing w:val="-6"/>
        </w:rPr>
        <w:t> </w:t>
      </w:r>
      <w:r>
        <w:rPr/>
        <w:t>image of a naloxone injection kit (as well as the nasal</w:t>
      </w:r>
      <w:r>
        <w:rPr>
          <w:spacing w:val="-19"/>
        </w:rPr>
        <w:t> </w:t>
      </w:r>
      <w:r>
        <w:rPr/>
        <w:t>spray).</w:t>
      </w:r>
    </w:p>
    <w:p>
      <w:pPr>
        <w:spacing w:after="0"/>
        <w:jc w:val="both"/>
        <w:sectPr>
          <w:footerReference w:type="default" r:id="rId17"/>
          <w:pgSz w:w="11910" w:h="16840"/>
          <w:pgMar w:footer="1328" w:header="0" w:top="1480" w:bottom="1520" w:left="1320" w:right="1320"/>
          <w:pgNumType w:start="22"/>
        </w:sectPr>
      </w:pPr>
    </w:p>
    <w:p>
      <w:pPr>
        <w:pStyle w:val="BodyText"/>
        <w:rPr>
          <w:sz w:val="20"/>
        </w:rPr>
      </w:pPr>
    </w:p>
    <w:p>
      <w:pPr>
        <w:pStyle w:val="BodyText"/>
        <w:spacing w:before="7"/>
        <w:rPr>
          <w:sz w:val="18"/>
        </w:rPr>
      </w:pPr>
    </w:p>
    <w:p>
      <w:pPr>
        <w:spacing w:before="52"/>
        <w:ind w:left="119" w:right="0" w:firstLine="0"/>
        <w:jc w:val="both"/>
        <w:rPr>
          <w:i/>
          <w:sz w:val="24"/>
        </w:rPr>
      </w:pPr>
      <w:r>
        <w:rPr>
          <w:i/>
          <w:sz w:val="24"/>
        </w:rPr>
        <w:t>Pharmacist feedback</w:t>
      </w:r>
    </w:p>
    <w:p>
      <w:pPr>
        <w:pStyle w:val="BodyText"/>
        <w:spacing w:before="1"/>
        <w:rPr>
          <w:i/>
        </w:rPr>
      </w:pPr>
    </w:p>
    <w:p>
      <w:pPr>
        <w:pStyle w:val="BodyText"/>
        <w:ind w:left="119" w:right="116"/>
        <w:jc w:val="both"/>
      </w:pPr>
      <w:r>
        <w:rPr/>
        <w:t>Pharmacist feedback received was positive (see Figure 5) and reiterated that the poster was useful,</w:t>
      </w:r>
      <w:r>
        <w:rPr>
          <w:spacing w:val="-9"/>
        </w:rPr>
        <w:t> </w:t>
      </w:r>
      <w:r>
        <w:rPr/>
        <w:t>easy</w:t>
      </w:r>
      <w:r>
        <w:rPr>
          <w:spacing w:val="-9"/>
        </w:rPr>
        <w:t> </w:t>
      </w:r>
      <w:r>
        <w:rPr/>
        <w:t>to</w:t>
      </w:r>
      <w:r>
        <w:rPr>
          <w:spacing w:val="-9"/>
        </w:rPr>
        <w:t> </w:t>
      </w:r>
      <w:r>
        <w:rPr/>
        <w:t>understand,</w:t>
      </w:r>
      <w:r>
        <w:rPr>
          <w:spacing w:val="-9"/>
        </w:rPr>
        <w:t> </w:t>
      </w:r>
      <w:r>
        <w:rPr/>
        <w:t>and</w:t>
      </w:r>
      <w:r>
        <w:rPr>
          <w:spacing w:val="-9"/>
        </w:rPr>
        <w:t> </w:t>
      </w:r>
      <w:r>
        <w:rPr/>
        <w:t>designed</w:t>
      </w:r>
      <w:r>
        <w:rPr>
          <w:spacing w:val="-9"/>
        </w:rPr>
        <w:t> </w:t>
      </w:r>
      <w:r>
        <w:rPr/>
        <w:t>in</w:t>
      </w:r>
      <w:r>
        <w:rPr>
          <w:spacing w:val="-9"/>
        </w:rPr>
        <w:t> </w:t>
      </w:r>
      <w:r>
        <w:rPr/>
        <w:t>a</w:t>
      </w:r>
      <w:r>
        <w:rPr>
          <w:spacing w:val="-8"/>
        </w:rPr>
        <w:t> </w:t>
      </w:r>
      <w:r>
        <w:rPr/>
        <w:t>way</w:t>
      </w:r>
      <w:r>
        <w:rPr>
          <w:spacing w:val="-8"/>
        </w:rPr>
        <w:t> </w:t>
      </w:r>
      <w:r>
        <w:rPr/>
        <w:t>that</w:t>
      </w:r>
      <w:r>
        <w:rPr>
          <w:spacing w:val="-9"/>
        </w:rPr>
        <w:t> </w:t>
      </w:r>
      <w:r>
        <w:rPr/>
        <w:t>appealed</w:t>
      </w:r>
      <w:r>
        <w:rPr>
          <w:spacing w:val="-9"/>
        </w:rPr>
        <w:t> </w:t>
      </w:r>
      <w:r>
        <w:rPr/>
        <w:t>to</w:t>
      </w:r>
      <w:r>
        <w:rPr>
          <w:spacing w:val="-9"/>
        </w:rPr>
        <w:t> </w:t>
      </w:r>
      <w:r>
        <w:rPr/>
        <w:t>pharmacists</w:t>
      </w:r>
      <w:r>
        <w:rPr>
          <w:spacing w:val="-9"/>
        </w:rPr>
        <w:t> </w:t>
      </w:r>
      <w:r>
        <w:rPr/>
        <w:t>(see</w:t>
      </w:r>
      <w:r>
        <w:rPr>
          <w:spacing w:val="-9"/>
        </w:rPr>
        <w:t> </w:t>
      </w:r>
      <w:r>
        <w:rPr/>
        <w:t>Table</w:t>
      </w:r>
      <w:r>
        <w:rPr>
          <w:spacing w:val="-8"/>
        </w:rPr>
        <w:t> </w:t>
      </w:r>
      <w:r>
        <w:rPr/>
        <w:t>8). Most importantly, all pharmacists ‘strongly agreed’ that they would be more likely to discuss naloxone</w:t>
      </w:r>
      <w:r>
        <w:rPr>
          <w:spacing w:val="-12"/>
        </w:rPr>
        <w:t> </w:t>
      </w:r>
      <w:r>
        <w:rPr/>
        <w:t>with</w:t>
      </w:r>
      <w:r>
        <w:rPr>
          <w:spacing w:val="-12"/>
        </w:rPr>
        <w:t> </w:t>
      </w:r>
      <w:r>
        <w:rPr/>
        <w:t>a</w:t>
      </w:r>
      <w:r>
        <w:rPr>
          <w:spacing w:val="-12"/>
        </w:rPr>
        <w:t> </w:t>
      </w:r>
      <w:r>
        <w:rPr/>
        <w:t>patient</w:t>
      </w:r>
      <w:r>
        <w:rPr>
          <w:spacing w:val="-11"/>
        </w:rPr>
        <w:t> </w:t>
      </w:r>
      <w:r>
        <w:rPr/>
        <w:t>after</w:t>
      </w:r>
      <w:r>
        <w:rPr>
          <w:spacing w:val="-12"/>
        </w:rPr>
        <w:t> </w:t>
      </w:r>
      <w:r>
        <w:rPr/>
        <w:t>reading</w:t>
      </w:r>
      <w:r>
        <w:rPr>
          <w:spacing w:val="-12"/>
        </w:rPr>
        <w:t> </w:t>
      </w:r>
      <w:r>
        <w:rPr/>
        <w:t>the</w:t>
      </w:r>
      <w:r>
        <w:rPr>
          <w:spacing w:val="-12"/>
        </w:rPr>
        <w:t> </w:t>
      </w:r>
      <w:r>
        <w:rPr/>
        <w:t>poster.</w:t>
      </w:r>
      <w:r>
        <w:rPr>
          <w:spacing w:val="-12"/>
        </w:rPr>
        <w:t> </w:t>
      </w:r>
      <w:r>
        <w:rPr/>
        <w:t>Pharmacists</w:t>
      </w:r>
      <w:r>
        <w:rPr>
          <w:spacing w:val="-12"/>
        </w:rPr>
        <w:t> </w:t>
      </w:r>
      <w:r>
        <w:rPr/>
        <w:t>also</w:t>
      </w:r>
      <w:r>
        <w:rPr>
          <w:spacing w:val="-12"/>
        </w:rPr>
        <w:t> </w:t>
      </w:r>
      <w:r>
        <w:rPr/>
        <w:t>provided</w:t>
      </w:r>
      <w:r>
        <w:rPr>
          <w:spacing w:val="-12"/>
        </w:rPr>
        <w:t> </w:t>
      </w:r>
      <w:r>
        <w:rPr/>
        <w:t>positive</w:t>
      </w:r>
      <w:r>
        <w:rPr>
          <w:spacing w:val="-12"/>
        </w:rPr>
        <w:t> </w:t>
      </w:r>
      <w:r>
        <w:rPr/>
        <w:t>feedback on the patient</w:t>
      </w:r>
      <w:r>
        <w:rPr>
          <w:spacing w:val="-7"/>
        </w:rPr>
        <w:t> </w:t>
      </w:r>
      <w:r>
        <w:rPr/>
        <w:t>leaflets.</w:t>
      </w:r>
    </w:p>
    <w:p>
      <w:pPr>
        <w:pStyle w:val="BodyText"/>
        <w:spacing w:before="11"/>
        <w:rPr>
          <w:sz w:val="23"/>
        </w:rPr>
      </w:pPr>
    </w:p>
    <w:p>
      <w:pPr>
        <w:pStyle w:val="BodyText"/>
        <w:spacing w:before="1"/>
        <w:ind w:left="119" w:right="118"/>
        <w:jc w:val="both"/>
      </w:pPr>
      <w:r>
        <w:rPr/>
        <w:t>While the original poster referred to ‘strong opioids’, one pharmacist questioned whether this assumed knowledge of what dose was ‘strong’. We incorporated this feedback by qualifying this statement was an oral morphine equivalent dose.</w:t>
      </w:r>
    </w:p>
    <w:p>
      <w:pPr>
        <w:pStyle w:val="BodyText"/>
        <w:rPr>
          <w:sz w:val="22"/>
        </w:rPr>
      </w:pPr>
    </w:p>
    <w:p>
      <w:pPr>
        <w:spacing w:before="0"/>
        <w:ind w:left="120" w:right="0" w:firstLine="0"/>
        <w:jc w:val="both"/>
        <w:rPr>
          <w:i/>
          <w:sz w:val="22"/>
        </w:rPr>
      </w:pPr>
      <w:r>
        <w:rPr>
          <w:i/>
          <w:sz w:val="22"/>
        </w:rPr>
        <w:t>Figure 4. Anonymous quotes from pharmacist feedback</w:t>
      </w:r>
    </w:p>
    <w:p>
      <w:pPr>
        <w:pStyle w:val="BodyText"/>
        <w:spacing w:before="9"/>
        <w:rPr>
          <w:i/>
          <w:sz w:val="18"/>
        </w:rPr>
      </w:pPr>
      <w:r>
        <w:rPr/>
        <w:drawing>
          <wp:anchor distT="0" distB="0" distL="0" distR="0" allowOverlap="1" layoutInCell="1" locked="0" behindDoc="0" simplePos="0" relativeHeight="1168">
            <wp:simplePos x="0" y="0"/>
            <wp:positionH relativeFrom="page">
              <wp:posOffset>914400</wp:posOffset>
            </wp:positionH>
            <wp:positionV relativeFrom="paragraph">
              <wp:posOffset>170449</wp:posOffset>
            </wp:positionV>
            <wp:extent cx="5758812" cy="1373028"/>
            <wp:effectExtent l="0" t="0" r="0" b="0"/>
            <wp:wrapTopAndBottom/>
            <wp:docPr id="9" name="image8.png" descr="A screenshot of a cell phone  Description automatically generated "/>
            <wp:cNvGraphicFramePr>
              <a:graphicFrameLocks noChangeAspect="1"/>
            </wp:cNvGraphicFramePr>
            <a:graphic>
              <a:graphicData uri="http://schemas.openxmlformats.org/drawingml/2006/picture">
                <pic:pic>
                  <pic:nvPicPr>
                    <pic:cNvPr id="10" name="image8.png"/>
                    <pic:cNvPicPr/>
                  </pic:nvPicPr>
                  <pic:blipFill>
                    <a:blip r:embed="rId19" cstate="print"/>
                    <a:stretch>
                      <a:fillRect/>
                    </a:stretch>
                  </pic:blipFill>
                  <pic:spPr>
                    <a:xfrm>
                      <a:off x="0" y="0"/>
                      <a:ext cx="5758812" cy="1373028"/>
                    </a:xfrm>
                    <a:prstGeom prst="rect">
                      <a:avLst/>
                    </a:prstGeom>
                  </pic:spPr>
                </pic:pic>
              </a:graphicData>
            </a:graphic>
          </wp:anchor>
        </w:drawing>
      </w:r>
    </w:p>
    <w:p>
      <w:pPr>
        <w:pStyle w:val="BodyText"/>
        <w:spacing w:before="6"/>
        <w:rPr>
          <w:i/>
          <w:sz w:val="19"/>
        </w:rPr>
      </w:pPr>
    </w:p>
    <w:p>
      <w:pPr>
        <w:spacing w:before="0"/>
        <w:ind w:left="120" w:right="0" w:firstLine="0"/>
        <w:jc w:val="both"/>
        <w:rPr>
          <w:i/>
          <w:sz w:val="22"/>
        </w:rPr>
      </w:pPr>
      <w:r>
        <w:rPr>
          <w:i/>
          <w:sz w:val="22"/>
        </w:rPr>
        <w:t>Table 7. Pharmacist feedback (n=4)</w:t>
      </w:r>
    </w:p>
    <w:p>
      <w:pPr>
        <w:pStyle w:val="BodyText"/>
        <w:spacing w:before="11"/>
        <w:rPr>
          <w:i/>
          <w:sz w:val="19"/>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66"/>
        <w:gridCol w:w="963"/>
        <w:gridCol w:w="759"/>
        <w:gridCol w:w="1343"/>
        <w:gridCol w:w="1091"/>
        <w:gridCol w:w="904"/>
      </w:tblGrid>
      <w:tr>
        <w:trPr>
          <w:trHeight w:val="499" w:hRule="exact"/>
        </w:trPr>
        <w:tc>
          <w:tcPr>
            <w:tcW w:w="3966" w:type="dxa"/>
            <w:tcBorders>
              <w:top w:val="single" w:sz="4" w:space="0" w:color="8063A1"/>
              <w:bottom w:val="single" w:sz="4" w:space="0" w:color="8063A1"/>
            </w:tcBorders>
          </w:tcPr>
          <w:p>
            <w:pPr/>
          </w:p>
        </w:tc>
        <w:tc>
          <w:tcPr>
            <w:tcW w:w="963" w:type="dxa"/>
            <w:tcBorders>
              <w:top w:val="single" w:sz="4" w:space="0" w:color="8063A1"/>
              <w:bottom w:val="single" w:sz="4" w:space="0" w:color="8063A1"/>
            </w:tcBorders>
          </w:tcPr>
          <w:p>
            <w:pPr>
              <w:pStyle w:val="TableParagraph"/>
              <w:ind w:left="121" w:right="152"/>
              <w:rPr>
                <w:sz w:val="20"/>
              </w:rPr>
            </w:pPr>
            <w:r>
              <w:rPr>
                <w:sz w:val="20"/>
              </w:rPr>
              <w:t>Strongly agree</w:t>
            </w:r>
          </w:p>
        </w:tc>
        <w:tc>
          <w:tcPr>
            <w:tcW w:w="759" w:type="dxa"/>
            <w:tcBorders>
              <w:top w:val="single" w:sz="4" w:space="0" w:color="8063A1"/>
              <w:bottom w:val="single" w:sz="4" w:space="0" w:color="8063A1"/>
            </w:tcBorders>
          </w:tcPr>
          <w:p>
            <w:pPr>
              <w:pStyle w:val="TableParagraph"/>
              <w:ind w:left="171"/>
              <w:rPr>
                <w:sz w:val="20"/>
              </w:rPr>
            </w:pPr>
            <w:r>
              <w:rPr>
                <w:sz w:val="20"/>
              </w:rPr>
              <w:t>Agree</w:t>
            </w:r>
          </w:p>
        </w:tc>
        <w:tc>
          <w:tcPr>
            <w:tcW w:w="1343" w:type="dxa"/>
            <w:tcBorders>
              <w:top w:val="single" w:sz="4" w:space="0" w:color="8063A1"/>
              <w:bottom w:val="single" w:sz="4" w:space="0" w:color="8063A1"/>
            </w:tcBorders>
          </w:tcPr>
          <w:p>
            <w:pPr>
              <w:pStyle w:val="TableParagraph"/>
              <w:ind w:left="107" w:right="96"/>
              <w:rPr>
                <w:sz w:val="20"/>
              </w:rPr>
            </w:pPr>
            <w:r>
              <w:rPr>
                <w:sz w:val="20"/>
              </w:rPr>
              <w:t>Neither agree nor disagree</w:t>
            </w:r>
          </w:p>
        </w:tc>
        <w:tc>
          <w:tcPr>
            <w:tcW w:w="1091" w:type="dxa"/>
            <w:tcBorders>
              <w:top w:val="single" w:sz="4" w:space="0" w:color="8063A1"/>
              <w:bottom w:val="single" w:sz="4" w:space="0" w:color="8063A1"/>
            </w:tcBorders>
          </w:tcPr>
          <w:p>
            <w:pPr>
              <w:pStyle w:val="TableParagraph"/>
              <w:ind w:left="114" w:right="89"/>
              <w:rPr>
                <w:sz w:val="20"/>
              </w:rPr>
            </w:pPr>
            <w:r>
              <w:rPr>
                <w:sz w:val="20"/>
              </w:rPr>
              <w:t>Somewhat disagree</w:t>
            </w:r>
          </w:p>
        </w:tc>
        <w:tc>
          <w:tcPr>
            <w:tcW w:w="904" w:type="dxa"/>
            <w:tcBorders>
              <w:top w:val="single" w:sz="4" w:space="0" w:color="8063A1"/>
              <w:bottom w:val="single" w:sz="4" w:space="0" w:color="8063A1"/>
            </w:tcBorders>
          </w:tcPr>
          <w:p>
            <w:pPr>
              <w:pStyle w:val="TableParagraph"/>
              <w:ind w:left="107" w:right="89"/>
              <w:rPr>
                <w:sz w:val="20"/>
              </w:rPr>
            </w:pPr>
            <w:r>
              <w:rPr>
                <w:sz w:val="20"/>
              </w:rPr>
              <w:t>Strongly disagree</w:t>
            </w:r>
          </w:p>
        </w:tc>
      </w:tr>
      <w:tr>
        <w:trPr>
          <w:trHeight w:val="494" w:hRule="exact"/>
        </w:trPr>
        <w:tc>
          <w:tcPr>
            <w:tcW w:w="3966" w:type="dxa"/>
            <w:tcBorders>
              <w:top w:val="single" w:sz="4" w:space="0" w:color="8063A1"/>
            </w:tcBorders>
            <w:shd w:val="clear" w:color="auto" w:fill="E4DFEB"/>
          </w:tcPr>
          <w:p>
            <w:pPr>
              <w:pStyle w:val="TableParagraph"/>
              <w:ind w:left="108" w:right="102"/>
              <w:rPr>
                <w:sz w:val="20"/>
              </w:rPr>
            </w:pPr>
            <w:r>
              <w:rPr>
                <w:sz w:val="20"/>
              </w:rPr>
              <w:t>If this poster was displayed at my workplace, I would read/refer to it</w:t>
            </w:r>
          </w:p>
        </w:tc>
        <w:tc>
          <w:tcPr>
            <w:tcW w:w="963" w:type="dxa"/>
            <w:tcBorders>
              <w:top w:val="single" w:sz="4" w:space="0" w:color="8063A1"/>
            </w:tcBorders>
            <w:shd w:val="clear" w:color="auto" w:fill="E4DFEB"/>
          </w:tcPr>
          <w:p>
            <w:pPr>
              <w:pStyle w:val="TableParagraph"/>
              <w:spacing w:line="244" w:lineRule="exact"/>
              <w:ind w:left="121"/>
              <w:rPr>
                <w:sz w:val="20"/>
              </w:rPr>
            </w:pPr>
            <w:r>
              <w:rPr>
                <w:sz w:val="20"/>
              </w:rPr>
              <w:t>100%</w:t>
            </w:r>
          </w:p>
        </w:tc>
        <w:tc>
          <w:tcPr>
            <w:tcW w:w="759" w:type="dxa"/>
            <w:tcBorders>
              <w:top w:val="single" w:sz="4" w:space="0" w:color="8063A1"/>
            </w:tcBorders>
            <w:shd w:val="clear" w:color="auto" w:fill="E4DFEB"/>
          </w:tcPr>
          <w:p>
            <w:pPr>
              <w:pStyle w:val="TableParagraph"/>
              <w:spacing w:line="244" w:lineRule="exact"/>
              <w:ind w:left="171"/>
              <w:rPr>
                <w:sz w:val="20"/>
              </w:rPr>
            </w:pPr>
            <w:r>
              <w:rPr>
                <w:sz w:val="20"/>
              </w:rPr>
              <w:t>0%</w:t>
            </w:r>
          </w:p>
        </w:tc>
        <w:tc>
          <w:tcPr>
            <w:tcW w:w="1343" w:type="dxa"/>
            <w:tcBorders>
              <w:top w:val="single" w:sz="4" w:space="0" w:color="8063A1"/>
            </w:tcBorders>
            <w:shd w:val="clear" w:color="auto" w:fill="E4DFEB"/>
          </w:tcPr>
          <w:p>
            <w:pPr>
              <w:pStyle w:val="TableParagraph"/>
              <w:spacing w:line="244" w:lineRule="exact"/>
              <w:ind w:left="107"/>
              <w:rPr>
                <w:sz w:val="20"/>
              </w:rPr>
            </w:pPr>
            <w:r>
              <w:rPr>
                <w:sz w:val="20"/>
              </w:rPr>
              <w:t>0%</w:t>
            </w:r>
          </w:p>
        </w:tc>
        <w:tc>
          <w:tcPr>
            <w:tcW w:w="1091" w:type="dxa"/>
            <w:tcBorders>
              <w:top w:val="single" w:sz="4" w:space="0" w:color="8063A1"/>
            </w:tcBorders>
            <w:shd w:val="clear" w:color="auto" w:fill="E4DFEB"/>
          </w:tcPr>
          <w:p>
            <w:pPr>
              <w:pStyle w:val="TableParagraph"/>
              <w:spacing w:line="244" w:lineRule="exact"/>
              <w:ind w:left="114"/>
              <w:rPr>
                <w:sz w:val="20"/>
              </w:rPr>
            </w:pPr>
            <w:r>
              <w:rPr>
                <w:sz w:val="20"/>
              </w:rPr>
              <w:t>0%</w:t>
            </w:r>
          </w:p>
        </w:tc>
        <w:tc>
          <w:tcPr>
            <w:tcW w:w="904" w:type="dxa"/>
            <w:tcBorders>
              <w:top w:val="single" w:sz="4" w:space="0" w:color="8063A1"/>
            </w:tcBorders>
            <w:shd w:val="clear" w:color="auto" w:fill="E4DFEB"/>
          </w:tcPr>
          <w:p>
            <w:pPr>
              <w:pStyle w:val="TableParagraph"/>
              <w:spacing w:line="244" w:lineRule="exact"/>
              <w:ind w:left="107"/>
              <w:rPr>
                <w:sz w:val="20"/>
              </w:rPr>
            </w:pPr>
            <w:r>
              <w:rPr>
                <w:sz w:val="20"/>
              </w:rPr>
              <w:t>0%</w:t>
            </w:r>
          </w:p>
        </w:tc>
      </w:tr>
      <w:tr>
        <w:trPr>
          <w:trHeight w:val="244" w:hRule="exact"/>
        </w:trPr>
        <w:tc>
          <w:tcPr>
            <w:tcW w:w="3966" w:type="dxa"/>
          </w:tcPr>
          <w:p>
            <w:pPr>
              <w:pStyle w:val="TableParagraph"/>
              <w:spacing w:line="243" w:lineRule="exact"/>
              <w:ind w:left="108"/>
              <w:rPr>
                <w:sz w:val="20"/>
              </w:rPr>
            </w:pPr>
            <w:r>
              <w:rPr>
                <w:sz w:val="20"/>
              </w:rPr>
              <w:t>This poster is easy to understand</w:t>
            </w:r>
          </w:p>
        </w:tc>
        <w:tc>
          <w:tcPr>
            <w:tcW w:w="963" w:type="dxa"/>
          </w:tcPr>
          <w:p>
            <w:pPr>
              <w:pStyle w:val="TableParagraph"/>
              <w:spacing w:line="243" w:lineRule="exact"/>
              <w:ind w:left="121"/>
              <w:rPr>
                <w:sz w:val="20"/>
              </w:rPr>
            </w:pPr>
            <w:r>
              <w:rPr>
                <w:sz w:val="20"/>
              </w:rPr>
              <w:t>100%</w:t>
            </w:r>
          </w:p>
        </w:tc>
        <w:tc>
          <w:tcPr>
            <w:tcW w:w="759" w:type="dxa"/>
          </w:tcPr>
          <w:p>
            <w:pPr>
              <w:pStyle w:val="TableParagraph"/>
              <w:spacing w:line="243" w:lineRule="exact"/>
              <w:ind w:left="171"/>
              <w:rPr>
                <w:sz w:val="20"/>
              </w:rPr>
            </w:pPr>
            <w:r>
              <w:rPr>
                <w:sz w:val="20"/>
              </w:rPr>
              <w:t>0%</w:t>
            </w:r>
          </w:p>
        </w:tc>
        <w:tc>
          <w:tcPr>
            <w:tcW w:w="1343" w:type="dxa"/>
          </w:tcPr>
          <w:p>
            <w:pPr>
              <w:pStyle w:val="TableParagraph"/>
              <w:spacing w:line="243" w:lineRule="exact"/>
              <w:ind w:left="107"/>
              <w:rPr>
                <w:sz w:val="20"/>
              </w:rPr>
            </w:pPr>
            <w:r>
              <w:rPr>
                <w:sz w:val="20"/>
              </w:rPr>
              <w:t>0%</w:t>
            </w:r>
          </w:p>
        </w:tc>
        <w:tc>
          <w:tcPr>
            <w:tcW w:w="1091" w:type="dxa"/>
          </w:tcPr>
          <w:p>
            <w:pPr>
              <w:pStyle w:val="TableParagraph"/>
              <w:spacing w:line="243" w:lineRule="exact"/>
              <w:ind w:left="114"/>
              <w:rPr>
                <w:sz w:val="20"/>
              </w:rPr>
            </w:pPr>
            <w:r>
              <w:rPr>
                <w:sz w:val="20"/>
              </w:rPr>
              <w:t>0%</w:t>
            </w:r>
          </w:p>
        </w:tc>
        <w:tc>
          <w:tcPr>
            <w:tcW w:w="904" w:type="dxa"/>
          </w:tcPr>
          <w:p>
            <w:pPr>
              <w:pStyle w:val="TableParagraph"/>
              <w:spacing w:line="243" w:lineRule="exact"/>
              <w:ind w:left="107"/>
              <w:rPr>
                <w:sz w:val="20"/>
              </w:rPr>
            </w:pPr>
            <w:r>
              <w:rPr>
                <w:sz w:val="20"/>
              </w:rPr>
              <w:t>0%</w:t>
            </w:r>
          </w:p>
        </w:tc>
      </w:tr>
      <w:tr>
        <w:trPr>
          <w:trHeight w:val="245" w:hRule="exact"/>
        </w:trPr>
        <w:tc>
          <w:tcPr>
            <w:tcW w:w="3966" w:type="dxa"/>
            <w:shd w:val="clear" w:color="auto" w:fill="E4DFEB"/>
          </w:tcPr>
          <w:p>
            <w:pPr>
              <w:pStyle w:val="TableParagraph"/>
              <w:spacing w:line="243" w:lineRule="exact"/>
              <w:ind w:left="108"/>
              <w:rPr>
                <w:sz w:val="20"/>
              </w:rPr>
            </w:pPr>
            <w:r>
              <w:rPr>
                <w:sz w:val="20"/>
              </w:rPr>
              <w:t>I like the design of this poster</w:t>
            </w:r>
          </w:p>
        </w:tc>
        <w:tc>
          <w:tcPr>
            <w:tcW w:w="963" w:type="dxa"/>
            <w:shd w:val="clear" w:color="auto" w:fill="E4DFEB"/>
          </w:tcPr>
          <w:p>
            <w:pPr>
              <w:pStyle w:val="TableParagraph"/>
              <w:spacing w:line="243" w:lineRule="exact"/>
              <w:ind w:left="121"/>
              <w:rPr>
                <w:sz w:val="20"/>
              </w:rPr>
            </w:pPr>
            <w:r>
              <w:rPr>
                <w:sz w:val="20"/>
              </w:rPr>
              <w:t>100%</w:t>
            </w:r>
          </w:p>
        </w:tc>
        <w:tc>
          <w:tcPr>
            <w:tcW w:w="759" w:type="dxa"/>
            <w:shd w:val="clear" w:color="auto" w:fill="E4DFEB"/>
          </w:tcPr>
          <w:p>
            <w:pPr>
              <w:pStyle w:val="TableParagraph"/>
              <w:spacing w:line="243" w:lineRule="exact"/>
              <w:ind w:left="171"/>
              <w:rPr>
                <w:sz w:val="20"/>
              </w:rPr>
            </w:pPr>
            <w:r>
              <w:rPr>
                <w:sz w:val="20"/>
              </w:rPr>
              <w:t>0%</w:t>
            </w:r>
          </w:p>
        </w:tc>
        <w:tc>
          <w:tcPr>
            <w:tcW w:w="1343" w:type="dxa"/>
            <w:shd w:val="clear" w:color="auto" w:fill="E4DFEB"/>
          </w:tcPr>
          <w:p>
            <w:pPr>
              <w:pStyle w:val="TableParagraph"/>
              <w:spacing w:line="243" w:lineRule="exact"/>
              <w:ind w:left="107"/>
              <w:rPr>
                <w:sz w:val="20"/>
              </w:rPr>
            </w:pPr>
            <w:r>
              <w:rPr>
                <w:sz w:val="20"/>
              </w:rPr>
              <w:t>0%</w:t>
            </w:r>
          </w:p>
        </w:tc>
        <w:tc>
          <w:tcPr>
            <w:tcW w:w="1091" w:type="dxa"/>
            <w:shd w:val="clear" w:color="auto" w:fill="E4DFEB"/>
          </w:tcPr>
          <w:p>
            <w:pPr>
              <w:pStyle w:val="TableParagraph"/>
              <w:spacing w:line="243" w:lineRule="exact"/>
              <w:ind w:left="114"/>
              <w:rPr>
                <w:sz w:val="20"/>
              </w:rPr>
            </w:pPr>
            <w:r>
              <w:rPr>
                <w:sz w:val="20"/>
              </w:rPr>
              <w:t>0%</w:t>
            </w:r>
          </w:p>
        </w:tc>
        <w:tc>
          <w:tcPr>
            <w:tcW w:w="904" w:type="dxa"/>
            <w:shd w:val="clear" w:color="auto" w:fill="E4DFEB"/>
          </w:tcPr>
          <w:p>
            <w:pPr>
              <w:pStyle w:val="TableParagraph"/>
              <w:spacing w:line="243" w:lineRule="exact"/>
              <w:ind w:left="107"/>
              <w:rPr>
                <w:sz w:val="20"/>
              </w:rPr>
            </w:pPr>
            <w:r>
              <w:rPr>
                <w:sz w:val="20"/>
              </w:rPr>
              <w:t>0%</w:t>
            </w:r>
          </w:p>
        </w:tc>
      </w:tr>
      <w:tr>
        <w:trPr>
          <w:trHeight w:val="487" w:hRule="exact"/>
        </w:trPr>
        <w:tc>
          <w:tcPr>
            <w:tcW w:w="3966" w:type="dxa"/>
          </w:tcPr>
          <w:p>
            <w:pPr>
              <w:pStyle w:val="TableParagraph"/>
              <w:ind w:left="108" w:right="244"/>
              <w:rPr>
                <w:sz w:val="20"/>
              </w:rPr>
            </w:pPr>
            <w:r>
              <w:rPr>
                <w:sz w:val="20"/>
              </w:rPr>
              <w:t>This poster provides enough information for me to feel confident discussing naloxone</w:t>
            </w:r>
          </w:p>
        </w:tc>
        <w:tc>
          <w:tcPr>
            <w:tcW w:w="963" w:type="dxa"/>
          </w:tcPr>
          <w:p>
            <w:pPr>
              <w:pStyle w:val="TableParagraph"/>
              <w:spacing w:line="243" w:lineRule="exact"/>
              <w:ind w:left="121"/>
              <w:rPr>
                <w:sz w:val="20"/>
              </w:rPr>
            </w:pPr>
            <w:r>
              <w:rPr>
                <w:sz w:val="20"/>
              </w:rPr>
              <w:t>75%</w:t>
            </w:r>
          </w:p>
        </w:tc>
        <w:tc>
          <w:tcPr>
            <w:tcW w:w="759" w:type="dxa"/>
          </w:tcPr>
          <w:p>
            <w:pPr>
              <w:pStyle w:val="TableParagraph"/>
              <w:spacing w:line="243" w:lineRule="exact"/>
              <w:ind w:left="171"/>
              <w:rPr>
                <w:sz w:val="20"/>
              </w:rPr>
            </w:pPr>
            <w:r>
              <w:rPr>
                <w:sz w:val="20"/>
              </w:rPr>
              <w:t>0%</w:t>
            </w:r>
          </w:p>
        </w:tc>
        <w:tc>
          <w:tcPr>
            <w:tcW w:w="1343" w:type="dxa"/>
          </w:tcPr>
          <w:p>
            <w:pPr>
              <w:pStyle w:val="TableParagraph"/>
              <w:spacing w:line="243" w:lineRule="exact"/>
              <w:ind w:left="107"/>
              <w:rPr>
                <w:sz w:val="20"/>
              </w:rPr>
            </w:pPr>
            <w:r>
              <w:rPr>
                <w:sz w:val="20"/>
              </w:rPr>
              <w:t>25%</w:t>
            </w:r>
          </w:p>
        </w:tc>
        <w:tc>
          <w:tcPr>
            <w:tcW w:w="1091" w:type="dxa"/>
          </w:tcPr>
          <w:p>
            <w:pPr>
              <w:pStyle w:val="TableParagraph"/>
              <w:spacing w:line="243" w:lineRule="exact"/>
              <w:ind w:left="114"/>
              <w:rPr>
                <w:sz w:val="20"/>
              </w:rPr>
            </w:pPr>
            <w:r>
              <w:rPr>
                <w:sz w:val="20"/>
              </w:rPr>
              <w:t>0%</w:t>
            </w:r>
          </w:p>
        </w:tc>
        <w:tc>
          <w:tcPr>
            <w:tcW w:w="904" w:type="dxa"/>
          </w:tcPr>
          <w:p>
            <w:pPr>
              <w:pStyle w:val="TableParagraph"/>
              <w:spacing w:line="243" w:lineRule="exact"/>
              <w:ind w:left="107"/>
              <w:rPr>
                <w:sz w:val="20"/>
              </w:rPr>
            </w:pPr>
            <w:r>
              <w:rPr>
                <w:sz w:val="20"/>
              </w:rPr>
              <w:t>0%</w:t>
            </w:r>
          </w:p>
        </w:tc>
      </w:tr>
      <w:tr>
        <w:trPr>
          <w:trHeight w:val="494" w:hRule="exact"/>
        </w:trPr>
        <w:tc>
          <w:tcPr>
            <w:tcW w:w="3966" w:type="dxa"/>
            <w:tcBorders>
              <w:bottom w:val="single" w:sz="4" w:space="0" w:color="8063A1"/>
            </w:tcBorders>
            <w:shd w:val="clear" w:color="auto" w:fill="E4DFEB"/>
          </w:tcPr>
          <w:p>
            <w:pPr>
              <w:pStyle w:val="TableParagraph"/>
              <w:ind w:left="108" w:right="412"/>
              <w:rPr>
                <w:sz w:val="20"/>
              </w:rPr>
            </w:pPr>
            <w:r>
              <w:rPr>
                <w:sz w:val="20"/>
              </w:rPr>
              <w:t>I would be more likely to discuss naloxone with a patient after reading this poster</w:t>
            </w:r>
          </w:p>
        </w:tc>
        <w:tc>
          <w:tcPr>
            <w:tcW w:w="963" w:type="dxa"/>
            <w:tcBorders>
              <w:bottom w:val="single" w:sz="4" w:space="0" w:color="8063A1"/>
            </w:tcBorders>
            <w:shd w:val="clear" w:color="auto" w:fill="E4DFEB"/>
          </w:tcPr>
          <w:p>
            <w:pPr>
              <w:pStyle w:val="TableParagraph"/>
              <w:spacing w:line="243" w:lineRule="exact"/>
              <w:ind w:left="121"/>
              <w:rPr>
                <w:sz w:val="20"/>
              </w:rPr>
            </w:pPr>
            <w:r>
              <w:rPr>
                <w:sz w:val="20"/>
              </w:rPr>
              <w:t>100%</w:t>
            </w:r>
          </w:p>
        </w:tc>
        <w:tc>
          <w:tcPr>
            <w:tcW w:w="759" w:type="dxa"/>
            <w:tcBorders>
              <w:bottom w:val="single" w:sz="4" w:space="0" w:color="8063A1"/>
            </w:tcBorders>
            <w:shd w:val="clear" w:color="auto" w:fill="E4DFEB"/>
          </w:tcPr>
          <w:p>
            <w:pPr>
              <w:pStyle w:val="TableParagraph"/>
              <w:spacing w:line="243" w:lineRule="exact"/>
              <w:ind w:left="171"/>
              <w:rPr>
                <w:sz w:val="20"/>
              </w:rPr>
            </w:pPr>
            <w:r>
              <w:rPr>
                <w:sz w:val="20"/>
              </w:rPr>
              <w:t>0%</w:t>
            </w:r>
          </w:p>
        </w:tc>
        <w:tc>
          <w:tcPr>
            <w:tcW w:w="1343" w:type="dxa"/>
            <w:tcBorders>
              <w:bottom w:val="single" w:sz="4" w:space="0" w:color="8063A1"/>
            </w:tcBorders>
            <w:shd w:val="clear" w:color="auto" w:fill="E4DFEB"/>
          </w:tcPr>
          <w:p>
            <w:pPr>
              <w:pStyle w:val="TableParagraph"/>
              <w:spacing w:line="243" w:lineRule="exact"/>
              <w:ind w:left="107"/>
              <w:rPr>
                <w:sz w:val="20"/>
              </w:rPr>
            </w:pPr>
            <w:r>
              <w:rPr>
                <w:sz w:val="20"/>
              </w:rPr>
              <w:t>0%</w:t>
            </w:r>
          </w:p>
        </w:tc>
        <w:tc>
          <w:tcPr>
            <w:tcW w:w="1091" w:type="dxa"/>
            <w:tcBorders>
              <w:bottom w:val="single" w:sz="4" w:space="0" w:color="8063A1"/>
            </w:tcBorders>
            <w:shd w:val="clear" w:color="auto" w:fill="E4DFEB"/>
          </w:tcPr>
          <w:p>
            <w:pPr>
              <w:pStyle w:val="TableParagraph"/>
              <w:spacing w:line="243" w:lineRule="exact"/>
              <w:ind w:left="114"/>
              <w:rPr>
                <w:sz w:val="20"/>
              </w:rPr>
            </w:pPr>
            <w:r>
              <w:rPr>
                <w:sz w:val="20"/>
              </w:rPr>
              <w:t>0%</w:t>
            </w:r>
          </w:p>
        </w:tc>
        <w:tc>
          <w:tcPr>
            <w:tcW w:w="904" w:type="dxa"/>
            <w:tcBorders>
              <w:bottom w:val="single" w:sz="4" w:space="0" w:color="8063A1"/>
            </w:tcBorders>
            <w:shd w:val="clear" w:color="auto" w:fill="E4DFEB"/>
          </w:tcPr>
          <w:p>
            <w:pPr>
              <w:pStyle w:val="TableParagraph"/>
              <w:spacing w:line="243" w:lineRule="exact"/>
              <w:ind w:left="107"/>
              <w:rPr>
                <w:sz w:val="20"/>
              </w:rPr>
            </w:pPr>
            <w:r>
              <w:rPr>
                <w:sz w:val="20"/>
              </w:rPr>
              <w:t>0%</w:t>
            </w:r>
          </w:p>
        </w:tc>
      </w:tr>
    </w:tbl>
    <w:p>
      <w:pPr>
        <w:pStyle w:val="BodyText"/>
        <w:spacing w:before="11"/>
        <w:rPr>
          <w:i/>
          <w:sz w:val="21"/>
        </w:rPr>
      </w:pPr>
    </w:p>
    <w:p>
      <w:pPr>
        <w:pStyle w:val="BodyText"/>
        <w:ind w:left="120" w:right="116"/>
        <w:jc w:val="both"/>
      </w:pPr>
      <w:r>
        <w:rPr/>
        <w:t>One pharmacist suggested the use of the word ‘opioid toxicity’ instead of ‘overdose’. This prompted</w:t>
      </w:r>
      <w:r>
        <w:rPr>
          <w:spacing w:val="-11"/>
        </w:rPr>
        <w:t> </w:t>
      </w:r>
      <w:r>
        <w:rPr/>
        <w:t>us</w:t>
      </w:r>
      <w:r>
        <w:rPr>
          <w:spacing w:val="-11"/>
        </w:rPr>
        <w:t> </w:t>
      </w:r>
      <w:r>
        <w:rPr/>
        <w:t>to</w:t>
      </w:r>
      <w:r>
        <w:rPr>
          <w:spacing w:val="-11"/>
        </w:rPr>
        <w:t> </w:t>
      </w:r>
      <w:r>
        <w:rPr/>
        <w:t>revisit</w:t>
      </w:r>
      <w:r>
        <w:rPr>
          <w:spacing w:val="-10"/>
        </w:rPr>
        <w:t> </w:t>
      </w:r>
      <w:r>
        <w:rPr/>
        <w:t>our</w:t>
      </w:r>
      <w:r>
        <w:rPr>
          <w:spacing w:val="-11"/>
        </w:rPr>
        <w:t> </w:t>
      </w:r>
      <w:r>
        <w:rPr/>
        <w:t>discussion</w:t>
      </w:r>
      <w:r>
        <w:rPr>
          <w:spacing w:val="-11"/>
        </w:rPr>
        <w:t> </w:t>
      </w:r>
      <w:r>
        <w:rPr/>
        <w:t>on</w:t>
      </w:r>
      <w:r>
        <w:rPr>
          <w:spacing w:val="-10"/>
        </w:rPr>
        <w:t> </w:t>
      </w:r>
      <w:r>
        <w:rPr/>
        <w:t>‘terminology’.</w:t>
      </w:r>
      <w:r>
        <w:rPr>
          <w:spacing w:val="-11"/>
        </w:rPr>
        <w:t> </w:t>
      </w:r>
      <w:r>
        <w:rPr/>
        <w:t>In</w:t>
      </w:r>
      <w:r>
        <w:rPr>
          <w:spacing w:val="-10"/>
        </w:rPr>
        <w:t> </w:t>
      </w:r>
      <w:r>
        <w:rPr/>
        <w:t>the</w:t>
      </w:r>
      <w:r>
        <w:rPr>
          <w:spacing w:val="-11"/>
        </w:rPr>
        <w:t> </w:t>
      </w:r>
      <w:r>
        <w:rPr/>
        <w:t>training</w:t>
      </w:r>
      <w:r>
        <w:rPr>
          <w:spacing w:val="-11"/>
        </w:rPr>
        <w:t> </w:t>
      </w:r>
      <w:r>
        <w:rPr/>
        <w:t>animation</w:t>
      </w:r>
      <w:r>
        <w:rPr>
          <w:spacing w:val="-11"/>
        </w:rPr>
        <w:t> </w:t>
      </w:r>
      <w:r>
        <w:rPr/>
        <w:t>script,</w:t>
      </w:r>
      <w:r>
        <w:rPr>
          <w:spacing w:val="-11"/>
        </w:rPr>
        <w:t> </w:t>
      </w:r>
      <w:r>
        <w:rPr/>
        <w:t>rather than advise pharmacists to use ‘severe reaction’ as an alternative to ‘overdose’, we instead listed a range of alternatives, and advise pharmacists to use a word that works for them and their</w:t>
      </w:r>
      <w:r>
        <w:rPr>
          <w:spacing w:val="-4"/>
        </w:rPr>
        <w:t> </w:t>
      </w:r>
      <w:r>
        <w:rPr/>
        <w:t>patient.</w:t>
      </w:r>
    </w:p>
    <w:p>
      <w:pPr>
        <w:spacing w:after="0"/>
        <w:jc w:val="both"/>
        <w:sectPr>
          <w:pgSz w:w="11910" w:h="16840"/>
          <w:pgMar w:header="0" w:footer="1328" w:top="1580" w:bottom="1520" w:left="1320" w:right="1320"/>
        </w:sectPr>
      </w:pPr>
    </w:p>
    <w:p>
      <w:pPr>
        <w:pStyle w:val="Heading1"/>
        <w:numPr>
          <w:ilvl w:val="0"/>
          <w:numId w:val="7"/>
        </w:numPr>
        <w:tabs>
          <w:tab w:pos="380" w:val="left" w:leader="none"/>
        </w:tabs>
        <w:spacing w:line="240" w:lineRule="auto" w:before="17" w:after="0"/>
        <w:ind w:left="379" w:right="0" w:hanging="279"/>
        <w:jc w:val="both"/>
        <w:rPr>
          <w:color w:val="6C1D6C"/>
        </w:rPr>
      </w:pPr>
      <w:bookmarkStart w:name="5. Conclusion and next steps" w:id="17"/>
      <w:bookmarkEnd w:id="17"/>
      <w:r>
        <w:rPr>
          <w:b w:val="0"/>
        </w:rPr>
      </w:r>
      <w:bookmarkStart w:name="_bookmark6" w:id="18"/>
      <w:bookmarkEnd w:id="18"/>
      <w:r>
        <w:rPr>
          <w:b w:val="0"/>
        </w:rPr>
      </w:r>
      <w:bookmarkStart w:name="_bookmark6" w:id="19"/>
      <w:bookmarkEnd w:id="19"/>
      <w:r>
        <w:rPr>
          <w:color w:val="6C1D6C"/>
        </w:rPr>
        <w:t>C</w:t>
      </w:r>
      <w:r>
        <w:rPr>
          <w:color w:val="6C1D6C"/>
        </w:rPr>
        <w:t>onclusion and next</w:t>
      </w:r>
      <w:r>
        <w:rPr>
          <w:color w:val="6C1D6C"/>
          <w:spacing w:val="-13"/>
        </w:rPr>
        <w:t> </w:t>
      </w:r>
      <w:r>
        <w:rPr>
          <w:color w:val="6C1D6C"/>
        </w:rPr>
        <w:t>steps</w:t>
      </w:r>
    </w:p>
    <w:p>
      <w:pPr>
        <w:pStyle w:val="BodyText"/>
        <w:spacing w:before="11"/>
        <w:rPr>
          <w:b/>
          <w:sz w:val="21"/>
        </w:rPr>
      </w:pPr>
    </w:p>
    <w:p>
      <w:pPr>
        <w:pStyle w:val="BodyText"/>
        <w:spacing w:before="1"/>
        <w:ind w:left="100" w:right="119"/>
        <w:jc w:val="both"/>
      </w:pPr>
      <w:r>
        <w:rPr/>
        <w:t>This project has developed a new set of materials to educate patients and pharmacists on overdose and naloxone for people prescribed opioids for chronic pain, based on a review of existing materials, and drawing on a co-design approach with patients and pharmacists. The diverse range of experience among patients and pharmacists who took part in these interviews enhances the strength of the interview findings.</w:t>
      </w:r>
    </w:p>
    <w:p>
      <w:pPr>
        <w:pStyle w:val="BodyText"/>
        <w:spacing w:before="11"/>
        <w:rPr>
          <w:sz w:val="23"/>
        </w:rPr>
      </w:pPr>
    </w:p>
    <w:p>
      <w:pPr>
        <w:pStyle w:val="BodyText"/>
        <w:spacing w:before="1"/>
        <w:ind w:left="100" w:right="117"/>
        <w:jc w:val="both"/>
      </w:pPr>
      <w:r>
        <w:rPr/>
        <w:t>The</w:t>
      </w:r>
      <w:r>
        <w:rPr>
          <w:spacing w:val="-6"/>
        </w:rPr>
        <w:t> </w:t>
      </w:r>
      <w:r>
        <w:rPr/>
        <w:t>materials</w:t>
      </w:r>
      <w:r>
        <w:rPr>
          <w:spacing w:val="-6"/>
        </w:rPr>
        <w:t> </w:t>
      </w:r>
      <w:r>
        <w:rPr/>
        <w:t>include</w:t>
      </w:r>
      <w:r>
        <w:rPr>
          <w:spacing w:val="-6"/>
        </w:rPr>
        <w:t> </w:t>
      </w:r>
      <w:r>
        <w:rPr/>
        <w:t>the</w:t>
      </w:r>
      <w:r>
        <w:rPr>
          <w:spacing w:val="-6"/>
        </w:rPr>
        <w:t> </w:t>
      </w:r>
      <w:r>
        <w:rPr/>
        <w:t>features</w:t>
      </w:r>
      <w:r>
        <w:rPr>
          <w:spacing w:val="-6"/>
        </w:rPr>
        <w:t> </w:t>
      </w:r>
      <w:r>
        <w:rPr/>
        <w:t>and</w:t>
      </w:r>
      <w:r>
        <w:rPr>
          <w:spacing w:val="-6"/>
        </w:rPr>
        <w:t> </w:t>
      </w:r>
      <w:r>
        <w:rPr/>
        <w:t>content</w:t>
      </w:r>
      <w:r>
        <w:rPr>
          <w:spacing w:val="-6"/>
        </w:rPr>
        <w:t> </w:t>
      </w:r>
      <w:r>
        <w:rPr/>
        <w:t>areas</w:t>
      </w:r>
      <w:r>
        <w:rPr>
          <w:spacing w:val="-6"/>
        </w:rPr>
        <w:t> </w:t>
      </w:r>
      <w:r>
        <w:rPr/>
        <w:t>requested</w:t>
      </w:r>
      <w:r>
        <w:rPr>
          <w:spacing w:val="-6"/>
        </w:rPr>
        <w:t> </w:t>
      </w:r>
      <w:r>
        <w:rPr/>
        <w:t>by</w:t>
      </w:r>
      <w:r>
        <w:rPr>
          <w:spacing w:val="-6"/>
        </w:rPr>
        <w:t> </w:t>
      </w:r>
      <w:r>
        <w:rPr/>
        <w:t>patients</w:t>
      </w:r>
      <w:r>
        <w:rPr>
          <w:spacing w:val="-6"/>
        </w:rPr>
        <w:t> </w:t>
      </w:r>
      <w:r>
        <w:rPr/>
        <w:t>and</w:t>
      </w:r>
      <w:r>
        <w:rPr>
          <w:spacing w:val="-6"/>
        </w:rPr>
        <w:t> </w:t>
      </w:r>
      <w:r>
        <w:rPr/>
        <w:t>pharmacists, and reflects the need for comprehensive but concise and engaging materials, which are appropriate</w:t>
      </w:r>
      <w:r>
        <w:rPr>
          <w:spacing w:val="-16"/>
        </w:rPr>
        <w:t> </w:t>
      </w:r>
      <w:r>
        <w:rPr/>
        <w:t>for</w:t>
      </w:r>
      <w:r>
        <w:rPr>
          <w:spacing w:val="-15"/>
        </w:rPr>
        <w:t> </w:t>
      </w:r>
      <w:r>
        <w:rPr/>
        <w:t>the</w:t>
      </w:r>
      <w:r>
        <w:rPr>
          <w:spacing w:val="-15"/>
        </w:rPr>
        <w:t> </w:t>
      </w:r>
      <w:r>
        <w:rPr/>
        <w:t>particular</w:t>
      </w:r>
      <w:r>
        <w:rPr>
          <w:spacing w:val="-17"/>
        </w:rPr>
        <w:t> </w:t>
      </w:r>
      <w:r>
        <w:rPr/>
        <w:t>contexts</w:t>
      </w:r>
      <w:r>
        <w:rPr>
          <w:spacing w:val="-16"/>
        </w:rPr>
        <w:t> </w:t>
      </w:r>
      <w:r>
        <w:rPr/>
        <w:t>and</w:t>
      </w:r>
      <w:r>
        <w:rPr>
          <w:spacing w:val="-16"/>
        </w:rPr>
        <w:t> </w:t>
      </w:r>
      <w:r>
        <w:rPr/>
        <w:t>sensitivities</w:t>
      </w:r>
      <w:r>
        <w:rPr>
          <w:spacing w:val="-16"/>
        </w:rPr>
        <w:t> </w:t>
      </w:r>
      <w:r>
        <w:rPr/>
        <w:t>of</w:t>
      </w:r>
      <w:r>
        <w:rPr>
          <w:spacing w:val="-16"/>
        </w:rPr>
        <w:t> </w:t>
      </w:r>
      <w:r>
        <w:rPr/>
        <w:t>patients</w:t>
      </w:r>
      <w:r>
        <w:rPr>
          <w:spacing w:val="-16"/>
        </w:rPr>
        <w:t> </w:t>
      </w:r>
      <w:r>
        <w:rPr/>
        <w:t>who</w:t>
      </w:r>
      <w:r>
        <w:rPr>
          <w:spacing w:val="-16"/>
        </w:rPr>
        <w:t> </w:t>
      </w:r>
      <w:r>
        <w:rPr/>
        <w:t>are</w:t>
      </w:r>
      <w:r>
        <w:rPr>
          <w:spacing w:val="-15"/>
        </w:rPr>
        <w:t> </w:t>
      </w:r>
      <w:r>
        <w:rPr/>
        <w:t>prescribed</w:t>
      </w:r>
      <w:r>
        <w:rPr>
          <w:spacing w:val="-17"/>
        </w:rPr>
        <w:t> </w:t>
      </w:r>
      <w:r>
        <w:rPr/>
        <w:t>opioids for chronic pain. These materials will be launched alongside a brief training animation in a communications</w:t>
      </w:r>
      <w:r>
        <w:rPr>
          <w:spacing w:val="-7"/>
        </w:rPr>
        <w:t> </w:t>
      </w:r>
      <w:r>
        <w:rPr/>
        <w:t>campaign.</w:t>
      </w:r>
      <w:r>
        <w:rPr>
          <w:spacing w:val="-7"/>
        </w:rPr>
        <w:t> </w:t>
      </w:r>
      <w:r>
        <w:rPr/>
        <w:t>Methods</w:t>
      </w:r>
      <w:r>
        <w:rPr>
          <w:spacing w:val="-7"/>
        </w:rPr>
        <w:t> </w:t>
      </w:r>
      <w:r>
        <w:rPr/>
        <w:t>of</w:t>
      </w:r>
      <w:r>
        <w:rPr>
          <w:spacing w:val="-7"/>
        </w:rPr>
        <w:t> </w:t>
      </w:r>
      <w:r>
        <w:rPr/>
        <w:t>information</w:t>
      </w:r>
      <w:r>
        <w:rPr>
          <w:spacing w:val="-7"/>
        </w:rPr>
        <w:t> </w:t>
      </w:r>
      <w:r>
        <w:rPr/>
        <w:t>dissemination</w:t>
      </w:r>
      <w:r>
        <w:rPr>
          <w:spacing w:val="-7"/>
        </w:rPr>
        <w:t> </w:t>
      </w:r>
      <w:r>
        <w:rPr/>
        <w:t>will</w:t>
      </w:r>
      <w:r>
        <w:rPr>
          <w:spacing w:val="-7"/>
        </w:rPr>
        <w:t> </w:t>
      </w:r>
      <w:r>
        <w:rPr/>
        <w:t>include:</w:t>
      </w:r>
      <w:r>
        <w:rPr>
          <w:spacing w:val="-7"/>
        </w:rPr>
        <w:t> </w:t>
      </w:r>
      <w:r>
        <w:rPr/>
        <w:t>an</w:t>
      </w:r>
      <w:r>
        <w:rPr>
          <w:spacing w:val="-7"/>
        </w:rPr>
        <w:t> </w:t>
      </w:r>
      <w:r>
        <w:rPr/>
        <w:t>Australian Journal of Pharmacy podcast, Turning Point and Monash University social media and websites, and Pharmaceutical Society of Australia dissemination</w:t>
      </w:r>
      <w:r>
        <w:rPr>
          <w:spacing w:val="-32"/>
        </w:rPr>
        <w:t> </w:t>
      </w:r>
      <w:r>
        <w:rPr/>
        <w:t>channels.</w:t>
      </w:r>
    </w:p>
    <w:p>
      <w:pPr>
        <w:pStyle w:val="BodyText"/>
      </w:pPr>
    </w:p>
    <w:p>
      <w:pPr>
        <w:pStyle w:val="BodyText"/>
        <w:spacing w:before="1"/>
        <w:ind w:left="100" w:right="116"/>
        <w:jc w:val="both"/>
      </w:pPr>
      <w:r>
        <w:rPr/>
        <w:t>There could be an opportunity in the future to develop a brief training package to facilitate use of these materials, and to evaluate the impact of these materials on naloxone uptake in patients prescribed opioids for chronic pain. Similarly, inviting further feedback on the materials</w:t>
      </w:r>
      <w:r>
        <w:rPr>
          <w:spacing w:val="-8"/>
        </w:rPr>
        <w:t> </w:t>
      </w:r>
      <w:r>
        <w:rPr/>
        <w:t>once</w:t>
      </w:r>
      <w:r>
        <w:rPr>
          <w:spacing w:val="-7"/>
        </w:rPr>
        <w:t> </w:t>
      </w:r>
      <w:r>
        <w:rPr/>
        <w:t>pharmacists</w:t>
      </w:r>
      <w:r>
        <w:rPr>
          <w:spacing w:val="-8"/>
        </w:rPr>
        <w:t> </w:t>
      </w:r>
      <w:r>
        <w:rPr/>
        <w:t>have</w:t>
      </w:r>
      <w:r>
        <w:rPr>
          <w:spacing w:val="-7"/>
        </w:rPr>
        <w:t> </w:t>
      </w:r>
      <w:r>
        <w:rPr/>
        <w:t>had</w:t>
      </w:r>
      <w:r>
        <w:rPr>
          <w:spacing w:val="-8"/>
        </w:rPr>
        <w:t> </w:t>
      </w:r>
      <w:r>
        <w:rPr/>
        <w:t>an</w:t>
      </w:r>
      <w:r>
        <w:rPr>
          <w:spacing w:val="-8"/>
        </w:rPr>
        <w:t> </w:t>
      </w:r>
      <w:r>
        <w:rPr/>
        <w:t>opportunity</w:t>
      </w:r>
      <w:r>
        <w:rPr>
          <w:spacing w:val="-7"/>
        </w:rPr>
        <w:t> </w:t>
      </w:r>
      <w:r>
        <w:rPr/>
        <w:t>to</w:t>
      </w:r>
      <w:r>
        <w:rPr>
          <w:spacing w:val="-8"/>
        </w:rPr>
        <w:t> </w:t>
      </w:r>
      <w:r>
        <w:rPr/>
        <w:t>use</w:t>
      </w:r>
      <w:r>
        <w:rPr>
          <w:spacing w:val="-7"/>
        </w:rPr>
        <w:t> </w:t>
      </w:r>
      <w:r>
        <w:rPr/>
        <w:t>it</w:t>
      </w:r>
      <w:r>
        <w:rPr>
          <w:spacing w:val="-8"/>
        </w:rPr>
        <w:t> </w:t>
      </w:r>
      <w:r>
        <w:rPr/>
        <w:t>in</w:t>
      </w:r>
      <w:r>
        <w:rPr>
          <w:spacing w:val="-8"/>
        </w:rPr>
        <w:t> </w:t>
      </w:r>
      <w:r>
        <w:rPr/>
        <w:t>practice</w:t>
      </w:r>
      <w:r>
        <w:rPr>
          <w:spacing w:val="-8"/>
        </w:rPr>
        <w:t> </w:t>
      </w:r>
      <w:r>
        <w:rPr/>
        <w:t>would</w:t>
      </w:r>
      <w:r>
        <w:rPr>
          <w:spacing w:val="-8"/>
        </w:rPr>
        <w:t> </w:t>
      </w:r>
      <w:r>
        <w:rPr/>
        <w:t>also</w:t>
      </w:r>
      <w:r>
        <w:rPr>
          <w:spacing w:val="-8"/>
        </w:rPr>
        <w:t> </w:t>
      </w:r>
      <w:r>
        <w:rPr/>
        <w:t>be</w:t>
      </w:r>
      <w:r>
        <w:rPr>
          <w:spacing w:val="-7"/>
        </w:rPr>
        <w:t> </w:t>
      </w:r>
      <w:r>
        <w:rPr/>
        <w:t>useful and could inform future refinements to the</w:t>
      </w:r>
      <w:r>
        <w:rPr>
          <w:spacing w:val="-21"/>
        </w:rPr>
        <w:t> </w:t>
      </w:r>
      <w:r>
        <w:rPr/>
        <w:t>materials</w:t>
      </w:r>
    </w:p>
    <w:p>
      <w:pPr>
        <w:spacing w:after="0"/>
        <w:jc w:val="both"/>
        <w:sectPr>
          <w:pgSz w:w="11910" w:h="16840"/>
          <w:pgMar w:header="0" w:footer="1328" w:top="1500" w:bottom="1520" w:left="1340" w:right="1320"/>
        </w:sectPr>
      </w:pPr>
    </w:p>
    <w:p>
      <w:pPr>
        <w:pStyle w:val="Heading1"/>
        <w:jc w:val="left"/>
      </w:pPr>
      <w:bookmarkStart w:name="Reference list" w:id="20"/>
      <w:bookmarkEnd w:id="20"/>
      <w:r>
        <w:rPr>
          <w:b w:val="0"/>
        </w:rPr>
      </w:r>
      <w:bookmarkStart w:name="_bookmark7" w:id="21"/>
      <w:bookmarkEnd w:id="21"/>
      <w:r>
        <w:rPr>
          <w:b w:val="0"/>
        </w:rPr>
      </w:r>
      <w:r>
        <w:rPr>
          <w:color w:val="6C1C6C"/>
        </w:rPr>
        <w:t>Reference list</w:t>
      </w:r>
    </w:p>
    <w:p>
      <w:pPr>
        <w:pStyle w:val="BodyText"/>
        <w:spacing w:before="11"/>
        <w:rPr>
          <w:b/>
          <w:sz w:val="21"/>
        </w:rPr>
      </w:pPr>
    </w:p>
    <w:p>
      <w:pPr>
        <w:pStyle w:val="ListParagraph"/>
        <w:numPr>
          <w:ilvl w:val="1"/>
          <w:numId w:val="7"/>
        </w:numPr>
        <w:tabs>
          <w:tab w:pos="820" w:val="left" w:leader="none"/>
        </w:tabs>
        <w:spacing w:line="240" w:lineRule="auto" w:before="1" w:after="0"/>
        <w:ind w:left="820" w:right="1353" w:hanging="360"/>
        <w:jc w:val="left"/>
        <w:rPr>
          <w:color w:val="333333"/>
          <w:sz w:val="24"/>
        </w:rPr>
      </w:pPr>
      <w:r>
        <w:rPr>
          <w:sz w:val="24"/>
        </w:rPr>
        <w:t>Australian Institute of Health and Welfare. </w:t>
      </w:r>
      <w:r>
        <w:rPr>
          <w:i/>
          <w:sz w:val="24"/>
        </w:rPr>
        <w:t>Opioid harm in Australia: and </w:t>
      </w:r>
      <w:r>
        <w:rPr>
          <w:i/>
          <w:sz w:val="24"/>
        </w:rPr>
        <w:t>comparisons between Australia and Canada</w:t>
      </w:r>
      <w:r>
        <w:rPr>
          <w:sz w:val="24"/>
        </w:rPr>
        <w:t>. 2018. Available from: </w:t>
      </w:r>
      <w:hyperlink r:id="rId20">
        <w:r>
          <w:rPr>
            <w:color w:val="0000FF"/>
            <w:sz w:val="24"/>
            <w:u w:val="single" w:color="0000FF"/>
          </w:rPr>
          <w:t>https://www.aihw.gov.au/reports/illicit-use-of-drugs/opioid-harm-in- </w:t>
        </w:r>
      </w:hyperlink>
      <w:hyperlink r:id="rId20">
        <w:r>
          <w:rPr>
            <w:color w:val="0000FF"/>
            <w:sz w:val="24"/>
            <w:u w:val="single" w:color="0000FF"/>
          </w:rPr>
          <w:t>australia/contents/table-of-contents</w:t>
        </w:r>
      </w:hyperlink>
    </w:p>
    <w:p>
      <w:pPr>
        <w:pStyle w:val="BodyText"/>
        <w:spacing w:before="9"/>
        <w:rPr>
          <w:sz w:val="19"/>
        </w:rPr>
      </w:pPr>
    </w:p>
    <w:p>
      <w:pPr>
        <w:pStyle w:val="ListParagraph"/>
        <w:numPr>
          <w:ilvl w:val="1"/>
          <w:numId w:val="7"/>
        </w:numPr>
        <w:tabs>
          <w:tab w:pos="820" w:val="left" w:leader="none"/>
        </w:tabs>
        <w:spacing w:line="240" w:lineRule="auto" w:before="51" w:after="0"/>
        <w:ind w:left="820" w:right="149" w:hanging="360"/>
        <w:jc w:val="left"/>
        <w:rPr>
          <w:color w:val="333333"/>
          <w:sz w:val="24"/>
        </w:rPr>
      </w:pPr>
      <w:r>
        <w:rPr>
          <w:sz w:val="24"/>
        </w:rPr>
        <w:t>Nielsen S., Peacock A., Lintzeris N., Bruno R., Larance B., Degenhardt L. Knowledge of opioid overdose and attitudes to supply of take-home naloxone among people with chronic noncancer pain prescribed opioids. Pain Medicine. 2018 Mar</w:t>
      </w:r>
      <w:r>
        <w:rPr>
          <w:spacing w:val="-37"/>
          <w:sz w:val="24"/>
        </w:rPr>
        <w:t> </w:t>
      </w:r>
      <w:r>
        <w:rPr>
          <w:sz w:val="24"/>
        </w:rPr>
        <w:t>1;19(3):533-40.</w:t>
      </w:r>
    </w:p>
    <w:p>
      <w:pPr>
        <w:pStyle w:val="BodyText"/>
        <w:spacing w:before="11"/>
        <w:rPr>
          <w:sz w:val="23"/>
        </w:rPr>
      </w:pPr>
    </w:p>
    <w:p>
      <w:pPr>
        <w:pStyle w:val="ListParagraph"/>
        <w:numPr>
          <w:ilvl w:val="1"/>
          <w:numId w:val="7"/>
        </w:numPr>
        <w:tabs>
          <w:tab w:pos="820" w:val="left" w:leader="none"/>
        </w:tabs>
        <w:spacing w:line="240" w:lineRule="auto" w:before="0" w:after="0"/>
        <w:ind w:left="820" w:right="139" w:hanging="360"/>
        <w:jc w:val="left"/>
        <w:rPr>
          <w:color w:val="333333"/>
          <w:sz w:val="24"/>
        </w:rPr>
      </w:pPr>
      <w:r>
        <w:rPr>
          <w:sz w:val="24"/>
        </w:rPr>
        <w:t>McMaugh, C. Clinical tips: naloxone [Internet]. Australian Journal of Pharmacy. 2019. Available from:</w:t>
      </w:r>
      <w:r>
        <w:rPr>
          <w:spacing w:val="-37"/>
          <w:sz w:val="24"/>
        </w:rPr>
        <w:t> </w:t>
      </w:r>
      <w:hyperlink r:id="rId21">
        <w:r>
          <w:rPr>
            <w:color w:val="0000FF"/>
            <w:sz w:val="24"/>
            <w:u w:val="single" w:color="0000FF"/>
          </w:rPr>
          <w:t>https://ajp.com.au/columns/clinical-tips/clinical-tips-naloxone/</w:t>
        </w:r>
      </w:hyperlink>
    </w:p>
    <w:p>
      <w:pPr>
        <w:pStyle w:val="BodyText"/>
        <w:spacing w:before="9"/>
        <w:rPr>
          <w:sz w:val="19"/>
        </w:rPr>
      </w:pPr>
    </w:p>
    <w:p>
      <w:pPr>
        <w:pStyle w:val="ListParagraph"/>
        <w:numPr>
          <w:ilvl w:val="1"/>
          <w:numId w:val="7"/>
        </w:numPr>
        <w:tabs>
          <w:tab w:pos="820" w:val="left" w:leader="none"/>
        </w:tabs>
        <w:spacing w:line="240" w:lineRule="auto" w:before="51" w:after="0"/>
        <w:ind w:left="820" w:right="180" w:hanging="360"/>
        <w:jc w:val="left"/>
        <w:rPr>
          <w:sz w:val="24"/>
        </w:rPr>
      </w:pPr>
      <w:r>
        <w:rPr>
          <w:sz w:val="24"/>
        </w:rPr>
        <w:t>Johnson J. Advancing your practice: Recognising and managing opioid overdose in the community: A key role for pharmacists. AJP: The Australian Journal of Pharmacy. 2019</w:t>
      </w:r>
      <w:r>
        <w:rPr>
          <w:spacing w:val="-13"/>
          <w:sz w:val="24"/>
        </w:rPr>
        <w:t> </w:t>
      </w:r>
      <w:r>
        <w:rPr>
          <w:sz w:val="24"/>
        </w:rPr>
        <w:t>Jul;100(1185):62.</w:t>
      </w:r>
    </w:p>
    <w:p>
      <w:pPr>
        <w:pStyle w:val="BodyText"/>
        <w:spacing w:before="11"/>
        <w:rPr>
          <w:sz w:val="23"/>
        </w:rPr>
      </w:pPr>
    </w:p>
    <w:p>
      <w:pPr>
        <w:pStyle w:val="ListParagraph"/>
        <w:numPr>
          <w:ilvl w:val="1"/>
          <w:numId w:val="7"/>
        </w:numPr>
        <w:tabs>
          <w:tab w:pos="820" w:val="left" w:leader="none"/>
        </w:tabs>
        <w:spacing w:line="240" w:lineRule="auto" w:before="0" w:after="0"/>
        <w:ind w:left="820" w:right="768" w:hanging="360"/>
        <w:jc w:val="both"/>
        <w:rPr>
          <w:sz w:val="24"/>
        </w:rPr>
      </w:pPr>
      <w:r>
        <w:rPr>
          <w:sz w:val="24"/>
        </w:rPr>
        <w:t>Pharmaceutical Society of Australia. </w:t>
      </w:r>
      <w:r>
        <w:rPr>
          <w:i/>
          <w:sz w:val="24"/>
        </w:rPr>
        <w:t>Guidance for provision of Pharmacist Only </w:t>
      </w:r>
      <w:r>
        <w:rPr>
          <w:i/>
          <w:sz w:val="24"/>
        </w:rPr>
        <w:t>Medicine</w:t>
      </w:r>
      <w:r>
        <w:rPr>
          <w:sz w:val="24"/>
        </w:rPr>
        <w:t>. 2017. Available from</w:t>
      </w:r>
      <w:r>
        <w:rPr>
          <w:color w:val="333333"/>
          <w:sz w:val="24"/>
        </w:rPr>
        <w:t>: </w:t>
      </w:r>
      <w:hyperlink r:id="rId22">
        <w:r>
          <w:rPr>
            <w:color w:val="0000FF"/>
            <w:sz w:val="24"/>
            <w:u w:val="single" w:color="0000FF"/>
          </w:rPr>
          <w:t>https://my.psa.org.au/s/article/Naloxone-S3- </w:t>
        </w:r>
      </w:hyperlink>
      <w:hyperlink r:id="rId22">
        <w:r>
          <w:rPr>
            <w:color w:val="0000FF"/>
            <w:sz w:val="24"/>
            <w:u w:val="single" w:color="0000FF"/>
          </w:rPr>
          <w:t>guidance-document</w:t>
        </w:r>
      </w:hyperlink>
    </w:p>
    <w:p>
      <w:pPr>
        <w:pStyle w:val="BodyText"/>
        <w:spacing w:before="8"/>
        <w:rPr>
          <w:sz w:val="19"/>
        </w:rPr>
      </w:pPr>
    </w:p>
    <w:p>
      <w:pPr>
        <w:pStyle w:val="ListParagraph"/>
        <w:numPr>
          <w:ilvl w:val="1"/>
          <w:numId w:val="7"/>
        </w:numPr>
        <w:tabs>
          <w:tab w:pos="820" w:val="left" w:leader="none"/>
        </w:tabs>
        <w:spacing w:line="240" w:lineRule="auto" w:before="52" w:after="0"/>
        <w:ind w:left="820" w:right="816" w:hanging="360"/>
        <w:jc w:val="left"/>
        <w:rPr>
          <w:sz w:val="24"/>
        </w:rPr>
      </w:pPr>
      <w:r>
        <w:rPr>
          <w:sz w:val="24"/>
        </w:rPr>
        <w:t>NSW Health. </w:t>
      </w:r>
      <w:r>
        <w:rPr>
          <w:i/>
          <w:sz w:val="24"/>
        </w:rPr>
        <w:t>Opioid Overdose Response &amp; Take Home Naloxone Policy</w:t>
      </w:r>
      <w:r>
        <w:rPr>
          <w:sz w:val="24"/>
        </w:rPr>
        <w:t>. 2019. Available from: </w:t>
      </w:r>
      <w:hyperlink r:id="rId23">
        <w:r>
          <w:rPr>
            <w:color w:val="0000FF"/>
            <w:spacing w:val="-1"/>
            <w:sz w:val="24"/>
            <w:u w:val="single" w:color="0000FF"/>
          </w:rPr>
          <w:t>https://www1.health.nsw.gov.au/pds/ActivePDSDocuments/PD2019_036.pdf</w:t>
        </w:r>
      </w:hyperlink>
    </w:p>
    <w:p>
      <w:pPr>
        <w:pStyle w:val="BodyText"/>
        <w:spacing w:before="8"/>
        <w:rPr>
          <w:sz w:val="19"/>
        </w:rPr>
      </w:pPr>
    </w:p>
    <w:p>
      <w:pPr>
        <w:pStyle w:val="ListParagraph"/>
        <w:numPr>
          <w:ilvl w:val="1"/>
          <w:numId w:val="7"/>
        </w:numPr>
        <w:tabs>
          <w:tab w:pos="820" w:val="left" w:leader="none"/>
        </w:tabs>
        <w:spacing w:line="240" w:lineRule="auto" w:before="52" w:after="0"/>
        <w:ind w:left="820" w:right="236" w:hanging="360"/>
        <w:jc w:val="left"/>
        <w:rPr>
          <w:sz w:val="24"/>
        </w:rPr>
      </w:pPr>
      <w:r>
        <w:rPr>
          <w:sz w:val="24"/>
        </w:rPr>
        <w:t>Penington Institute. Fact Sheet: </w:t>
      </w:r>
      <w:r>
        <w:rPr>
          <w:i/>
          <w:sz w:val="24"/>
        </w:rPr>
        <w:t>Talking to patients about naloxone</w:t>
      </w:r>
      <w:r>
        <w:rPr>
          <w:sz w:val="24"/>
        </w:rPr>
        <w:t>. [Internet] 2010. Available from: </w:t>
      </w:r>
      <w:hyperlink r:id="rId24">
        <w:r>
          <w:rPr>
            <w:color w:val="0000FF"/>
            <w:sz w:val="24"/>
            <w:u w:val="single" w:color="0000FF"/>
          </w:rPr>
          <w:t>http://www.penington.org.au/wp- </w:t>
        </w:r>
      </w:hyperlink>
      <w:hyperlink r:id="rId24">
        <w:r>
          <w:rPr>
            <w:color w:val="0000FF"/>
            <w:sz w:val="24"/>
            <w:u w:val="single" w:color="0000FF"/>
          </w:rPr>
          <w:t>content/uploads/2019/08/TalkingToPatientsAboutNaloxone.pdf</w:t>
        </w:r>
      </w:hyperlink>
    </w:p>
    <w:p>
      <w:pPr>
        <w:pStyle w:val="BodyText"/>
        <w:spacing w:before="10"/>
        <w:rPr>
          <w:sz w:val="19"/>
        </w:rPr>
      </w:pPr>
    </w:p>
    <w:p>
      <w:pPr>
        <w:pStyle w:val="ListParagraph"/>
        <w:numPr>
          <w:ilvl w:val="1"/>
          <w:numId w:val="7"/>
        </w:numPr>
        <w:tabs>
          <w:tab w:pos="820" w:val="left" w:leader="none"/>
        </w:tabs>
        <w:spacing w:line="240" w:lineRule="auto" w:before="51" w:after="0"/>
        <w:ind w:left="820" w:right="167" w:hanging="360"/>
        <w:jc w:val="left"/>
        <w:rPr>
          <w:sz w:val="24"/>
        </w:rPr>
      </w:pPr>
      <w:r>
        <w:rPr>
          <w:sz w:val="24"/>
        </w:rPr>
        <w:t>SA Health. </w:t>
      </w:r>
      <w:r>
        <w:rPr>
          <w:i/>
          <w:sz w:val="24"/>
        </w:rPr>
        <w:t>Overdose prevention and response including naloxone: Brief advice for </w:t>
      </w:r>
      <w:r>
        <w:rPr>
          <w:i/>
          <w:sz w:val="24"/>
        </w:rPr>
        <w:t>clients</w:t>
      </w:r>
      <w:r>
        <w:rPr>
          <w:sz w:val="24"/>
        </w:rPr>
        <w:t>. 2019. Available from: </w:t>
      </w:r>
      <w:hyperlink r:id="rId25">
        <w:r>
          <w:rPr>
            <w:color w:val="0000FF"/>
            <w:spacing w:val="-1"/>
            <w:sz w:val="24"/>
            <w:u w:val="single" w:color="0000FF"/>
          </w:rPr>
          <w:t>https://www.sahealth.sa.gov.au/wps/wcm/connect/45c8c7004cb4faf4965c9eb8c79 </w:t>
        </w:r>
      </w:hyperlink>
      <w:hyperlink r:id="rId25">
        <w:r>
          <w:rPr>
            <w:color w:val="0000FF"/>
            <w:sz w:val="24"/>
            <w:u w:val="single" w:color="0000FF"/>
          </w:rPr>
          <w:t>1be56/Naloxone+-+Brief+advice+-</w:t>
        </w:r>
      </w:hyperlink>
    </w:p>
    <w:p>
      <w:pPr>
        <w:pStyle w:val="BodyText"/>
        <w:ind w:left="820" w:right="161"/>
      </w:pPr>
      <w:hyperlink r:id="rId25">
        <w:r>
          <w:rPr>
            <w:color w:val="0000FF"/>
            <w:u w:val="single" w:color="0000FF"/>
          </w:rPr>
          <w:t>+Guide+for+workers+revised+10+January+2019+FINAL+approved.pdf?MOD=AJPERE</w:t>
        </w:r>
      </w:hyperlink>
      <w:r>
        <w:rPr>
          <w:color w:val="0000FF"/>
          <w:u w:val="single" w:color="0000FF"/>
        </w:rPr>
        <w:t> </w:t>
      </w:r>
      <w:hyperlink r:id="rId25">
        <w:r>
          <w:rPr>
            <w:color w:val="0000FF"/>
            <w:u w:val="single" w:color="0000FF"/>
          </w:rPr>
          <w:t>S&amp;amp;CACHEID=ROOTWORKSPACE-45c8c7004cb4faf4965c9eb8c791be56-</w:t>
        </w:r>
      </w:hyperlink>
    </w:p>
    <w:p>
      <w:pPr>
        <w:pStyle w:val="BodyText"/>
        <w:ind w:left="820"/>
      </w:pPr>
      <w:hyperlink r:id="rId25">
        <w:r>
          <w:rPr>
            <w:color w:val="0000FF"/>
            <w:u w:val="single" w:color="0000FF"/>
          </w:rPr>
          <w:t>mN5HmHz</w:t>
        </w:r>
      </w:hyperlink>
    </w:p>
    <w:p>
      <w:pPr>
        <w:pStyle w:val="BodyText"/>
        <w:spacing w:before="9"/>
        <w:rPr>
          <w:sz w:val="19"/>
        </w:rPr>
      </w:pPr>
    </w:p>
    <w:p>
      <w:pPr>
        <w:pStyle w:val="ListParagraph"/>
        <w:numPr>
          <w:ilvl w:val="1"/>
          <w:numId w:val="7"/>
        </w:numPr>
        <w:tabs>
          <w:tab w:pos="820" w:val="left" w:leader="none"/>
        </w:tabs>
        <w:spacing w:line="240" w:lineRule="auto" w:before="52" w:after="0"/>
        <w:ind w:left="820" w:right="658" w:hanging="360"/>
        <w:jc w:val="left"/>
        <w:rPr>
          <w:sz w:val="24"/>
        </w:rPr>
      </w:pPr>
      <w:r>
        <w:rPr>
          <w:sz w:val="24"/>
        </w:rPr>
        <w:t>NPS Medicinewise. </w:t>
      </w:r>
      <w:r>
        <w:rPr>
          <w:i/>
          <w:sz w:val="24"/>
        </w:rPr>
        <w:t>Opioids, chronic pain and the bigger picture</w:t>
      </w:r>
      <w:r>
        <w:rPr>
          <w:sz w:val="24"/>
        </w:rPr>
        <w:t>. 2020. Available from</w:t>
      </w:r>
      <w:r>
        <w:rPr>
          <w:color w:val="333333"/>
          <w:sz w:val="24"/>
        </w:rPr>
        <w:t>:</w:t>
      </w:r>
      <w:r>
        <w:rPr>
          <w:color w:val="333333"/>
          <w:spacing w:val="-32"/>
          <w:sz w:val="24"/>
        </w:rPr>
        <w:t> </w:t>
      </w:r>
      <w:hyperlink r:id="rId26">
        <w:r>
          <w:rPr>
            <w:color w:val="0000FF"/>
            <w:sz w:val="24"/>
            <w:u w:val="single" w:color="0000FF"/>
          </w:rPr>
          <w:t>https://www.nps.org.au/professionals/opioids-chronic-pain</w:t>
        </w:r>
      </w:hyperlink>
    </w:p>
    <w:p>
      <w:pPr>
        <w:pStyle w:val="BodyText"/>
        <w:spacing w:before="6"/>
        <w:rPr>
          <w:sz w:val="17"/>
        </w:rPr>
      </w:pPr>
    </w:p>
    <w:p>
      <w:pPr>
        <w:spacing w:before="56"/>
        <w:ind w:left="100" w:right="0" w:firstLine="0"/>
        <w:jc w:val="left"/>
        <w:rPr>
          <w:sz w:val="22"/>
        </w:rPr>
      </w:pPr>
      <w:r>
        <w:rPr>
          <w:w w:val="99"/>
          <w:sz w:val="22"/>
        </w:rPr>
        <w:t>.</w:t>
      </w:r>
    </w:p>
    <w:p>
      <w:pPr>
        <w:spacing w:after="0"/>
        <w:jc w:val="left"/>
        <w:rPr>
          <w:sz w:val="22"/>
        </w:rPr>
        <w:sectPr>
          <w:pgSz w:w="11910" w:h="16840"/>
          <w:pgMar w:header="0" w:footer="1328" w:top="1500" w:bottom="1520" w:left="1340" w:right="1340"/>
        </w:sectPr>
      </w:pPr>
    </w:p>
    <w:p>
      <w:pPr>
        <w:pStyle w:val="BodyText"/>
        <w:rPr>
          <w:sz w:val="20"/>
        </w:rPr>
      </w:pPr>
    </w:p>
    <w:p>
      <w:pPr>
        <w:pStyle w:val="BodyText"/>
        <w:rPr>
          <w:sz w:val="20"/>
        </w:rPr>
      </w:pPr>
    </w:p>
    <w:p>
      <w:pPr>
        <w:pStyle w:val="BodyText"/>
        <w:rPr>
          <w:sz w:val="20"/>
        </w:rPr>
      </w:pPr>
    </w:p>
    <w:p>
      <w:pPr>
        <w:pStyle w:val="Heading1"/>
        <w:spacing w:before="178"/>
        <w:ind w:left="420" w:right="399"/>
        <w:jc w:val="left"/>
      </w:pPr>
      <w:bookmarkStart w:name="Appendix 1: Review of pharmacist trainin" w:id="22"/>
      <w:bookmarkEnd w:id="22"/>
      <w:r>
        <w:rPr>
          <w:b w:val="0"/>
        </w:rPr>
      </w:r>
      <w:bookmarkStart w:name="_bookmark8" w:id="23"/>
      <w:bookmarkEnd w:id="23"/>
      <w:r>
        <w:rPr>
          <w:b w:val="0"/>
        </w:rPr>
      </w:r>
      <w:r>
        <w:rPr>
          <w:color w:val="6C1C6C"/>
        </w:rPr>
        <w:t>Appendix 1: Review of pharmacist training materials/information/guidelines on overdose prevention (naloxone provision) for people prescribed opioids for chronic pain</w:t>
      </w:r>
    </w:p>
    <w:p>
      <w:pPr>
        <w:pStyle w:val="BodyText"/>
        <w:rPr>
          <w:b/>
          <w:sz w:val="28"/>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3"/>
        <w:gridCol w:w="1724"/>
        <w:gridCol w:w="1145"/>
        <w:gridCol w:w="991"/>
        <w:gridCol w:w="2696"/>
        <w:gridCol w:w="1132"/>
        <w:gridCol w:w="994"/>
        <w:gridCol w:w="1277"/>
        <w:gridCol w:w="1556"/>
        <w:gridCol w:w="2351"/>
      </w:tblGrid>
      <w:tr>
        <w:trPr>
          <w:trHeight w:val="3672" w:hRule="exact"/>
        </w:trPr>
        <w:tc>
          <w:tcPr>
            <w:tcW w:w="2123" w:type="dxa"/>
          </w:tcPr>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spacing w:before="11"/>
              <w:ind w:left="0"/>
              <w:rPr>
                <w:b/>
                <w:sz w:val="19"/>
              </w:rPr>
            </w:pPr>
          </w:p>
          <w:p>
            <w:pPr>
              <w:pStyle w:val="TableParagraph"/>
              <w:ind w:left="852" w:right="852"/>
              <w:jc w:val="center"/>
              <w:rPr>
                <w:b/>
                <w:sz w:val="20"/>
              </w:rPr>
            </w:pPr>
            <w:r>
              <w:rPr>
                <w:b/>
                <w:sz w:val="20"/>
              </w:rPr>
              <w:t>Title</w:t>
            </w:r>
          </w:p>
        </w:tc>
        <w:tc>
          <w:tcPr>
            <w:tcW w:w="1724" w:type="dxa"/>
          </w:tcPr>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spacing w:before="11"/>
              <w:ind w:left="0"/>
              <w:rPr>
                <w:b/>
                <w:sz w:val="19"/>
              </w:rPr>
            </w:pPr>
          </w:p>
          <w:p>
            <w:pPr>
              <w:pStyle w:val="TableParagraph"/>
              <w:ind w:left="322" w:right="304" w:firstLine="199"/>
              <w:rPr>
                <w:b/>
                <w:sz w:val="20"/>
              </w:rPr>
            </w:pPr>
            <w:r>
              <w:rPr>
                <w:b/>
                <w:sz w:val="20"/>
              </w:rPr>
              <w:t>Author/ Organisation</w:t>
            </w:r>
          </w:p>
        </w:tc>
        <w:tc>
          <w:tcPr>
            <w:tcW w:w="1145" w:type="dxa"/>
          </w:tcPr>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159" w:right="158" w:hanging="1"/>
              <w:jc w:val="center"/>
              <w:rPr>
                <w:sz w:val="20"/>
              </w:rPr>
            </w:pPr>
            <w:r>
              <w:rPr>
                <w:b/>
                <w:sz w:val="20"/>
              </w:rPr>
              <w:t>Date published </w:t>
            </w:r>
            <w:r>
              <w:rPr>
                <w:sz w:val="20"/>
              </w:rPr>
              <w:t>(if    available)</w:t>
            </w:r>
          </w:p>
        </w:tc>
        <w:tc>
          <w:tcPr>
            <w:tcW w:w="991" w:type="dxa"/>
          </w:tcPr>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spacing w:before="11"/>
              <w:ind w:left="0"/>
              <w:rPr>
                <w:b/>
                <w:sz w:val="19"/>
              </w:rPr>
            </w:pPr>
          </w:p>
          <w:p>
            <w:pPr>
              <w:pStyle w:val="TableParagraph"/>
              <w:ind w:left="158" w:right="140" w:firstLine="90"/>
              <w:rPr>
                <w:b/>
                <w:sz w:val="20"/>
              </w:rPr>
            </w:pPr>
            <w:r>
              <w:rPr>
                <w:b/>
                <w:sz w:val="20"/>
              </w:rPr>
              <w:t>State, Country</w:t>
            </w:r>
          </w:p>
        </w:tc>
        <w:tc>
          <w:tcPr>
            <w:tcW w:w="2696" w:type="dxa"/>
          </w:tcPr>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1155" w:right="1154"/>
              <w:jc w:val="center"/>
              <w:rPr>
                <w:b/>
                <w:sz w:val="20"/>
              </w:rPr>
            </w:pPr>
            <w:r>
              <w:rPr>
                <w:b/>
                <w:sz w:val="20"/>
              </w:rPr>
              <w:t>Link</w:t>
            </w:r>
          </w:p>
        </w:tc>
        <w:tc>
          <w:tcPr>
            <w:tcW w:w="1132" w:type="dxa"/>
          </w:tcPr>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spacing w:before="11"/>
              <w:ind w:left="0"/>
              <w:rPr>
                <w:b/>
                <w:sz w:val="19"/>
              </w:rPr>
            </w:pPr>
          </w:p>
          <w:p>
            <w:pPr>
              <w:pStyle w:val="TableParagraph"/>
              <w:ind w:left="178" w:right="159" w:firstLine="184"/>
              <w:rPr>
                <w:b/>
                <w:sz w:val="20"/>
              </w:rPr>
            </w:pPr>
            <w:r>
              <w:rPr>
                <w:b/>
                <w:sz w:val="20"/>
              </w:rPr>
              <w:t>Date retrieved</w:t>
            </w:r>
          </w:p>
        </w:tc>
        <w:tc>
          <w:tcPr>
            <w:tcW w:w="994" w:type="dxa"/>
          </w:tcPr>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251"/>
              <w:rPr>
                <w:b/>
                <w:sz w:val="20"/>
              </w:rPr>
            </w:pPr>
            <w:r>
              <w:rPr>
                <w:b/>
                <w:sz w:val="20"/>
              </w:rPr>
              <w:t>Pages</w:t>
            </w:r>
          </w:p>
        </w:tc>
        <w:tc>
          <w:tcPr>
            <w:tcW w:w="1277" w:type="dxa"/>
          </w:tcPr>
          <w:p>
            <w:pPr>
              <w:pStyle w:val="TableParagraph"/>
              <w:ind w:left="0"/>
              <w:rPr>
                <w:b/>
                <w:sz w:val="20"/>
              </w:rPr>
            </w:pPr>
          </w:p>
          <w:p>
            <w:pPr>
              <w:pStyle w:val="TableParagraph"/>
              <w:ind w:left="0"/>
              <w:rPr>
                <w:b/>
                <w:sz w:val="20"/>
              </w:rPr>
            </w:pPr>
          </w:p>
          <w:p>
            <w:pPr>
              <w:pStyle w:val="TableParagraph"/>
              <w:spacing w:before="12"/>
              <w:ind w:left="0"/>
              <w:rPr>
                <w:b/>
                <w:sz w:val="19"/>
              </w:rPr>
            </w:pPr>
          </w:p>
          <w:p>
            <w:pPr>
              <w:pStyle w:val="TableParagraph"/>
              <w:spacing w:line="244" w:lineRule="exact"/>
              <w:ind w:left="332"/>
              <w:rPr>
                <w:b/>
                <w:sz w:val="20"/>
              </w:rPr>
            </w:pPr>
            <w:r>
              <w:rPr>
                <w:b/>
                <w:sz w:val="20"/>
              </w:rPr>
              <w:t>Format</w:t>
            </w:r>
          </w:p>
          <w:p>
            <w:pPr>
              <w:pStyle w:val="TableParagraph"/>
              <w:numPr>
                <w:ilvl w:val="0"/>
                <w:numId w:val="8"/>
              </w:numPr>
              <w:tabs>
                <w:tab w:pos="414" w:val="left" w:leader="none"/>
              </w:tabs>
              <w:spacing w:line="240" w:lineRule="auto" w:before="0" w:after="0"/>
              <w:ind w:left="220" w:right="219" w:hanging="3"/>
              <w:jc w:val="left"/>
              <w:rPr>
                <w:sz w:val="20"/>
              </w:rPr>
            </w:pPr>
            <w:r>
              <w:rPr>
                <w:spacing w:val="-1"/>
                <w:sz w:val="20"/>
              </w:rPr>
              <w:t>Written guidelines</w:t>
            </w:r>
          </w:p>
          <w:p>
            <w:pPr>
              <w:pStyle w:val="TableParagraph"/>
              <w:numPr>
                <w:ilvl w:val="0"/>
                <w:numId w:val="8"/>
              </w:numPr>
              <w:tabs>
                <w:tab w:pos="469" w:val="left" w:leader="none"/>
              </w:tabs>
              <w:spacing w:line="240" w:lineRule="auto" w:before="0" w:after="0"/>
              <w:ind w:left="556" w:right="269" w:hanging="286"/>
              <w:jc w:val="left"/>
              <w:rPr>
                <w:sz w:val="20"/>
              </w:rPr>
            </w:pPr>
            <w:r>
              <w:rPr>
                <w:spacing w:val="-1"/>
                <w:sz w:val="20"/>
              </w:rPr>
              <w:t>Article </w:t>
            </w:r>
            <w:r>
              <w:rPr>
                <w:sz w:val="20"/>
              </w:rPr>
              <w:t>3.</w:t>
            </w:r>
          </w:p>
          <w:p>
            <w:pPr>
              <w:pStyle w:val="TableParagraph"/>
              <w:ind w:left="115" w:right="114" w:hanging="2"/>
              <w:jc w:val="center"/>
              <w:rPr>
                <w:sz w:val="20"/>
              </w:rPr>
            </w:pPr>
            <w:r>
              <w:rPr>
                <w:sz w:val="20"/>
              </w:rPr>
              <w:t>Information on a website</w:t>
            </w:r>
          </w:p>
          <w:p>
            <w:pPr>
              <w:pStyle w:val="TableParagraph"/>
              <w:numPr>
                <w:ilvl w:val="0"/>
                <w:numId w:val="9"/>
              </w:numPr>
              <w:tabs>
                <w:tab w:pos="357" w:val="left" w:leader="none"/>
              </w:tabs>
              <w:spacing w:line="240" w:lineRule="auto" w:before="0" w:after="0"/>
              <w:ind w:left="312" w:right="159" w:hanging="153"/>
              <w:jc w:val="left"/>
              <w:rPr>
                <w:sz w:val="20"/>
              </w:rPr>
            </w:pPr>
            <w:r>
              <w:rPr>
                <w:spacing w:val="-1"/>
                <w:sz w:val="20"/>
              </w:rPr>
              <w:t>Webinar, </w:t>
            </w:r>
            <w:r>
              <w:rPr>
                <w:sz w:val="20"/>
              </w:rPr>
              <w:t>video, podcast</w:t>
            </w:r>
          </w:p>
          <w:p>
            <w:pPr>
              <w:pStyle w:val="TableParagraph"/>
              <w:numPr>
                <w:ilvl w:val="0"/>
                <w:numId w:val="9"/>
              </w:numPr>
              <w:tabs>
                <w:tab w:pos="402" w:val="left" w:leader="none"/>
              </w:tabs>
              <w:spacing w:line="240" w:lineRule="auto" w:before="0" w:after="0"/>
              <w:ind w:left="300" w:right="205" w:hanging="96"/>
              <w:jc w:val="left"/>
              <w:rPr>
                <w:sz w:val="20"/>
              </w:rPr>
            </w:pPr>
            <w:r>
              <w:rPr>
                <w:spacing w:val="-1"/>
                <w:sz w:val="20"/>
              </w:rPr>
              <w:t>Training </w:t>
            </w:r>
            <w:r>
              <w:rPr>
                <w:sz w:val="20"/>
              </w:rPr>
              <w:t>package</w:t>
            </w:r>
          </w:p>
        </w:tc>
        <w:tc>
          <w:tcPr>
            <w:tcW w:w="1556" w:type="dxa"/>
          </w:tcPr>
          <w:p>
            <w:pPr>
              <w:pStyle w:val="TableParagraph"/>
              <w:spacing w:before="12"/>
              <w:ind w:left="0"/>
              <w:rPr>
                <w:b/>
                <w:sz w:val="19"/>
              </w:rPr>
            </w:pPr>
          </w:p>
          <w:p>
            <w:pPr>
              <w:pStyle w:val="TableParagraph"/>
              <w:ind w:left="135" w:right="133"/>
              <w:jc w:val="center"/>
              <w:rPr>
                <w:b/>
                <w:sz w:val="20"/>
              </w:rPr>
            </w:pPr>
            <w:r>
              <w:rPr>
                <w:b/>
                <w:sz w:val="20"/>
              </w:rPr>
              <w:t>Focus</w:t>
            </w:r>
          </w:p>
          <w:p>
            <w:pPr>
              <w:pStyle w:val="TableParagraph"/>
              <w:numPr>
                <w:ilvl w:val="0"/>
                <w:numId w:val="10"/>
              </w:numPr>
              <w:tabs>
                <w:tab w:pos="593" w:val="left" w:leader="none"/>
              </w:tabs>
              <w:spacing w:line="240" w:lineRule="auto" w:before="0" w:after="0"/>
              <w:ind w:left="249" w:right="245" w:firstLine="145"/>
              <w:jc w:val="both"/>
              <w:rPr>
                <w:sz w:val="20"/>
              </w:rPr>
            </w:pPr>
            <w:r>
              <w:rPr>
                <w:sz w:val="20"/>
              </w:rPr>
              <w:t>People prescribed opioids for chronic</w:t>
            </w:r>
            <w:r>
              <w:rPr>
                <w:spacing w:val="-4"/>
                <w:sz w:val="20"/>
              </w:rPr>
              <w:t> </w:t>
            </w:r>
            <w:r>
              <w:rPr>
                <w:sz w:val="20"/>
              </w:rPr>
              <w:t>pain.</w:t>
            </w:r>
          </w:p>
          <w:p>
            <w:pPr>
              <w:pStyle w:val="TableParagraph"/>
              <w:numPr>
                <w:ilvl w:val="0"/>
                <w:numId w:val="10"/>
              </w:numPr>
              <w:tabs>
                <w:tab w:pos="394" w:val="left" w:leader="none"/>
              </w:tabs>
              <w:spacing w:line="240" w:lineRule="auto" w:before="0" w:after="0"/>
              <w:ind w:left="234" w:right="193" w:hanging="39"/>
              <w:jc w:val="left"/>
              <w:rPr>
                <w:sz w:val="20"/>
              </w:rPr>
            </w:pPr>
            <w:r>
              <w:rPr>
                <w:sz w:val="20"/>
              </w:rPr>
              <w:t>People who use heroin</w:t>
            </w:r>
            <w:r>
              <w:rPr>
                <w:spacing w:val="-5"/>
                <w:sz w:val="20"/>
              </w:rPr>
              <w:t> </w:t>
            </w:r>
            <w:r>
              <w:rPr>
                <w:sz w:val="20"/>
              </w:rPr>
              <w:t>or</w:t>
            </w:r>
          </w:p>
          <w:p>
            <w:pPr>
              <w:pStyle w:val="TableParagraph"/>
              <w:ind w:left="135" w:right="133"/>
              <w:jc w:val="center"/>
              <w:rPr>
                <w:sz w:val="20"/>
              </w:rPr>
            </w:pPr>
            <w:r>
              <w:rPr>
                <w:sz w:val="20"/>
              </w:rPr>
              <w:t>opioid substitution therapy (e.g. methadone, buprenorphine, suboxone etc.)</w:t>
            </w:r>
          </w:p>
          <w:p>
            <w:pPr>
              <w:pStyle w:val="TableParagraph"/>
              <w:numPr>
                <w:ilvl w:val="0"/>
                <w:numId w:val="10"/>
              </w:numPr>
              <w:tabs>
                <w:tab w:pos="371" w:val="left" w:leader="none"/>
              </w:tabs>
              <w:spacing w:line="244" w:lineRule="exact" w:before="0" w:after="0"/>
              <w:ind w:left="370" w:right="0" w:hanging="198"/>
              <w:jc w:val="left"/>
              <w:rPr>
                <w:sz w:val="20"/>
              </w:rPr>
            </w:pPr>
            <w:r>
              <w:rPr>
                <w:sz w:val="20"/>
              </w:rPr>
              <w:t>Non-specific</w:t>
            </w:r>
          </w:p>
        </w:tc>
        <w:tc>
          <w:tcPr>
            <w:tcW w:w="2351" w:type="dxa"/>
          </w:tcPr>
          <w:p>
            <w:pPr>
              <w:pStyle w:val="TableParagraph"/>
              <w:spacing w:line="244" w:lineRule="exact"/>
              <w:ind w:left="589"/>
              <w:rPr>
                <w:b/>
                <w:sz w:val="20"/>
              </w:rPr>
            </w:pPr>
            <w:r>
              <w:rPr>
                <w:b/>
                <w:sz w:val="20"/>
              </w:rPr>
              <w:t>Content areas</w:t>
            </w:r>
          </w:p>
          <w:p>
            <w:pPr>
              <w:pStyle w:val="TableParagraph"/>
              <w:numPr>
                <w:ilvl w:val="0"/>
                <w:numId w:val="11"/>
              </w:numPr>
              <w:tabs>
                <w:tab w:pos="464" w:val="left" w:leader="none"/>
                <w:tab w:pos="465" w:val="left" w:leader="none"/>
              </w:tabs>
              <w:spacing w:line="244" w:lineRule="exact" w:before="0" w:after="0"/>
              <w:ind w:left="693" w:right="0" w:hanging="589"/>
              <w:jc w:val="left"/>
              <w:rPr>
                <w:sz w:val="20"/>
              </w:rPr>
            </w:pPr>
            <w:r>
              <w:rPr>
                <w:sz w:val="20"/>
              </w:rPr>
              <w:t>Risk factors for</w:t>
            </w:r>
            <w:r>
              <w:rPr>
                <w:spacing w:val="-11"/>
                <w:sz w:val="20"/>
              </w:rPr>
              <w:t> </w:t>
            </w:r>
            <w:r>
              <w:rPr>
                <w:sz w:val="20"/>
              </w:rPr>
              <w:t>opioid</w:t>
            </w:r>
          </w:p>
          <w:p>
            <w:pPr>
              <w:pStyle w:val="TableParagraph"/>
              <w:spacing w:line="244" w:lineRule="exact" w:before="1"/>
              <w:ind w:left="973"/>
              <w:rPr>
                <w:sz w:val="20"/>
              </w:rPr>
            </w:pPr>
            <w:r>
              <w:rPr>
                <w:sz w:val="20"/>
              </w:rPr>
              <w:t>overdose</w:t>
            </w:r>
          </w:p>
          <w:p>
            <w:pPr>
              <w:pStyle w:val="TableParagraph"/>
              <w:numPr>
                <w:ilvl w:val="0"/>
                <w:numId w:val="11"/>
              </w:numPr>
              <w:tabs>
                <w:tab w:pos="649" w:val="left" w:leader="none"/>
                <w:tab w:pos="650" w:val="left" w:leader="none"/>
              </w:tabs>
              <w:spacing w:line="240" w:lineRule="auto" w:before="0" w:after="0"/>
              <w:ind w:left="693" w:right="288" w:hanging="404"/>
              <w:jc w:val="left"/>
              <w:rPr>
                <w:sz w:val="20"/>
              </w:rPr>
            </w:pPr>
            <w:r>
              <w:rPr>
                <w:sz w:val="20"/>
              </w:rPr>
              <w:t>Common signs of opioid</w:t>
            </w:r>
            <w:r>
              <w:rPr>
                <w:spacing w:val="-9"/>
                <w:sz w:val="20"/>
              </w:rPr>
              <w:t> </w:t>
            </w:r>
            <w:r>
              <w:rPr>
                <w:sz w:val="20"/>
              </w:rPr>
              <w:t>overdose</w:t>
            </w:r>
          </w:p>
          <w:p>
            <w:pPr>
              <w:pStyle w:val="TableParagraph"/>
              <w:numPr>
                <w:ilvl w:val="0"/>
                <w:numId w:val="11"/>
              </w:numPr>
              <w:tabs>
                <w:tab w:pos="962" w:val="left" w:leader="none"/>
                <w:tab w:pos="963" w:val="left" w:leader="none"/>
              </w:tabs>
              <w:spacing w:line="240" w:lineRule="auto" w:before="1" w:after="0"/>
              <w:ind w:left="736" w:right="375" w:hanging="134"/>
              <w:jc w:val="left"/>
              <w:rPr>
                <w:sz w:val="20"/>
              </w:rPr>
            </w:pPr>
            <w:r>
              <w:rPr>
                <w:sz w:val="20"/>
              </w:rPr>
              <w:t>Naloxone formulations &amp; administration</w:t>
            </w:r>
          </w:p>
          <w:p>
            <w:pPr>
              <w:pStyle w:val="TableParagraph"/>
              <w:numPr>
                <w:ilvl w:val="0"/>
                <w:numId w:val="11"/>
              </w:numPr>
              <w:tabs>
                <w:tab w:pos="1000" w:val="left" w:leader="none"/>
                <w:tab w:pos="1001" w:val="left" w:leader="none"/>
              </w:tabs>
              <w:spacing w:line="240" w:lineRule="auto" w:before="0" w:after="0"/>
              <w:ind w:left="561" w:right="201" w:firstLine="79"/>
              <w:jc w:val="left"/>
              <w:rPr>
                <w:sz w:val="20"/>
              </w:rPr>
            </w:pPr>
            <w:r>
              <w:rPr>
                <w:sz w:val="20"/>
              </w:rPr>
              <w:t>Having a conversation</w:t>
            </w:r>
            <w:r>
              <w:rPr>
                <w:spacing w:val="-8"/>
                <w:sz w:val="20"/>
              </w:rPr>
              <w:t> </w:t>
            </w:r>
            <w:r>
              <w:rPr>
                <w:sz w:val="20"/>
              </w:rPr>
              <w:t>about</w:t>
            </w:r>
          </w:p>
          <w:p>
            <w:pPr>
              <w:pStyle w:val="TableParagraph"/>
              <w:ind w:left="490" w:right="112" w:firstLine="482"/>
              <w:rPr>
                <w:sz w:val="20"/>
              </w:rPr>
            </w:pPr>
            <w:r>
              <w:rPr>
                <w:sz w:val="20"/>
              </w:rPr>
              <w:t>overdose prevention/naloxone</w:t>
            </w:r>
          </w:p>
          <w:p>
            <w:pPr>
              <w:pStyle w:val="TableParagraph"/>
              <w:numPr>
                <w:ilvl w:val="0"/>
                <w:numId w:val="11"/>
              </w:numPr>
              <w:tabs>
                <w:tab w:pos="657" w:val="left" w:leader="none"/>
                <w:tab w:pos="658" w:val="left" w:leader="none"/>
              </w:tabs>
              <w:spacing w:line="240" w:lineRule="auto" w:before="0" w:after="0"/>
              <w:ind w:left="641" w:right="281" w:hanging="344"/>
              <w:jc w:val="left"/>
              <w:rPr>
                <w:sz w:val="20"/>
              </w:rPr>
            </w:pPr>
            <w:r>
              <w:rPr>
                <w:sz w:val="20"/>
              </w:rPr>
              <w:t>Appropriate (e.g. </w:t>
            </w:r>
            <w:r>
              <w:rPr>
                <w:spacing w:val="-1"/>
                <w:sz w:val="20"/>
              </w:rPr>
              <w:t>non-stigmatising)</w:t>
            </w:r>
          </w:p>
          <w:p>
            <w:pPr>
              <w:pStyle w:val="TableParagraph"/>
              <w:spacing w:before="2"/>
              <w:ind w:left="981"/>
              <w:rPr>
                <w:sz w:val="20"/>
              </w:rPr>
            </w:pPr>
            <w:r>
              <w:rPr>
                <w:sz w:val="20"/>
              </w:rPr>
              <w:t>language</w:t>
            </w:r>
          </w:p>
        </w:tc>
      </w:tr>
      <w:tr>
        <w:trPr>
          <w:trHeight w:val="986" w:hRule="exact"/>
        </w:trPr>
        <w:tc>
          <w:tcPr>
            <w:tcW w:w="2123" w:type="dxa"/>
          </w:tcPr>
          <w:p>
            <w:pPr>
              <w:pStyle w:val="TableParagraph"/>
              <w:tabs>
                <w:tab w:pos="463" w:val="left" w:leader="none"/>
              </w:tabs>
              <w:ind w:left="463" w:right="677" w:hanging="360"/>
              <w:rPr>
                <w:sz w:val="20"/>
              </w:rPr>
            </w:pPr>
            <w:r>
              <w:rPr>
                <w:sz w:val="20"/>
              </w:rPr>
              <w:t>1.</w:t>
              <w:tab/>
              <w:t>Clinical</w:t>
            </w:r>
            <w:r>
              <w:rPr>
                <w:spacing w:val="-7"/>
                <w:sz w:val="20"/>
              </w:rPr>
              <w:t> </w:t>
            </w:r>
            <w:r>
              <w:rPr>
                <w:sz w:val="20"/>
              </w:rPr>
              <w:t>tips:</w:t>
            </w:r>
            <w:r>
              <w:rPr>
                <w:spacing w:val="-1"/>
                <w:w w:val="100"/>
                <w:sz w:val="20"/>
              </w:rPr>
              <w:t> </w:t>
            </w:r>
            <w:r>
              <w:rPr>
                <w:sz w:val="20"/>
              </w:rPr>
              <w:t>Naloxone</w:t>
            </w:r>
          </w:p>
        </w:tc>
        <w:tc>
          <w:tcPr>
            <w:tcW w:w="1724" w:type="dxa"/>
          </w:tcPr>
          <w:p>
            <w:pPr>
              <w:pStyle w:val="TableParagraph"/>
              <w:ind w:right="97"/>
              <w:rPr>
                <w:sz w:val="20"/>
              </w:rPr>
            </w:pPr>
            <w:r>
              <w:rPr>
                <w:sz w:val="20"/>
              </w:rPr>
              <w:t>Carlene McMaugh (AJP)</w:t>
            </w:r>
          </w:p>
        </w:tc>
        <w:tc>
          <w:tcPr>
            <w:tcW w:w="1145" w:type="dxa"/>
          </w:tcPr>
          <w:p>
            <w:pPr>
              <w:pStyle w:val="TableParagraph"/>
              <w:rPr>
                <w:sz w:val="20"/>
              </w:rPr>
            </w:pPr>
            <w:r>
              <w:rPr>
                <w:sz w:val="20"/>
              </w:rPr>
              <w:t>26/07/19</w:t>
            </w:r>
          </w:p>
        </w:tc>
        <w:tc>
          <w:tcPr>
            <w:tcW w:w="991" w:type="dxa"/>
          </w:tcPr>
          <w:p>
            <w:pPr>
              <w:pStyle w:val="TableParagraph"/>
              <w:ind w:left="84" w:right="137"/>
              <w:jc w:val="center"/>
              <w:rPr>
                <w:sz w:val="20"/>
              </w:rPr>
            </w:pPr>
            <w:r>
              <w:rPr>
                <w:sz w:val="20"/>
              </w:rPr>
              <w:t>Australia</w:t>
            </w:r>
          </w:p>
        </w:tc>
        <w:tc>
          <w:tcPr>
            <w:tcW w:w="2696" w:type="dxa"/>
          </w:tcPr>
          <w:p>
            <w:pPr>
              <w:pStyle w:val="TableParagraph"/>
              <w:ind w:right="126"/>
              <w:rPr>
                <w:sz w:val="20"/>
              </w:rPr>
            </w:pPr>
            <w:r>
              <w:rPr>
                <w:color w:val="0000FF"/>
                <w:sz w:val="20"/>
                <w:u w:val="single" w:color="0000FF"/>
              </w:rPr>
              <w:t>https://ajp.com.au/columns/c linical-tips/clinical-tips- naloxone/</w:t>
            </w:r>
          </w:p>
        </w:tc>
        <w:tc>
          <w:tcPr>
            <w:tcW w:w="1132" w:type="dxa"/>
          </w:tcPr>
          <w:p>
            <w:pPr>
              <w:pStyle w:val="TableParagraph"/>
              <w:rPr>
                <w:sz w:val="20"/>
              </w:rPr>
            </w:pPr>
            <w:r>
              <w:rPr>
                <w:sz w:val="20"/>
              </w:rPr>
              <w:t>06/08/19</w:t>
            </w:r>
          </w:p>
        </w:tc>
        <w:tc>
          <w:tcPr>
            <w:tcW w:w="994" w:type="dxa"/>
          </w:tcPr>
          <w:p>
            <w:pPr>
              <w:pStyle w:val="TableParagraph"/>
              <w:rPr>
                <w:sz w:val="20"/>
              </w:rPr>
            </w:pPr>
            <w:r>
              <w:rPr>
                <w:w w:val="100"/>
                <w:sz w:val="20"/>
              </w:rPr>
              <w:t>2</w:t>
            </w:r>
          </w:p>
        </w:tc>
        <w:tc>
          <w:tcPr>
            <w:tcW w:w="1277" w:type="dxa"/>
          </w:tcPr>
          <w:p>
            <w:pPr>
              <w:pStyle w:val="TableParagraph"/>
              <w:rPr>
                <w:sz w:val="20"/>
              </w:rPr>
            </w:pPr>
            <w:r>
              <w:rPr>
                <w:w w:val="100"/>
                <w:sz w:val="20"/>
              </w:rPr>
              <w:t>2</w:t>
            </w:r>
          </w:p>
        </w:tc>
        <w:tc>
          <w:tcPr>
            <w:tcW w:w="1556" w:type="dxa"/>
          </w:tcPr>
          <w:p>
            <w:pPr>
              <w:pStyle w:val="TableParagraph"/>
              <w:rPr>
                <w:sz w:val="20"/>
              </w:rPr>
            </w:pPr>
            <w:r>
              <w:rPr>
                <w:w w:val="100"/>
                <w:sz w:val="20"/>
              </w:rPr>
              <w:t>1</w:t>
            </w:r>
          </w:p>
        </w:tc>
        <w:tc>
          <w:tcPr>
            <w:tcW w:w="2351" w:type="dxa"/>
          </w:tcPr>
          <w:p>
            <w:pPr>
              <w:pStyle w:val="TableParagraph"/>
              <w:rPr>
                <w:sz w:val="20"/>
              </w:rPr>
            </w:pPr>
            <w:r>
              <w:rPr>
                <w:sz w:val="20"/>
              </w:rPr>
              <w:t>1, 3, 5</w:t>
            </w:r>
          </w:p>
        </w:tc>
      </w:tr>
      <w:tr>
        <w:trPr>
          <w:trHeight w:val="1476" w:hRule="exact"/>
        </w:trPr>
        <w:tc>
          <w:tcPr>
            <w:tcW w:w="2123" w:type="dxa"/>
          </w:tcPr>
          <w:p>
            <w:pPr>
              <w:pStyle w:val="TableParagraph"/>
              <w:tabs>
                <w:tab w:pos="463" w:val="left" w:leader="none"/>
              </w:tabs>
              <w:ind w:left="463" w:right="183" w:hanging="360"/>
              <w:rPr>
                <w:sz w:val="20"/>
              </w:rPr>
            </w:pPr>
            <w:r>
              <w:rPr>
                <w:sz w:val="20"/>
              </w:rPr>
              <w:t>2.</w:t>
              <w:tab/>
              <w:t>Recognising</w:t>
            </w:r>
            <w:r>
              <w:rPr>
                <w:spacing w:val="-6"/>
                <w:sz w:val="20"/>
              </w:rPr>
              <w:t> </w:t>
            </w:r>
            <w:r>
              <w:rPr>
                <w:sz w:val="20"/>
              </w:rPr>
              <w:t>and</w:t>
            </w:r>
            <w:r>
              <w:rPr>
                <w:w w:val="100"/>
                <w:sz w:val="20"/>
              </w:rPr>
              <w:t> </w:t>
            </w:r>
            <w:r>
              <w:rPr>
                <w:sz w:val="20"/>
              </w:rPr>
              <w:t>managing opioid overdose in the community: A key role for pharmacists</w:t>
            </w:r>
          </w:p>
        </w:tc>
        <w:tc>
          <w:tcPr>
            <w:tcW w:w="1724" w:type="dxa"/>
          </w:tcPr>
          <w:p>
            <w:pPr>
              <w:pStyle w:val="TableParagraph"/>
              <w:ind w:right="320"/>
              <w:rPr>
                <w:sz w:val="20"/>
              </w:rPr>
            </w:pPr>
            <w:r>
              <w:rPr>
                <w:sz w:val="20"/>
              </w:rPr>
              <w:t>Jacinta Johnson (AJP)</w:t>
            </w:r>
          </w:p>
        </w:tc>
        <w:tc>
          <w:tcPr>
            <w:tcW w:w="1145" w:type="dxa"/>
          </w:tcPr>
          <w:p>
            <w:pPr>
              <w:pStyle w:val="TableParagraph"/>
              <w:rPr>
                <w:sz w:val="20"/>
              </w:rPr>
            </w:pPr>
            <w:r>
              <w:rPr>
                <w:sz w:val="20"/>
              </w:rPr>
              <w:t>26/06/19</w:t>
            </w:r>
          </w:p>
        </w:tc>
        <w:tc>
          <w:tcPr>
            <w:tcW w:w="991" w:type="dxa"/>
          </w:tcPr>
          <w:p>
            <w:pPr>
              <w:pStyle w:val="TableParagraph"/>
              <w:ind w:left="84" w:right="137"/>
              <w:jc w:val="center"/>
              <w:rPr>
                <w:sz w:val="20"/>
              </w:rPr>
            </w:pPr>
            <w:r>
              <w:rPr>
                <w:sz w:val="20"/>
              </w:rPr>
              <w:t>Australia</w:t>
            </w:r>
          </w:p>
        </w:tc>
        <w:tc>
          <w:tcPr>
            <w:tcW w:w="2696" w:type="dxa"/>
          </w:tcPr>
          <w:p>
            <w:pPr>
              <w:pStyle w:val="TableParagraph"/>
              <w:ind w:right="117"/>
              <w:rPr>
                <w:sz w:val="20"/>
              </w:rPr>
            </w:pPr>
            <w:r>
              <w:rPr>
                <w:color w:val="0000FF"/>
                <w:sz w:val="20"/>
                <w:u w:val="single" w:color="0000FF"/>
              </w:rPr>
              <w:t>https://search-informit-com- au.ezproxy.lib.monash.edu.au</w:t>
            </w:r>
          </w:p>
          <w:p>
            <w:pPr>
              <w:pStyle w:val="TableParagraph"/>
              <w:ind w:right="125"/>
              <w:rPr>
                <w:sz w:val="20"/>
              </w:rPr>
            </w:pPr>
            <w:r>
              <w:rPr>
                <w:color w:val="0000FF"/>
                <w:sz w:val="20"/>
                <w:u w:val="single" w:color="0000FF"/>
              </w:rPr>
              <w:t>/documentSummary;res=IELH EA;dn=469687011322034</w:t>
            </w:r>
          </w:p>
        </w:tc>
        <w:tc>
          <w:tcPr>
            <w:tcW w:w="1132" w:type="dxa"/>
          </w:tcPr>
          <w:p>
            <w:pPr>
              <w:pStyle w:val="TableParagraph"/>
              <w:rPr>
                <w:sz w:val="20"/>
              </w:rPr>
            </w:pPr>
            <w:r>
              <w:rPr>
                <w:sz w:val="20"/>
              </w:rPr>
              <w:t>15/08/19</w:t>
            </w:r>
          </w:p>
        </w:tc>
        <w:tc>
          <w:tcPr>
            <w:tcW w:w="994" w:type="dxa"/>
          </w:tcPr>
          <w:p>
            <w:pPr>
              <w:pStyle w:val="TableParagraph"/>
              <w:rPr>
                <w:sz w:val="20"/>
              </w:rPr>
            </w:pPr>
            <w:r>
              <w:rPr>
                <w:w w:val="100"/>
                <w:sz w:val="20"/>
              </w:rPr>
              <w:t>5</w:t>
            </w:r>
          </w:p>
        </w:tc>
        <w:tc>
          <w:tcPr>
            <w:tcW w:w="1277" w:type="dxa"/>
          </w:tcPr>
          <w:p>
            <w:pPr>
              <w:pStyle w:val="TableParagraph"/>
              <w:rPr>
                <w:sz w:val="20"/>
              </w:rPr>
            </w:pPr>
            <w:r>
              <w:rPr>
                <w:w w:val="100"/>
                <w:sz w:val="20"/>
              </w:rPr>
              <w:t>2</w:t>
            </w:r>
          </w:p>
        </w:tc>
        <w:tc>
          <w:tcPr>
            <w:tcW w:w="1556" w:type="dxa"/>
          </w:tcPr>
          <w:p>
            <w:pPr>
              <w:pStyle w:val="TableParagraph"/>
              <w:rPr>
                <w:sz w:val="20"/>
              </w:rPr>
            </w:pPr>
            <w:r>
              <w:rPr>
                <w:sz w:val="20"/>
              </w:rPr>
              <w:t>1, 2</w:t>
            </w:r>
          </w:p>
        </w:tc>
        <w:tc>
          <w:tcPr>
            <w:tcW w:w="2351" w:type="dxa"/>
          </w:tcPr>
          <w:p>
            <w:pPr>
              <w:pStyle w:val="TableParagraph"/>
              <w:rPr>
                <w:sz w:val="20"/>
              </w:rPr>
            </w:pPr>
            <w:r>
              <w:rPr>
                <w:sz w:val="20"/>
              </w:rPr>
              <w:t>1, 2, 3, 4, 5</w:t>
            </w:r>
          </w:p>
        </w:tc>
      </w:tr>
      <w:tr>
        <w:trPr>
          <w:trHeight w:val="986" w:hRule="exact"/>
        </w:trPr>
        <w:tc>
          <w:tcPr>
            <w:tcW w:w="2123" w:type="dxa"/>
          </w:tcPr>
          <w:p>
            <w:pPr>
              <w:pStyle w:val="TableParagraph"/>
              <w:tabs>
                <w:tab w:pos="463" w:val="left" w:leader="none"/>
              </w:tabs>
              <w:ind w:left="463" w:right="323" w:hanging="360"/>
              <w:rPr>
                <w:sz w:val="20"/>
              </w:rPr>
            </w:pPr>
            <w:r>
              <w:rPr>
                <w:sz w:val="20"/>
              </w:rPr>
              <w:t>3.</w:t>
              <w:tab/>
              <w:t>Guidance</w:t>
            </w:r>
            <w:r>
              <w:rPr>
                <w:spacing w:val="-4"/>
                <w:sz w:val="20"/>
              </w:rPr>
              <w:t> </w:t>
            </w:r>
            <w:r>
              <w:rPr>
                <w:sz w:val="20"/>
              </w:rPr>
              <w:t>for</w:t>
            </w:r>
            <w:r>
              <w:rPr>
                <w:spacing w:val="-1"/>
                <w:w w:val="100"/>
                <w:sz w:val="20"/>
              </w:rPr>
              <w:t> </w:t>
            </w:r>
            <w:r>
              <w:rPr>
                <w:sz w:val="20"/>
              </w:rPr>
              <w:t>provision of Pharmacist</w:t>
            </w:r>
            <w:r>
              <w:rPr>
                <w:spacing w:val="-6"/>
                <w:sz w:val="20"/>
              </w:rPr>
              <w:t> </w:t>
            </w:r>
            <w:r>
              <w:rPr>
                <w:sz w:val="20"/>
              </w:rPr>
              <w:t>Only</w:t>
            </w:r>
          </w:p>
        </w:tc>
        <w:tc>
          <w:tcPr>
            <w:tcW w:w="1724" w:type="dxa"/>
          </w:tcPr>
          <w:p>
            <w:pPr>
              <w:pStyle w:val="TableParagraph"/>
              <w:ind w:right="334"/>
              <w:rPr>
                <w:sz w:val="20"/>
              </w:rPr>
            </w:pPr>
            <w:r>
              <w:rPr>
                <w:sz w:val="20"/>
              </w:rPr>
              <w:t>Pharmaceutical Society of Australia</w:t>
            </w:r>
          </w:p>
        </w:tc>
        <w:tc>
          <w:tcPr>
            <w:tcW w:w="1145" w:type="dxa"/>
          </w:tcPr>
          <w:p>
            <w:pPr>
              <w:pStyle w:val="TableParagraph"/>
              <w:spacing w:line="243" w:lineRule="exact"/>
              <w:rPr>
                <w:sz w:val="20"/>
              </w:rPr>
            </w:pPr>
            <w:r>
              <w:rPr>
                <w:sz w:val="20"/>
              </w:rPr>
              <w:t>June 2017</w:t>
            </w:r>
          </w:p>
        </w:tc>
        <w:tc>
          <w:tcPr>
            <w:tcW w:w="991" w:type="dxa"/>
          </w:tcPr>
          <w:p>
            <w:pPr>
              <w:pStyle w:val="TableParagraph"/>
              <w:spacing w:line="243" w:lineRule="exact"/>
              <w:ind w:left="84" w:right="137"/>
              <w:jc w:val="center"/>
              <w:rPr>
                <w:sz w:val="20"/>
              </w:rPr>
            </w:pPr>
            <w:r>
              <w:rPr>
                <w:sz w:val="20"/>
              </w:rPr>
              <w:t>Australia</w:t>
            </w:r>
          </w:p>
        </w:tc>
        <w:tc>
          <w:tcPr>
            <w:tcW w:w="2696" w:type="dxa"/>
          </w:tcPr>
          <w:p>
            <w:pPr>
              <w:pStyle w:val="TableParagraph"/>
              <w:ind w:right="157"/>
              <w:rPr>
                <w:sz w:val="20"/>
              </w:rPr>
            </w:pPr>
            <w:r>
              <w:rPr>
                <w:color w:val="0000FF"/>
                <w:sz w:val="20"/>
                <w:u w:val="single" w:color="0000FF"/>
              </w:rPr>
              <w:t>https://my.psa.org.au/s/articl e/Naloxone-S3-guidance- document</w:t>
            </w:r>
          </w:p>
        </w:tc>
        <w:tc>
          <w:tcPr>
            <w:tcW w:w="1132" w:type="dxa"/>
          </w:tcPr>
          <w:p>
            <w:pPr>
              <w:pStyle w:val="TableParagraph"/>
              <w:spacing w:line="243" w:lineRule="exact"/>
              <w:rPr>
                <w:sz w:val="20"/>
              </w:rPr>
            </w:pPr>
            <w:r>
              <w:rPr>
                <w:sz w:val="20"/>
              </w:rPr>
              <w:t>15/08/19</w:t>
            </w:r>
          </w:p>
        </w:tc>
        <w:tc>
          <w:tcPr>
            <w:tcW w:w="994" w:type="dxa"/>
          </w:tcPr>
          <w:p>
            <w:pPr>
              <w:pStyle w:val="TableParagraph"/>
              <w:spacing w:line="243" w:lineRule="exact"/>
              <w:rPr>
                <w:sz w:val="20"/>
              </w:rPr>
            </w:pPr>
            <w:r>
              <w:rPr>
                <w:w w:val="100"/>
                <w:sz w:val="20"/>
              </w:rPr>
              <w:t>3</w:t>
            </w:r>
          </w:p>
        </w:tc>
        <w:tc>
          <w:tcPr>
            <w:tcW w:w="1277" w:type="dxa"/>
          </w:tcPr>
          <w:p>
            <w:pPr>
              <w:pStyle w:val="TableParagraph"/>
              <w:spacing w:line="243" w:lineRule="exact"/>
              <w:rPr>
                <w:sz w:val="20"/>
              </w:rPr>
            </w:pPr>
            <w:r>
              <w:rPr>
                <w:w w:val="100"/>
                <w:sz w:val="20"/>
              </w:rPr>
              <w:t>1</w:t>
            </w:r>
          </w:p>
        </w:tc>
        <w:tc>
          <w:tcPr>
            <w:tcW w:w="1556" w:type="dxa"/>
          </w:tcPr>
          <w:p>
            <w:pPr>
              <w:pStyle w:val="TableParagraph"/>
              <w:spacing w:line="243" w:lineRule="exact"/>
              <w:rPr>
                <w:sz w:val="20"/>
              </w:rPr>
            </w:pPr>
            <w:r>
              <w:rPr>
                <w:w w:val="100"/>
                <w:sz w:val="20"/>
              </w:rPr>
              <w:t>3</w:t>
            </w:r>
          </w:p>
        </w:tc>
        <w:tc>
          <w:tcPr>
            <w:tcW w:w="2351" w:type="dxa"/>
          </w:tcPr>
          <w:p>
            <w:pPr>
              <w:pStyle w:val="TableParagraph"/>
              <w:spacing w:line="243" w:lineRule="exact"/>
              <w:rPr>
                <w:sz w:val="20"/>
              </w:rPr>
            </w:pPr>
            <w:r>
              <w:rPr>
                <w:sz w:val="20"/>
              </w:rPr>
              <w:t>1, 2, 3, 4, 5</w:t>
            </w:r>
          </w:p>
        </w:tc>
      </w:tr>
    </w:tbl>
    <w:p>
      <w:pPr>
        <w:spacing w:after="0" w:line="243" w:lineRule="exact"/>
        <w:rPr>
          <w:sz w:val="20"/>
        </w:rPr>
        <w:sectPr>
          <w:footerReference w:type="default" r:id="rId27"/>
          <w:pgSz w:w="16840" w:h="11910" w:orient="landscape"/>
          <w:pgMar w:footer="1269" w:header="0" w:top="1100" w:bottom="1460" w:left="300" w:right="320"/>
          <w:pgNumType w:start="26"/>
        </w:sectPr>
      </w:pPr>
    </w:p>
    <w:p>
      <w:pPr>
        <w:pStyle w:val="BodyText"/>
        <w:rPr>
          <w:rFonts w:ascii="Times New Roman"/>
          <w:sz w:val="20"/>
        </w:rPr>
      </w:pPr>
    </w:p>
    <w:p>
      <w:pPr>
        <w:pStyle w:val="BodyText"/>
        <w:spacing w:before="5"/>
        <w:rPr>
          <w:rFonts w:ascii="Times New Roman"/>
          <w:sz w:val="17"/>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3"/>
        <w:gridCol w:w="1724"/>
        <w:gridCol w:w="1145"/>
        <w:gridCol w:w="991"/>
        <w:gridCol w:w="2696"/>
        <w:gridCol w:w="1132"/>
        <w:gridCol w:w="994"/>
        <w:gridCol w:w="1277"/>
        <w:gridCol w:w="1556"/>
        <w:gridCol w:w="2351"/>
      </w:tblGrid>
      <w:tr>
        <w:trPr>
          <w:trHeight w:val="498" w:hRule="exact"/>
        </w:trPr>
        <w:tc>
          <w:tcPr>
            <w:tcW w:w="2123" w:type="dxa"/>
          </w:tcPr>
          <w:p>
            <w:pPr>
              <w:pStyle w:val="TableParagraph"/>
              <w:ind w:left="463" w:right="857"/>
              <w:rPr>
                <w:sz w:val="20"/>
              </w:rPr>
            </w:pPr>
            <w:r>
              <w:rPr>
                <w:sz w:val="20"/>
              </w:rPr>
              <w:t>medicine Naloxone</w:t>
            </w:r>
          </w:p>
        </w:tc>
        <w:tc>
          <w:tcPr>
            <w:tcW w:w="1724" w:type="dxa"/>
          </w:tcPr>
          <w:p>
            <w:pPr/>
          </w:p>
        </w:tc>
        <w:tc>
          <w:tcPr>
            <w:tcW w:w="1145" w:type="dxa"/>
          </w:tcPr>
          <w:p>
            <w:pPr/>
          </w:p>
        </w:tc>
        <w:tc>
          <w:tcPr>
            <w:tcW w:w="991" w:type="dxa"/>
          </w:tcPr>
          <w:p>
            <w:pPr/>
          </w:p>
        </w:tc>
        <w:tc>
          <w:tcPr>
            <w:tcW w:w="2696" w:type="dxa"/>
          </w:tcPr>
          <w:p>
            <w:pPr/>
          </w:p>
        </w:tc>
        <w:tc>
          <w:tcPr>
            <w:tcW w:w="1132" w:type="dxa"/>
          </w:tcPr>
          <w:p>
            <w:pPr/>
          </w:p>
        </w:tc>
        <w:tc>
          <w:tcPr>
            <w:tcW w:w="994" w:type="dxa"/>
          </w:tcPr>
          <w:p>
            <w:pPr/>
          </w:p>
        </w:tc>
        <w:tc>
          <w:tcPr>
            <w:tcW w:w="1277" w:type="dxa"/>
          </w:tcPr>
          <w:p>
            <w:pPr/>
          </w:p>
        </w:tc>
        <w:tc>
          <w:tcPr>
            <w:tcW w:w="1556" w:type="dxa"/>
          </w:tcPr>
          <w:p>
            <w:pPr/>
          </w:p>
        </w:tc>
        <w:tc>
          <w:tcPr>
            <w:tcW w:w="2351" w:type="dxa"/>
          </w:tcPr>
          <w:p>
            <w:pPr/>
          </w:p>
        </w:tc>
      </w:tr>
      <w:tr>
        <w:trPr>
          <w:trHeight w:val="986" w:hRule="exact"/>
        </w:trPr>
        <w:tc>
          <w:tcPr>
            <w:tcW w:w="2123" w:type="dxa"/>
          </w:tcPr>
          <w:p>
            <w:pPr>
              <w:pStyle w:val="TableParagraph"/>
              <w:tabs>
                <w:tab w:pos="463" w:val="left" w:leader="none"/>
              </w:tabs>
              <w:ind w:left="463" w:right="310" w:hanging="360"/>
              <w:rPr>
                <w:sz w:val="20"/>
              </w:rPr>
            </w:pPr>
            <w:r>
              <w:rPr>
                <w:sz w:val="20"/>
              </w:rPr>
              <w:t>4.</w:t>
              <w:tab/>
              <w:t>Opioid</w:t>
            </w:r>
            <w:r>
              <w:rPr>
                <w:spacing w:val="-10"/>
                <w:sz w:val="20"/>
              </w:rPr>
              <w:t> </w:t>
            </w:r>
            <w:r>
              <w:rPr>
                <w:sz w:val="20"/>
              </w:rPr>
              <w:t>overdose</w:t>
            </w:r>
            <w:r>
              <w:rPr>
                <w:spacing w:val="-1"/>
                <w:w w:val="100"/>
                <w:sz w:val="20"/>
              </w:rPr>
              <w:t> </w:t>
            </w:r>
            <w:r>
              <w:rPr>
                <w:sz w:val="20"/>
              </w:rPr>
              <w:t>response &amp; take home naloxone policy</w:t>
            </w:r>
          </w:p>
        </w:tc>
        <w:tc>
          <w:tcPr>
            <w:tcW w:w="1724" w:type="dxa"/>
          </w:tcPr>
          <w:p>
            <w:pPr>
              <w:pStyle w:val="TableParagraph"/>
              <w:spacing w:line="243" w:lineRule="exact"/>
              <w:rPr>
                <w:sz w:val="20"/>
              </w:rPr>
            </w:pPr>
            <w:r>
              <w:rPr>
                <w:sz w:val="20"/>
              </w:rPr>
              <w:t>NSW Government</w:t>
            </w:r>
          </w:p>
        </w:tc>
        <w:tc>
          <w:tcPr>
            <w:tcW w:w="1145" w:type="dxa"/>
          </w:tcPr>
          <w:p>
            <w:pPr>
              <w:pStyle w:val="TableParagraph"/>
              <w:spacing w:line="243" w:lineRule="exact"/>
              <w:rPr>
                <w:sz w:val="20"/>
              </w:rPr>
            </w:pPr>
            <w:r>
              <w:rPr>
                <w:sz w:val="20"/>
              </w:rPr>
              <w:t>July 2019</w:t>
            </w:r>
          </w:p>
        </w:tc>
        <w:tc>
          <w:tcPr>
            <w:tcW w:w="991" w:type="dxa"/>
          </w:tcPr>
          <w:p>
            <w:pPr>
              <w:pStyle w:val="TableParagraph"/>
              <w:spacing w:line="243" w:lineRule="exact"/>
              <w:rPr>
                <w:sz w:val="20"/>
              </w:rPr>
            </w:pPr>
            <w:r>
              <w:rPr>
                <w:sz w:val="20"/>
              </w:rPr>
              <w:t>NSW,</w:t>
            </w:r>
          </w:p>
          <w:p>
            <w:pPr>
              <w:pStyle w:val="TableParagraph"/>
              <w:rPr>
                <w:sz w:val="20"/>
              </w:rPr>
            </w:pPr>
            <w:r>
              <w:rPr>
                <w:sz w:val="20"/>
              </w:rPr>
              <w:t>Australia</w:t>
            </w:r>
          </w:p>
        </w:tc>
        <w:tc>
          <w:tcPr>
            <w:tcW w:w="2696" w:type="dxa"/>
          </w:tcPr>
          <w:p>
            <w:pPr>
              <w:pStyle w:val="TableParagraph"/>
              <w:spacing w:line="243" w:lineRule="exact"/>
              <w:rPr>
                <w:sz w:val="20"/>
              </w:rPr>
            </w:pPr>
            <w:r>
              <w:rPr>
                <w:color w:val="0000FF"/>
                <w:sz w:val="20"/>
                <w:u w:val="single" w:color="0000FF"/>
              </w:rPr>
              <w:t>https://www1.health.nsw.gov</w:t>
            </w:r>
          </w:p>
          <w:p>
            <w:pPr>
              <w:pStyle w:val="TableParagraph"/>
              <w:spacing w:line="244" w:lineRule="exact"/>
              <w:rPr>
                <w:sz w:val="20"/>
              </w:rPr>
            </w:pPr>
            <w:r>
              <w:rPr>
                <w:color w:val="0000FF"/>
                <w:sz w:val="20"/>
                <w:u w:val="single" w:color="0000FF"/>
              </w:rPr>
              <w:t>.au/pds/ActivePDSDocuments</w:t>
            </w:r>
          </w:p>
          <w:p>
            <w:pPr>
              <w:pStyle w:val="TableParagraph"/>
              <w:spacing w:line="244" w:lineRule="exact"/>
              <w:rPr>
                <w:sz w:val="20"/>
              </w:rPr>
            </w:pPr>
            <w:r>
              <w:rPr>
                <w:color w:val="0000FF"/>
                <w:sz w:val="20"/>
                <w:u w:val="single" w:color="0000FF"/>
              </w:rPr>
              <w:t>/PD2019_036.pdf</w:t>
            </w:r>
          </w:p>
        </w:tc>
        <w:tc>
          <w:tcPr>
            <w:tcW w:w="1132" w:type="dxa"/>
          </w:tcPr>
          <w:p>
            <w:pPr>
              <w:pStyle w:val="TableParagraph"/>
              <w:spacing w:line="243" w:lineRule="exact"/>
              <w:rPr>
                <w:sz w:val="20"/>
              </w:rPr>
            </w:pPr>
            <w:r>
              <w:rPr>
                <w:sz w:val="20"/>
              </w:rPr>
              <w:t>23/08/19</w:t>
            </w:r>
          </w:p>
        </w:tc>
        <w:tc>
          <w:tcPr>
            <w:tcW w:w="994" w:type="dxa"/>
          </w:tcPr>
          <w:p>
            <w:pPr>
              <w:pStyle w:val="TableParagraph"/>
              <w:spacing w:line="243" w:lineRule="exact"/>
              <w:rPr>
                <w:sz w:val="20"/>
              </w:rPr>
            </w:pPr>
            <w:r>
              <w:rPr>
                <w:sz w:val="20"/>
              </w:rPr>
              <w:t>40</w:t>
            </w:r>
          </w:p>
        </w:tc>
        <w:tc>
          <w:tcPr>
            <w:tcW w:w="1277" w:type="dxa"/>
          </w:tcPr>
          <w:p>
            <w:pPr>
              <w:pStyle w:val="TableParagraph"/>
              <w:spacing w:line="243" w:lineRule="exact"/>
              <w:rPr>
                <w:sz w:val="20"/>
              </w:rPr>
            </w:pPr>
            <w:r>
              <w:rPr>
                <w:w w:val="100"/>
                <w:sz w:val="20"/>
              </w:rPr>
              <w:t>1</w:t>
            </w:r>
          </w:p>
        </w:tc>
        <w:tc>
          <w:tcPr>
            <w:tcW w:w="1556" w:type="dxa"/>
          </w:tcPr>
          <w:p>
            <w:pPr>
              <w:pStyle w:val="TableParagraph"/>
              <w:spacing w:line="243" w:lineRule="exact"/>
              <w:rPr>
                <w:sz w:val="20"/>
              </w:rPr>
            </w:pPr>
            <w:r>
              <w:rPr>
                <w:w w:val="100"/>
                <w:sz w:val="20"/>
              </w:rPr>
              <w:t>3</w:t>
            </w:r>
          </w:p>
        </w:tc>
        <w:tc>
          <w:tcPr>
            <w:tcW w:w="2351" w:type="dxa"/>
          </w:tcPr>
          <w:p>
            <w:pPr>
              <w:pStyle w:val="TableParagraph"/>
              <w:spacing w:line="243" w:lineRule="exact"/>
              <w:rPr>
                <w:sz w:val="20"/>
              </w:rPr>
            </w:pPr>
            <w:r>
              <w:rPr>
                <w:sz w:val="20"/>
              </w:rPr>
              <w:t>1, 2, 3, 4, 5</w:t>
            </w:r>
          </w:p>
        </w:tc>
      </w:tr>
      <w:tr>
        <w:trPr>
          <w:trHeight w:val="1475" w:hRule="exact"/>
        </w:trPr>
        <w:tc>
          <w:tcPr>
            <w:tcW w:w="2123" w:type="dxa"/>
          </w:tcPr>
          <w:p>
            <w:pPr>
              <w:pStyle w:val="TableParagraph"/>
              <w:tabs>
                <w:tab w:pos="463" w:val="left" w:leader="none"/>
              </w:tabs>
              <w:ind w:left="463" w:right="145" w:hanging="360"/>
              <w:rPr>
                <w:sz w:val="20"/>
              </w:rPr>
            </w:pPr>
            <w:r>
              <w:rPr>
                <w:sz w:val="20"/>
              </w:rPr>
              <w:t>5.</w:t>
              <w:tab/>
              <w:t>Talking</w:t>
            </w:r>
            <w:r>
              <w:rPr>
                <w:spacing w:val="-2"/>
                <w:sz w:val="20"/>
              </w:rPr>
              <w:t> </w:t>
            </w:r>
            <w:r>
              <w:rPr>
                <w:sz w:val="20"/>
              </w:rPr>
              <w:t>to</w:t>
            </w:r>
            <w:r>
              <w:rPr>
                <w:spacing w:val="-3"/>
                <w:sz w:val="20"/>
              </w:rPr>
              <w:t> </w:t>
            </w:r>
            <w:r>
              <w:rPr>
                <w:sz w:val="20"/>
              </w:rPr>
              <w:t>patients</w:t>
            </w:r>
            <w:r>
              <w:rPr>
                <w:w w:val="100"/>
                <w:sz w:val="20"/>
              </w:rPr>
              <w:t> </w:t>
            </w:r>
            <w:r>
              <w:rPr>
                <w:sz w:val="20"/>
              </w:rPr>
              <w:t>about</w:t>
            </w:r>
            <w:r>
              <w:rPr>
                <w:spacing w:val="-5"/>
                <w:sz w:val="20"/>
              </w:rPr>
              <w:t> </w:t>
            </w:r>
            <w:r>
              <w:rPr>
                <w:sz w:val="20"/>
              </w:rPr>
              <w:t>naloxone</w:t>
            </w:r>
          </w:p>
        </w:tc>
        <w:tc>
          <w:tcPr>
            <w:tcW w:w="1724" w:type="dxa"/>
          </w:tcPr>
          <w:p>
            <w:pPr>
              <w:pStyle w:val="TableParagraph"/>
              <w:ind w:right="761"/>
              <w:rPr>
                <w:sz w:val="20"/>
              </w:rPr>
            </w:pPr>
            <w:r>
              <w:rPr>
                <w:sz w:val="20"/>
              </w:rPr>
              <w:t>Penington Institute</w:t>
            </w:r>
          </w:p>
        </w:tc>
        <w:tc>
          <w:tcPr>
            <w:tcW w:w="1145" w:type="dxa"/>
          </w:tcPr>
          <w:p>
            <w:pPr>
              <w:pStyle w:val="TableParagraph"/>
              <w:spacing w:line="243" w:lineRule="exact"/>
              <w:rPr>
                <w:sz w:val="20"/>
              </w:rPr>
            </w:pPr>
            <w:r>
              <w:rPr>
                <w:sz w:val="20"/>
              </w:rPr>
              <w:t>2019</w:t>
            </w:r>
          </w:p>
        </w:tc>
        <w:tc>
          <w:tcPr>
            <w:tcW w:w="991" w:type="dxa"/>
          </w:tcPr>
          <w:p>
            <w:pPr>
              <w:pStyle w:val="TableParagraph"/>
              <w:spacing w:line="243" w:lineRule="exact"/>
              <w:rPr>
                <w:sz w:val="20"/>
              </w:rPr>
            </w:pPr>
            <w:r>
              <w:rPr>
                <w:sz w:val="20"/>
              </w:rPr>
              <w:t>VIC,</w:t>
            </w:r>
          </w:p>
          <w:p>
            <w:pPr>
              <w:pStyle w:val="TableParagraph"/>
              <w:rPr>
                <w:sz w:val="20"/>
              </w:rPr>
            </w:pPr>
            <w:r>
              <w:rPr>
                <w:sz w:val="20"/>
              </w:rPr>
              <w:t>Australia</w:t>
            </w:r>
          </w:p>
        </w:tc>
        <w:tc>
          <w:tcPr>
            <w:tcW w:w="2696" w:type="dxa"/>
          </w:tcPr>
          <w:p>
            <w:pPr>
              <w:pStyle w:val="TableParagraph"/>
              <w:spacing w:line="243" w:lineRule="exact"/>
              <w:rPr>
                <w:sz w:val="20"/>
              </w:rPr>
            </w:pPr>
            <w:hyperlink r:id="rId28">
              <w:r>
                <w:rPr>
                  <w:color w:val="0000FF"/>
                  <w:sz w:val="20"/>
                  <w:u w:val="single" w:color="0000FF"/>
                </w:rPr>
                <w:t>http://www.penington.org.au</w:t>
              </w:r>
            </w:hyperlink>
          </w:p>
          <w:p>
            <w:pPr>
              <w:pStyle w:val="TableParagraph"/>
              <w:ind w:right="91"/>
              <w:rPr>
                <w:sz w:val="20"/>
              </w:rPr>
            </w:pPr>
            <w:r>
              <w:rPr>
                <w:color w:val="0000FF"/>
                <w:sz w:val="20"/>
                <w:u w:val="single" w:color="0000FF"/>
              </w:rPr>
              <w:t>/wp- content/uploads/2019/08/Tal kingToPatientsAboutNaloxone</w:t>
            </w:r>
          </w:p>
          <w:p>
            <w:pPr>
              <w:pStyle w:val="TableParagraph"/>
              <w:spacing w:line="244" w:lineRule="exact"/>
              <w:rPr>
                <w:sz w:val="20"/>
              </w:rPr>
            </w:pPr>
            <w:r>
              <w:rPr>
                <w:color w:val="0000FF"/>
                <w:sz w:val="20"/>
                <w:u w:val="single" w:color="0000FF"/>
              </w:rPr>
              <w:t>.pdf</w:t>
            </w:r>
          </w:p>
        </w:tc>
        <w:tc>
          <w:tcPr>
            <w:tcW w:w="1132" w:type="dxa"/>
          </w:tcPr>
          <w:p>
            <w:pPr>
              <w:pStyle w:val="TableParagraph"/>
              <w:spacing w:line="243" w:lineRule="exact"/>
              <w:rPr>
                <w:sz w:val="20"/>
              </w:rPr>
            </w:pPr>
            <w:r>
              <w:rPr>
                <w:sz w:val="20"/>
              </w:rPr>
              <w:t>23/08/19</w:t>
            </w:r>
          </w:p>
        </w:tc>
        <w:tc>
          <w:tcPr>
            <w:tcW w:w="994" w:type="dxa"/>
          </w:tcPr>
          <w:p>
            <w:pPr>
              <w:pStyle w:val="TableParagraph"/>
              <w:spacing w:line="243" w:lineRule="exact"/>
              <w:rPr>
                <w:sz w:val="20"/>
              </w:rPr>
            </w:pPr>
            <w:r>
              <w:rPr>
                <w:w w:val="100"/>
                <w:sz w:val="20"/>
              </w:rPr>
              <w:t>2</w:t>
            </w:r>
          </w:p>
        </w:tc>
        <w:tc>
          <w:tcPr>
            <w:tcW w:w="1277" w:type="dxa"/>
          </w:tcPr>
          <w:p>
            <w:pPr>
              <w:pStyle w:val="TableParagraph"/>
              <w:spacing w:line="243" w:lineRule="exact"/>
              <w:rPr>
                <w:sz w:val="20"/>
              </w:rPr>
            </w:pPr>
            <w:r>
              <w:rPr>
                <w:sz w:val="20"/>
              </w:rPr>
              <w:t>1 (factsheet)</w:t>
            </w:r>
          </w:p>
        </w:tc>
        <w:tc>
          <w:tcPr>
            <w:tcW w:w="1556" w:type="dxa"/>
          </w:tcPr>
          <w:p>
            <w:pPr>
              <w:pStyle w:val="TableParagraph"/>
              <w:spacing w:line="243" w:lineRule="exact"/>
              <w:rPr>
                <w:sz w:val="20"/>
              </w:rPr>
            </w:pPr>
            <w:r>
              <w:rPr>
                <w:w w:val="100"/>
                <w:sz w:val="20"/>
              </w:rPr>
              <w:t>3</w:t>
            </w:r>
          </w:p>
        </w:tc>
        <w:tc>
          <w:tcPr>
            <w:tcW w:w="2351" w:type="dxa"/>
          </w:tcPr>
          <w:p>
            <w:pPr>
              <w:pStyle w:val="TableParagraph"/>
              <w:spacing w:line="243" w:lineRule="exact"/>
              <w:rPr>
                <w:sz w:val="20"/>
              </w:rPr>
            </w:pPr>
            <w:r>
              <w:rPr>
                <w:sz w:val="20"/>
              </w:rPr>
              <w:t>4, 5</w:t>
            </w:r>
          </w:p>
        </w:tc>
      </w:tr>
      <w:tr>
        <w:trPr>
          <w:trHeight w:val="1720" w:hRule="exact"/>
        </w:trPr>
        <w:tc>
          <w:tcPr>
            <w:tcW w:w="2123" w:type="dxa"/>
          </w:tcPr>
          <w:p>
            <w:pPr>
              <w:pStyle w:val="TableParagraph"/>
              <w:tabs>
                <w:tab w:pos="463" w:val="left" w:leader="none"/>
              </w:tabs>
              <w:spacing w:line="259" w:lineRule="auto" w:before="1"/>
              <w:ind w:left="463" w:right="374" w:hanging="360"/>
              <w:rPr>
                <w:sz w:val="20"/>
              </w:rPr>
            </w:pPr>
            <w:r>
              <w:rPr>
                <w:sz w:val="20"/>
              </w:rPr>
              <w:t>6.</w:t>
              <w:tab/>
              <w:t>Starting</w:t>
            </w:r>
            <w:r>
              <w:rPr>
                <w:spacing w:val="-4"/>
                <w:sz w:val="20"/>
              </w:rPr>
              <w:t> </w:t>
            </w:r>
            <w:r>
              <w:rPr>
                <w:sz w:val="20"/>
              </w:rPr>
              <w:t>the</w:t>
            </w:r>
            <w:r>
              <w:rPr>
                <w:w w:val="100"/>
                <w:sz w:val="20"/>
              </w:rPr>
              <w:t> </w:t>
            </w:r>
            <w:r>
              <w:rPr>
                <w:sz w:val="20"/>
              </w:rPr>
              <w:t>conversation about</w:t>
            </w:r>
            <w:r>
              <w:rPr>
                <w:spacing w:val="-5"/>
                <w:sz w:val="20"/>
              </w:rPr>
              <w:t> </w:t>
            </w:r>
            <w:r>
              <w:rPr>
                <w:sz w:val="20"/>
              </w:rPr>
              <w:t>naloxone</w:t>
            </w:r>
          </w:p>
        </w:tc>
        <w:tc>
          <w:tcPr>
            <w:tcW w:w="1724" w:type="dxa"/>
          </w:tcPr>
          <w:p>
            <w:pPr>
              <w:pStyle w:val="TableParagraph"/>
              <w:ind w:right="307"/>
              <w:rPr>
                <w:sz w:val="20"/>
              </w:rPr>
            </w:pPr>
            <w:r>
              <w:rPr>
                <w:sz w:val="20"/>
              </w:rPr>
              <w:t>Missouri Opioid State Targeted Response</w:t>
            </w:r>
          </w:p>
        </w:tc>
        <w:tc>
          <w:tcPr>
            <w:tcW w:w="1145" w:type="dxa"/>
          </w:tcPr>
          <w:p>
            <w:pPr>
              <w:pStyle w:val="TableParagraph"/>
              <w:rPr>
                <w:sz w:val="20"/>
              </w:rPr>
            </w:pPr>
            <w:r>
              <w:rPr>
                <w:sz w:val="20"/>
              </w:rPr>
              <w:t>n.d.</w:t>
            </w:r>
          </w:p>
        </w:tc>
        <w:tc>
          <w:tcPr>
            <w:tcW w:w="991" w:type="dxa"/>
          </w:tcPr>
          <w:p>
            <w:pPr>
              <w:pStyle w:val="TableParagraph"/>
              <w:ind w:right="109"/>
              <w:rPr>
                <w:sz w:val="20"/>
              </w:rPr>
            </w:pPr>
            <w:r>
              <w:rPr>
                <w:sz w:val="20"/>
              </w:rPr>
              <w:t>Missouri, USA</w:t>
            </w:r>
          </w:p>
        </w:tc>
        <w:tc>
          <w:tcPr>
            <w:tcW w:w="2696" w:type="dxa"/>
          </w:tcPr>
          <w:p>
            <w:pPr>
              <w:pStyle w:val="TableParagraph"/>
              <w:ind w:right="103"/>
              <w:jc w:val="both"/>
              <w:rPr>
                <w:sz w:val="20"/>
              </w:rPr>
            </w:pPr>
            <w:r>
              <w:rPr>
                <w:color w:val="0000FF"/>
                <w:sz w:val="20"/>
                <w:u w:val="single" w:color="0000FF"/>
              </w:rPr>
              <w:t>https://static1.squarespace.co m/static/594939ba197aea24a 334ef60/t/59f9f0a69140b72b 3a923289/1509552294799/St</w:t>
            </w:r>
          </w:p>
          <w:p>
            <w:pPr>
              <w:pStyle w:val="TableParagraph"/>
              <w:ind w:right="133"/>
              <w:jc w:val="both"/>
              <w:rPr>
                <w:sz w:val="20"/>
              </w:rPr>
            </w:pPr>
            <w:r>
              <w:rPr>
                <w:color w:val="0000FF"/>
                <w:sz w:val="20"/>
                <w:u w:val="single" w:color="0000FF"/>
              </w:rPr>
              <w:t>arting+the+Conversation+Abo ut+Naloxone.pdf</w:t>
            </w:r>
          </w:p>
        </w:tc>
        <w:tc>
          <w:tcPr>
            <w:tcW w:w="1132" w:type="dxa"/>
          </w:tcPr>
          <w:p>
            <w:pPr>
              <w:pStyle w:val="TableParagraph"/>
              <w:rPr>
                <w:sz w:val="20"/>
              </w:rPr>
            </w:pPr>
            <w:r>
              <w:rPr>
                <w:sz w:val="20"/>
              </w:rPr>
              <w:t>23/08/19</w:t>
            </w:r>
          </w:p>
        </w:tc>
        <w:tc>
          <w:tcPr>
            <w:tcW w:w="994" w:type="dxa"/>
          </w:tcPr>
          <w:p>
            <w:pPr>
              <w:pStyle w:val="TableParagraph"/>
              <w:rPr>
                <w:sz w:val="20"/>
              </w:rPr>
            </w:pPr>
            <w:r>
              <w:rPr>
                <w:w w:val="100"/>
                <w:sz w:val="20"/>
              </w:rPr>
              <w:t>1</w:t>
            </w:r>
          </w:p>
        </w:tc>
        <w:tc>
          <w:tcPr>
            <w:tcW w:w="1277" w:type="dxa"/>
          </w:tcPr>
          <w:p>
            <w:pPr>
              <w:pStyle w:val="TableParagraph"/>
              <w:rPr>
                <w:sz w:val="20"/>
              </w:rPr>
            </w:pPr>
            <w:r>
              <w:rPr>
                <w:sz w:val="20"/>
              </w:rPr>
              <w:t>1 (factsheet)</w:t>
            </w:r>
          </w:p>
        </w:tc>
        <w:tc>
          <w:tcPr>
            <w:tcW w:w="1556" w:type="dxa"/>
          </w:tcPr>
          <w:p>
            <w:pPr>
              <w:pStyle w:val="TableParagraph"/>
              <w:rPr>
                <w:sz w:val="20"/>
              </w:rPr>
            </w:pPr>
            <w:r>
              <w:rPr>
                <w:w w:val="100"/>
                <w:sz w:val="20"/>
              </w:rPr>
              <w:t>3</w:t>
            </w:r>
          </w:p>
        </w:tc>
        <w:tc>
          <w:tcPr>
            <w:tcW w:w="2351" w:type="dxa"/>
          </w:tcPr>
          <w:p>
            <w:pPr>
              <w:pStyle w:val="TableParagraph"/>
              <w:rPr>
                <w:sz w:val="20"/>
              </w:rPr>
            </w:pPr>
            <w:r>
              <w:rPr>
                <w:sz w:val="20"/>
              </w:rPr>
              <w:t>4, 5</w:t>
            </w:r>
          </w:p>
        </w:tc>
      </w:tr>
      <w:tr>
        <w:trPr>
          <w:trHeight w:val="986" w:hRule="exact"/>
        </w:trPr>
        <w:tc>
          <w:tcPr>
            <w:tcW w:w="2123" w:type="dxa"/>
          </w:tcPr>
          <w:p>
            <w:pPr>
              <w:pStyle w:val="TableParagraph"/>
              <w:tabs>
                <w:tab w:pos="463" w:val="left" w:leader="none"/>
              </w:tabs>
              <w:ind w:left="463" w:right="312" w:hanging="360"/>
              <w:rPr>
                <w:sz w:val="20"/>
              </w:rPr>
            </w:pPr>
            <w:r>
              <w:rPr>
                <w:sz w:val="20"/>
              </w:rPr>
              <w:t>7.</w:t>
              <w:tab/>
              <w:t>Pharmacists</w:t>
            </w:r>
            <w:r>
              <w:rPr>
                <w:spacing w:val="-6"/>
                <w:sz w:val="20"/>
              </w:rPr>
              <w:t> </w:t>
            </w:r>
            <w:r>
              <w:rPr>
                <w:sz w:val="20"/>
              </w:rPr>
              <w:t>and</w:t>
            </w:r>
            <w:r>
              <w:rPr>
                <w:w w:val="100"/>
                <w:sz w:val="20"/>
              </w:rPr>
              <w:t> </w:t>
            </w:r>
            <w:r>
              <w:rPr>
                <w:sz w:val="20"/>
              </w:rPr>
              <w:t>naloxone: Let’s talk about</w:t>
            </w:r>
            <w:r>
              <w:rPr>
                <w:spacing w:val="-3"/>
                <w:sz w:val="20"/>
              </w:rPr>
              <w:t> </w:t>
            </w:r>
            <w:r>
              <w:rPr>
                <w:sz w:val="20"/>
              </w:rPr>
              <w:t>it!</w:t>
            </w:r>
          </w:p>
        </w:tc>
        <w:tc>
          <w:tcPr>
            <w:tcW w:w="1724" w:type="dxa"/>
          </w:tcPr>
          <w:p>
            <w:pPr>
              <w:pStyle w:val="TableParagraph"/>
              <w:ind w:right="388"/>
              <w:rPr>
                <w:sz w:val="20"/>
              </w:rPr>
            </w:pPr>
            <w:r>
              <w:rPr>
                <w:sz w:val="20"/>
              </w:rPr>
              <w:t>Indiana State Department of Health</w:t>
            </w:r>
          </w:p>
        </w:tc>
        <w:tc>
          <w:tcPr>
            <w:tcW w:w="1145" w:type="dxa"/>
          </w:tcPr>
          <w:p>
            <w:pPr>
              <w:pStyle w:val="TableParagraph"/>
              <w:spacing w:line="243" w:lineRule="exact"/>
              <w:rPr>
                <w:sz w:val="20"/>
              </w:rPr>
            </w:pPr>
            <w:r>
              <w:rPr>
                <w:sz w:val="20"/>
              </w:rPr>
              <w:t>n.d.</w:t>
            </w:r>
          </w:p>
        </w:tc>
        <w:tc>
          <w:tcPr>
            <w:tcW w:w="991" w:type="dxa"/>
          </w:tcPr>
          <w:p>
            <w:pPr>
              <w:pStyle w:val="TableParagraph"/>
              <w:ind w:right="205"/>
              <w:rPr>
                <w:sz w:val="20"/>
              </w:rPr>
            </w:pPr>
            <w:r>
              <w:rPr>
                <w:sz w:val="20"/>
              </w:rPr>
              <w:t>Indiana, USA</w:t>
            </w:r>
          </w:p>
        </w:tc>
        <w:tc>
          <w:tcPr>
            <w:tcW w:w="2696" w:type="dxa"/>
          </w:tcPr>
          <w:p>
            <w:pPr>
              <w:pStyle w:val="TableParagraph"/>
              <w:spacing w:line="243" w:lineRule="exact"/>
              <w:rPr>
                <w:sz w:val="20"/>
              </w:rPr>
            </w:pPr>
            <w:r>
              <w:rPr>
                <w:color w:val="0000FF"/>
                <w:sz w:val="20"/>
                <w:u w:val="single" w:color="0000FF"/>
              </w:rPr>
              <w:t>https://</w:t>
            </w:r>
            <w:hyperlink r:id="rId29">
              <w:r>
                <w:rPr>
                  <w:color w:val="0000FF"/>
                  <w:sz w:val="20"/>
                  <w:u w:val="single" w:color="0000FF"/>
                </w:rPr>
                <w:t>www.in.gov/isdh/files</w:t>
              </w:r>
            </w:hyperlink>
          </w:p>
          <w:p>
            <w:pPr>
              <w:pStyle w:val="TableParagraph"/>
              <w:ind w:right="203"/>
              <w:rPr>
                <w:sz w:val="20"/>
              </w:rPr>
            </w:pPr>
            <w:r>
              <w:rPr>
                <w:color w:val="0000FF"/>
                <w:sz w:val="20"/>
                <w:u w:val="single" w:color="0000FF"/>
              </w:rPr>
              <w:t>/75_Pharmacists%20and%20 Naloxone.pdf</w:t>
            </w:r>
          </w:p>
        </w:tc>
        <w:tc>
          <w:tcPr>
            <w:tcW w:w="1132" w:type="dxa"/>
          </w:tcPr>
          <w:p>
            <w:pPr>
              <w:pStyle w:val="TableParagraph"/>
              <w:spacing w:line="243" w:lineRule="exact"/>
              <w:rPr>
                <w:sz w:val="20"/>
              </w:rPr>
            </w:pPr>
            <w:r>
              <w:rPr>
                <w:sz w:val="20"/>
              </w:rPr>
              <w:t>23/08/19</w:t>
            </w:r>
          </w:p>
        </w:tc>
        <w:tc>
          <w:tcPr>
            <w:tcW w:w="994" w:type="dxa"/>
          </w:tcPr>
          <w:p>
            <w:pPr>
              <w:pStyle w:val="TableParagraph"/>
              <w:spacing w:line="243" w:lineRule="exact"/>
              <w:rPr>
                <w:sz w:val="20"/>
              </w:rPr>
            </w:pPr>
            <w:r>
              <w:rPr>
                <w:w w:val="100"/>
                <w:sz w:val="20"/>
              </w:rPr>
              <w:t>1</w:t>
            </w:r>
          </w:p>
        </w:tc>
        <w:tc>
          <w:tcPr>
            <w:tcW w:w="1277" w:type="dxa"/>
          </w:tcPr>
          <w:p>
            <w:pPr>
              <w:pStyle w:val="TableParagraph"/>
              <w:spacing w:line="243" w:lineRule="exact"/>
              <w:rPr>
                <w:sz w:val="20"/>
              </w:rPr>
            </w:pPr>
            <w:r>
              <w:rPr>
                <w:sz w:val="20"/>
              </w:rPr>
              <w:t>1 (factsheet)</w:t>
            </w:r>
          </w:p>
        </w:tc>
        <w:tc>
          <w:tcPr>
            <w:tcW w:w="1556" w:type="dxa"/>
          </w:tcPr>
          <w:p>
            <w:pPr>
              <w:pStyle w:val="TableParagraph"/>
              <w:spacing w:line="243" w:lineRule="exact"/>
              <w:rPr>
                <w:sz w:val="20"/>
              </w:rPr>
            </w:pPr>
            <w:r>
              <w:rPr>
                <w:w w:val="100"/>
                <w:sz w:val="20"/>
              </w:rPr>
              <w:t>3</w:t>
            </w:r>
          </w:p>
        </w:tc>
        <w:tc>
          <w:tcPr>
            <w:tcW w:w="2351" w:type="dxa"/>
          </w:tcPr>
          <w:p>
            <w:pPr>
              <w:pStyle w:val="TableParagraph"/>
              <w:spacing w:line="243" w:lineRule="exact"/>
              <w:rPr>
                <w:sz w:val="20"/>
              </w:rPr>
            </w:pPr>
            <w:r>
              <w:rPr>
                <w:sz w:val="20"/>
              </w:rPr>
              <w:t>4, 5</w:t>
            </w:r>
          </w:p>
        </w:tc>
      </w:tr>
      <w:tr>
        <w:trPr>
          <w:trHeight w:val="1475" w:hRule="exact"/>
        </w:trPr>
        <w:tc>
          <w:tcPr>
            <w:tcW w:w="2123" w:type="dxa"/>
          </w:tcPr>
          <w:p>
            <w:pPr>
              <w:pStyle w:val="TableParagraph"/>
              <w:tabs>
                <w:tab w:pos="463" w:val="left" w:leader="none"/>
              </w:tabs>
              <w:ind w:left="463" w:right="121" w:hanging="360"/>
              <w:rPr>
                <w:sz w:val="20"/>
              </w:rPr>
            </w:pPr>
            <w:r>
              <w:rPr>
                <w:sz w:val="20"/>
              </w:rPr>
              <w:t>8.</w:t>
              <w:tab/>
              <w:t>Pharmacist</w:t>
            </w:r>
            <w:r>
              <w:rPr>
                <w:spacing w:val="-7"/>
                <w:sz w:val="20"/>
              </w:rPr>
              <w:t> </w:t>
            </w:r>
            <w:r>
              <w:rPr>
                <w:sz w:val="20"/>
              </w:rPr>
              <w:t>Clinical</w:t>
            </w:r>
            <w:r>
              <w:rPr>
                <w:w w:val="100"/>
                <w:sz w:val="20"/>
              </w:rPr>
              <w:t> </w:t>
            </w:r>
            <w:r>
              <w:rPr>
                <w:sz w:val="20"/>
              </w:rPr>
              <w:t>Tool for Initiating Naloxone Discussions</w:t>
            </w:r>
          </w:p>
        </w:tc>
        <w:tc>
          <w:tcPr>
            <w:tcW w:w="1724" w:type="dxa"/>
          </w:tcPr>
          <w:p>
            <w:pPr>
              <w:pStyle w:val="TableParagraph"/>
              <w:ind w:right="664"/>
              <w:rPr>
                <w:sz w:val="20"/>
              </w:rPr>
            </w:pPr>
            <w:r>
              <w:rPr>
                <w:sz w:val="20"/>
              </w:rPr>
              <w:t>Ontario Pharmacist Association</w:t>
            </w:r>
          </w:p>
        </w:tc>
        <w:tc>
          <w:tcPr>
            <w:tcW w:w="1145" w:type="dxa"/>
          </w:tcPr>
          <w:p>
            <w:pPr>
              <w:pStyle w:val="TableParagraph"/>
              <w:spacing w:line="243" w:lineRule="exact"/>
              <w:rPr>
                <w:sz w:val="20"/>
              </w:rPr>
            </w:pPr>
            <w:r>
              <w:rPr>
                <w:sz w:val="20"/>
              </w:rPr>
              <w:t>n.d.</w:t>
            </w:r>
          </w:p>
        </w:tc>
        <w:tc>
          <w:tcPr>
            <w:tcW w:w="991" w:type="dxa"/>
          </w:tcPr>
          <w:p>
            <w:pPr>
              <w:pStyle w:val="TableParagraph"/>
              <w:ind w:right="187"/>
              <w:rPr>
                <w:sz w:val="20"/>
              </w:rPr>
            </w:pPr>
            <w:r>
              <w:rPr>
                <w:sz w:val="20"/>
              </w:rPr>
              <w:t>Ontario, Canada</w:t>
            </w:r>
          </w:p>
        </w:tc>
        <w:tc>
          <w:tcPr>
            <w:tcW w:w="2696" w:type="dxa"/>
          </w:tcPr>
          <w:p>
            <w:pPr>
              <w:pStyle w:val="TableParagraph"/>
              <w:ind w:right="206"/>
              <w:rPr>
                <w:sz w:val="20"/>
              </w:rPr>
            </w:pPr>
            <w:r>
              <w:rPr>
                <w:color w:val="0000FF"/>
                <w:sz w:val="20"/>
                <w:u w:val="single" w:color="0000FF"/>
              </w:rPr>
              <w:t>https://</w:t>
            </w:r>
            <w:hyperlink r:id="rId30">
              <w:r>
                <w:rPr>
                  <w:color w:val="0000FF"/>
                  <w:sz w:val="20"/>
                  <w:u w:val="single" w:color="0000FF"/>
                </w:rPr>
                <w:t>www.opatoday.com/</w:t>
              </w:r>
            </w:hyperlink>
            <w:r>
              <w:rPr>
                <w:color w:val="0000FF"/>
                <w:sz w:val="20"/>
                <w:u w:val="single" w:color="0000FF"/>
              </w:rPr>
              <w:t> Media/Default/Tools%20and</w:t>
            </w:r>
          </w:p>
          <w:p>
            <w:pPr>
              <w:pStyle w:val="TableParagraph"/>
              <w:spacing w:line="243" w:lineRule="exact" w:before="1"/>
              <w:rPr>
                <w:sz w:val="20"/>
              </w:rPr>
            </w:pPr>
            <w:r>
              <w:rPr>
                <w:color w:val="0000FF"/>
                <w:sz w:val="20"/>
                <w:u w:val="single" w:color="0000FF"/>
              </w:rPr>
              <w:t>%20Forms%20-</w:t>
            </w:r>
          </w:p>
          <w:p>
            <w:pPr>
              <w:pStyle w:val="TableParagraph"/>
              <w:ind w:right="549"/>
              <w:rPr>
                <w:sz w:val="20"/>
              </w:rPr>
            </w:pPr>
            <w:r>
              <w:rPr>
                <w:color w:val="0000FF"/>
                <w:sz w:val="20"/>
                <w:u w:val="single" w:color="0000FF"/>
              </w:rPr>
              <w:t>%20Naloxone/Naloxone- Clinical-Tools.pdf</w:t>
            </w:r>
          </w:p>
        </w:tc>
        <w:tc>
          <w:tcPr>
            <w:tcW w:w="1132" w:type="dxa"/>
          </w:tcPr>
          <w:p>
            <w:pPr>
              <w:pStyle w:val="TableParagraph"/>
              <w:spacing w:line="243" w:lineRule="exact"/>
              <w:rPr>
                <w:sz w:val="20"/>
              </w:rPr>
            </w:pPr>
            <w:r>
              <w:rPr>
                <w:sz w:val="20"/>
              </w:rPr>
              <w:t>27/08/19</w:t>
            </w:r>
          </w:p>
        </w:tc>
        <w:tc>
          <w:tcPr>
            <w:tcW w:w="994" w:type="dxa"/>
          </w:tcPr>
          <w:p>
            <w:pPr>
              <w:pStyle w:val="TableParagraph"/>
              <w:spacing w:line="243" w:lineRule="exact"/>
              <w:rPr>
                <w:sz w:val="20"/>
              </w:rPr>
            </w:pPr>
            <w:r>
              <w:rPr>
                <w:w w:val="100"/>
                <w:sz w:val="20"/>
              </w:rPr>
              <w:t>3</w:t>
            </w:r>
          </w:p>
        </w:tc>
        <w:tc>
          <w:tcPr>
            <w:tcW w:w="1277" w:type="dxa"/>
          </w:tcPr>
          <w:p>
            <w:pPr>
              <w:pStyle w:val="TableParagraph"/>
              <w:spacing w:line="243" w:lineRule="exact"/>
              <w:rPr>
                <w:sz w:val="20"/>
              </w:rPr>
            </w:pPr>
            <w:r>
              <w:rPr>
                <w:w w:val="100"/>
                <w:sz w:val="20"/>
              </w:rPr>
              <w:t>1</w:t>
            </w:r>
          </w:p>
        </w:tc>
        <w:tc>
          <w:tcPr>
            <w:tcW w:w="1556" w:type="dxa"/>
          </w:tcPr>
          <w:p>
            <w:pPr>
              <w:pStyle w:val="TableParagraph"/>
              <w:spacing w:line="243" w:lineRule="exact"/>
              <w:rPr>
                <w:sz w:val="20"/>
              </w:rPr>
            </w:pPr>
            <w:r>
              <w:rPr>
                <w:w w:val="100"/>
                <w:sz w:val="20"/>
              </w:rPr>
              <w:t>3</w:t>
            </w:r>
          </w:p>
        </w:tc>
        <w:tc>
          <w:tcPr>
            <w:tcW w:w="2351" w:type="dxa"/>
          </w:tcPr>
          <w:p>
            <w:pPr>
              <w:pStyle w:val="TableParagraph"/>
              <w:spacing w:line="243" w:lineRule="exact"/>
              <w:rPr>
                <w:sz w:val="20"/>
              </w:rPr>
            </w:pPr>
            <w:r>
              <w:rPr>
                <w:sz w:val="20"/>
              </w:rPr>
              <w:t>1, 4, 5</w:t>
            </w:r>
          </w:p>
        </w:tc>
      </w:tr>
      <w:tr>
        <w:trPr>
          <w:trHeight w:val="1231" w:hRule="exact"/>
        </w:trPr>
        <w:tc>
          <w:tcPr>
            <w:tcW w:w="2123" w:type="dxa"/>
          </w:tcPr>
          <w:p>
            <w:pPr>
              <w:pStyle w:val="TableParagraph"/>
              <w:tabs>
                <w:tab w:pos="463" w:val="left" w:leader="none"/>
              </w:tabs>
              <w:spacing w:line="243" w:lineRule="exact"/>
              <w:rPr>
                <w:sz w:val="20"/>
              </w:rPr>
            </w:pPr>
            <w:r>
              <w:rPr>
                <w:sz w:val="20"/>
              </w:rPr>
              <w:t>9.</w:t>
              <w:tab/>
              <w:t>Guide</w:t>
            </w:r>
            <w:r>
              <w:rPr>
                <w:spacing w:val="-2"/>
                <w:sz w:val="20"/>
              </w:rPr>
              <w:t> </w:t>
            </w:r>
            <w:r>
              <w:rPr>
                <w:sz w:val="20"/>
              </w:rPr>
              <w:t>for</w:t>
            </w:r>
          </w:p>
          <w:p>
            <w:pPr>
              <w:pStyle w:val="TableParagraph"/>
              <w:ind w:left="463" w:right="645"/>
              <w:rPr>
                <w:sz w:val="20"/>
              </w:rPr>
            </w:pPr>
            <w:r>
              <w:rPr>
                <w:sz w:val="20"/>
              </w:rPr>
              <w:t>pharmacists dispensing naloxone to patients</w:t>
            </w:r>
          </w:p>
        </w:tc>
        <w:tc>
          <w:tcPr>
            <w:tcW w:w="1724" w:type="dxa"/>
          </w:tcPr>
          <w:p>
            <w:pPr>
              <w:pStyle w:val="TableParagraph"/>
              <w:spacing w:line="243" w:lineRule="exact"/>
              <w:rPr>
                <w:sz w:val="20"/>
              </w:rPr>
            </w:pPr>
            <w:r>
              <w:rPr>
                <w:sz w:val="20"/>
              </w:rPr>
              <w:t>Prevent-Protect</w:t>
            </w:r>
          </w:p>
        </w:tc>
        <w:tc>
          <w:tcPr>
            <w:tcW w:w="1145" w:type="dxa"/>
          </w:tcPr>
          <w:p>
            <w:pPr>
              <w:pStyle w:val="TableParagraph"/>
              <w:spacing w:line="243" w:lineRule="exact"/>
              <w:rPr>
                <w:sz w:val="20"/>
              </w:rPr>
            </w:pPr>
            <w:r>
              <w:rPr>
                <w:sz w:val="20"/>
              </w:rPr>
              <w:t>n.d.</w:t>
            </w:r>
          </w:p>
        </w:tc>
        <w:tc>
          <w:tcPr>
            <w:tcW w:w="991" w:type="dxa"/>
          </w:tcPr>
          <w:p>
            <w:pPr>
              <w:pStyle w:val="TableParagraph"/>
              <w:spacing w:line="243" w:lineRule="exact"/>
              <w:rPr>
                <w:sz w:val="20"/>
              </w:rPr>
            </w:pPr>
            <w:r>
              <w:rPr>
                <w:sz w:val="20"/>
              </w:rPr>
              <w:t>USA</w:t>
            </w:r>
          </w:p>
        </w:tc>
        <w:tc>
          <w:tcPr>
            <w:tcW w:w="2696" w:type="dxa"/>
          </w:tcPr>
          <w:p>
            <w:pPr>
              <w:pStyle w:val="TableParagraph"/>
              <w:ind w:right="128"/>
              <w:rPr>
                <w:sz w:val="20"/>
              </w:rPr>
            </w:pPr>
            <w:r>
              <w:rPr>
                <w:color w:val="0000FF"/>
                <w:sz w:val="20"/>
                <w:u w:val="single" w:color="0000FF"/>
              </w:rPr>
              <w:t>https://prescribetoprevent.or g/wp2015/wp- content/uploads/training_too l_translations_english.pdf</w:t>
            </w:r>
          </w:p>
        </w:tc>
        <w:tc>
          <w:tcPr>
            <w:tcW w:w="1132" w:type="dxa"/>
          </w:tcPr>
          <w:p>
            <w:pPr>
              <w:pStyle w:val="TableParagraph"/>
              <w:spacing w:line="243" w:lineRule="exact"/>
              <w:rPr>
                <w:sz w:val="20"/>
              </w:rPr>
            </w:pPr>
            <w:r>
              <w:rPr>
                <w:sz w:val="20"/>
              </w:rPr>
              <w:t>27/08/19</w:t>
            </w:r>
          </w:p>
        </w:tc>
        <w:tc>
          <w:tcPr>
            <w:tcW w:w="994" w:type="dxa"/>
          </w:tcPr>
          <w:p>
            <w:pPr>
              <w:pStyle w:val="TableParagraph"/>
              <w:spacing w:line="243" w:lineRule="exact"/>
              <w:rPr>
                <w:sz w:val="20"/>
              </w:rPr>
            </w:pPr>
            <w:r>
              <w:rPr>
                <w:w w:val="100"/>
                <w:sz w:val="20"/>
              </w:rPr>
              <w:t>2</w:t>
            </w:r>
          </w:p>
        </w:tc>
        <w:tc>
          <w:tcPr>
            <w:tcW w:w="1277" w:type="dxa"/>
          </w:tcPr>
          <w:p>
            <w:pPr>
              <w:pStyle w:val="TableParagraph"/>
              <w:spacing w:line="243" w:lineRule="exact"/>
              <w:rPr>
                <w:sz w:val="20"/>
              </w:rPr>
            </w:pPr>
            <w:r>
              <w:rPr>
                <w:w w:val="100"/>
                <w:sz w:val="20"/>
              </w:rPr>
              <w:t>1</w:t>
            </w:r>
          </w:p>
        </w:tc>
        <w:tc>
          <w:tcPr>
            <w:tcW w:w="1556" w:type="dxa"/>
          </w:tcPr>
          <w:p>
            <w:pPr>
              <w:pStyle w:val="TableParagraph"/>
              <w:spacing w:line="243" w:lineRule="exact"/>
              <w:rPr>
                <w:sz w:val="20"/>
              </w:rPr>
            </w:pPr>
            <w:r>
              <w:rPr>
                <w:w w:val="100"/>
                <w:sz w:val="20"/>
              </w:rPr>
              <w:t>3</w:t>
            </w:r>
          </w:p>
        </w:tc>
        <w:tc>
          <w:tcPr>
            <w:tcW w:w="2351" w:type="dxa"/>
          </w:tcPr>
          <w:p>
            <w:pPr>
              <w:pStyle w:val="TableParagraph"/>
              <w:spacing w:line="243" w:lineRule="exact"/>
              <w:rPr>
                <w:sz w:val="20"/>
              </w:rPr>
            </w:pPr>
            <w:r>
              <w:rPr>
                <w:sz w:val="20"/>
              </w:rPr>
              <w:t>1, 3, 4, 5</w:t>
            </w:r>
          </w:p>
        </w:tc>
      </w:tr>
    </w:tbl>
    <w:p>
      <w:pPr>
        <w:spacing w:after="0" w:line="243" w:lineRule="exact"/>
        <w:rPr>
          <w:sz w:val="20"/>
        </w:rPr>
        <w:sectPr>
          <w:pgSz w:w="16840" w:h="11910" w:orient="landscape"/>
          <w:pgMar w:header="0" w:footer="1269" w:top="1100" w:bottom="1460" w:left="300" w:right="320"/>
        </w:sectPr>
      </w:pPr>
    </w:p>
    <w:p>
      <w:pPr>
        <w:pStyle w:val="BodyText"/>
        <w:rPr>
          <w:rFonts w:ascii="Times New Roman"/>
          <w:sz w:val="20"/>
        </w:rPr>
      </w:pPr>
    </w:p>
    <w:p>
      <w:pPr>
        <w:pStyle w:val="BodyText"/>
        <w:spacing w:before="5"/>
        <w:rPr>
          <w:rFonts w:ascii="Times New Roman"/>
          <w:sz w:val="17"/>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3"/>
        <w:gridCol w:w="1724"/>
        <w:gridCol w:w="1145"/>
        <w:gridCol w:w="991"/>
        <w:gridCol w:w="2696"/>
        <w:gridCol w:w="1132"/>
        <w:gridCol w:w="994"/>
        <w:gridCol w:w="1277"/>
        <w:gridCol w:w="1556"/>
        <w:gridCol w:w="2351"/>
      </w:tblGrid>
      <w:tr>
        <w:trPr>
          <w:trHeight w:val="2207" w:hRule="exact"/>
        </w:trPr>
        <w:tc>
          <w:tcPr>
            <w:tcW w:w="2123" w:type="dxa"/>
          </w:tcPr>
          <w:p>
            <w:pPr>
              <w:pStyle w:val="TableParagraph"/>
              <w:ind w:left="463" w:right="323" w:hanging="360"/>
              <w:rPr>
                <w:sz w:val="20"/>
              </w:rPr>
            </w:pPr>
            <w:r>
              <w:rPr>
                <w:sz w:val="20"/>
              </w:rPr>
              <w:t>10. Let’s talk about naloxone — it saves lives</w:t>
            </w:r>
          </w:p>
        </w:tc>
        <w:tc>
          <w:tcPr>
            <w:tcW w:w="1724" w:type="dxa"/>
          </w:tcPr>
          <w:p>
            <w:pPr>
              <w:pStyle w:val="TableParagraph"/>
              <w:ind w:right="104"/>
              <w:rPr>
                <w:sz w:val="20"/>
              </w:rPr>
            </w:pPr>
            <w:r>
              <w:rPr>
                <w:sz w:val="20"/>
              </w:rPr>
              <w:t>Pain, Palliative Care, and Addiction Special Interest Group in the APhA Academy of Pharmacy Practice &amp; Management</w:t>
            </w:r>
          </w:p>
        </w:tc>
        <w:tc>
          <w:tcPr>
            <w:tcW w:w="1145" w:type="dxa"/>
          </w:tcPr>
          <w:p>
            <w:pPr>
              <w:pStyle w:val="TableParagraph"/>
              <w:spacing w:line="243" w:lineRule="exact"/>
              <w:rPr>
                <w:sz w:val="20"/>
              </w:rPr>
            </w:pPr>
            <w:r>
              <w:rPr>
                <w:sz w:val="20"/>
              </w:rPr>
              <w:t>n.d.</w:t>
            </w:r>
          </w:p>
        </w:tc>
        <w:tc>
          <w:tcPr>
            <w:tcW w:w="991" w:type="dxa"/>
          </w:tcPr>
          <w:p>
            <w:pPr>
              <w:pStyle w:val="TableParagraph"/>
              <w:spacing w:line="243" w:lineRule="exact"/>
              <w:rPr>
                <w:sz w:val="20"/>
              </w:rPr>
            </w:pPr>
            <w:r>
              <w:rPr>
                <w:sz w:val="20"/>
              </w:rPr>
              <w:t>USA</w:t>
            </w:r>
          </w:p>
        </w:tc>
        <w:tc>
          <w:tcPr>
            <w:tcW w:w="2696" w:type="dxa"/>
          </w:tcPr>
          <w:p>
            <w:pPr>
              <w:pStyle w:val="TableParagraph"/>
              <w:spacing w:line="243" w:lineRule="exact"/>
              <w:rPr>
                <w:sz w:val="20"/>
              </w:rPr>
            </w:pPr>
            <w:r>
              <w:rPr>
                <w:color w:val="0000FF"/>
                <w:sz w:val="20"/>
                <w:u w:val="single" w:color="0000FF"/>
              </w:rPr>
              <w:t>https://</w:t>
            </w:r>
            <w:hyperlink r:id="rId31">
              <w:r>
                <w:rPr>
                  <w:color w:val="0000FF"/>
                  <w:sz w:val="20"/>
                  <w:u w:val="single" w:color="0000FF"/>
                </w:rPr>
                <w:t>www.pharmacist.com</w:t>
              </w:r>
            </w:hyperlink>
          </w:p>
          <w:p>
            <w:pPr>
              <w:pStyle w:val="TableParagraph"/>
              <w:ind w:right="158"/>
              <w:rPr>
                <w:sz w:val="20"/>
              </w:rPr>
            </w:pPr>
            <w:r>
              <w:rPr>
                <w:color w:val="0000FF"/>
                <w:sz w:val="20"/>
                <w:u w:val="single" w:color="0000FF"/>
              </w:rPr>
              <w:t>/sites/default/files/audience/ LetsTalkAboutNaloxone.pdf</w:t>
            </w:r>
          </w:p>
        </w:tc>
        <w:tc>
          <w:tcPr>
            <w:tcW w:w="1132" w:type="dxa"/>
          </w:tcPr>
          <w:p>
            <w:pPr>
              <w:pStyle w:val="TableParagraph"/>
              <w:spacing w:line="243" w:lineRule="exact"/>
              <w:rPr>
                <w:sz w:val="20"/>
              </w:rPr>
            </w:pPr>
            <w:r>
              <w:rPr>
                <w:sz w:val="20"/>
              </w:rPr>
              <w:t>27/08/19</w:t>
            </w:r>
          </w:p>
        </w:tc>
        <w:tc>
          <w:tcPr>
            <w:tcW w:w="994" w:type="dxa"/>
          </w:tcPr>
          <w:p>
            <w:pPr>
              <w:pStyle w:val="TableParagraph"/>
              <w:spacing w:line="243" w:lineRule="exact"/>
              <w:rPr>
                <w:sz w:val="20"/>
              </w:rPr>
            </w:pPr>
            <w:r>
              <w:rPr>
                <w:w w:val="100"/>
                <w:sz w:val="20"/>
              </w:rPr>
              <w:t>2</w:t>
            </w:r>
          </w:p>
        </w:tc>
        <w:tc>
          <w:tcPr>
            <w:tcW w:w="1277" w:type="dxa"/>
          </w:tcPr>
          <w:p>
            <w:pPr>
              <w:pStyle w:val="TableParagraph"/>
              <w:spacing w:line="243" w:lineRule="exact"/>
              <w:rPr>
                <w:sz w:val="20"/>
              </w:rPr>
            </w:pPr>
            <w:r>
              <w:rPr>
                <w:sz w:val="20"/>
              </w:rPr>
              <w:t>1 (factsheet)</w:t>
            </w:r>
          </w:p>
        </w:tc>
        <w:tc>
          <w:tcPr>
            <w:tcW w:w="1556" w:type="dxa"/>
          </w:tcPr>
          <w:p>
            <w:pPr>
              <w:pStyle w:val="TableParagraph"/>
              <w:spacing w:line="243" w:lineRule="exact"/>
              <w:rPr>
                <w:sz w:val="20"/>
              </w:rPr>
            </w:pPr>
            <w:r>
              <w:rPr>
                <w:w w:val="100"/>
                <w:sz w:val="20"/>
              </w:rPr>
              <w:t>3</w:t>
            </w:r>
          </w:p>
        </w:tc>
        <w:tc>
          <w:tcPr>
            <w:tcW w:w="2351" w:type="dxa"/>
          </w:tcPr>
          <w:p>
            <w:pPr>
              <w:pStyle w:val="TableParagraph"/>
              <w:spacing w:line="243" w:lineRule="exact"/>
              <w:rPr>
                <w:sz w:val="20"/>
              </w:rPr>
            </w:pPr>
            <w:r>
              <w:rPr>
                <w:sz w:val="20"/>
              </w:rPr>
              <w:t>1, 4, 5</w:t>
            </w:r>
          </w:p>
        </w:tc>
      </w:tr>
      <w:tr>
        <w:trPr>
          <w:trHeight w:val="1475" w:hRule="exact"/>
        </w:trPr>
        <w:tc>
          <w:tcPr>
            <w:tcW w:w="2123" w:type="dxa"/>
          </w:tcPr>
          <w:p>
            <w:pPr>
              <w:pStyle w:val="TableParagraph"/>
              <w:ind w:left="463" w:right="207" w:hanging="360"/>
              <w:rPr>
                <w:sz w:val="20"/>
              </w:rPr>
            </w:pPr>
            <w:r>
              <w:rPr>
                <w:sz w:val="20"/>
              </w:rPr>
              <w:t>11. Pharmacist’s checklist for naloxone training</w:t>
            </w:r>
          </w:p>
        </w:tc>
        <w:tc>
          <w:tcPr>
            <w:tcW w:w="1724" w:type="dxa"/>
          </w:tcPr>
          <w:p>
            <w:pPr>
              <w:pStyle w:val="TableParagraph"/>
              <w:ind w:right="424"/>
              <w:rPr>
                <w:sz w:val="20"/>
              </w:rPr>
            </w:pPr>
            <w:r>
              <w:rPr>
                <w:sz w:val="20"/>
              </w:rPr>
              <w:t>Centre for Addiction and Mental Health</w:t>
            </w:r>
          </w:p>
        </w:tc>
        <w:tc>
          <w:tcPr>
            <w:tcW w:w="1145" w:type="dxa"/>
          </w:tcPr>
          <w:p>
            <w:pPr>
              <w:pStyle w:val="TableParagraph"/>
              <w:spacing w:line="243" w:lineRule="exact"/>
              <w:rPr>
                <w:sz w:val="20"/>
              </w:rPr>
            </w:pPr>
            <w:r>
              <w:rPr>
                <w:sz w:val="20"/>
              </w:rPr>
              <w:t>n.d.</w:t>
            </w:r>
          </w:p>
        </w:tc>
        <w:tc>
          <w:tcPr>
            <w:tcW w:w="991" w:type="dxa"/>
          </w:tcPr>
          <w:p>
            <w:pPr>
              <w:pStyle w:val="TableParagraph"/>
              <w:ind w:right="187"/>
              <w:rPr>
                <w:sz w:val="20"/>
              </w:rPr>
            </w:pPr>
            <w:r>
              <w:rPr>
                <w:sz w:val="20"/>
              </w:rPr>
              <w:t>Ontario, Canada</w:t>
            </w:r>
          </w:p>
        </w:tc>
        <w:tc>
          <w:tcPr>
            <w:tcW w:w="2696" w:type="dxa"/>
          </w:tcPr>
          <w:p>
            <w:pPr>
              <w:pStyle w:val="TableParagraph"/>
              <w:ind w:right="156"/>
              <w:jc w:val="both"/>
              <w:rPr>
                <w:sz w:val="20"/>
              </w:rPr>
            </w:pPr>
            <w:r>
              <w:rPr>
                <w:color w:val="0000FF"/>
                <w:sz w:val="20"/>
                <w:u w:val="single" w:color="0000FF"/>
              </w:rPr>
              <w:t>https://www.porticonetwork. ca/documents/204049/0/Pha rmacist_Naloxonechecklist_a mp.pdf/6d08eefc-a1c5-4723- ac49-ea11fe6ee6a9</w:t>
            </w:r>
          </w:p>
        </w:tc>
        <w:tc>
          <w:tcPr>
            <w:tcW w:w="1132" w:type="dxa"/>
          </w:tcPr>
          <w:p>
            <w:pPr>
              <w:pStyle w:val="TableParagraph"/>
              <w:spacing w:line="243" w:lineRule="exact"/>
              <w:rPr>
                <w:sz w:val="20"/>
              </w:rPr>
            </w:pPr>
            <w:r>
              <w:rPr>
                <w:sz w:val="20"/>
              </w:rPr>
              <w:t>27/08/19</w:t>
            </w:r>
          </w:p>
        </w:tc>
        <w:tc>
          <w:tcPr>
            <w:tcW w:w="994" w:type="dxa"/>
          </w:tcPr>
          <w:p>
            <w:pPr>
              <w:pStyle w:val="TableParagraph"/>
              <w:spacing w:line="243" w:lineRule="exact"/>
              <w:rPr>
                <w:sz w:val="20"/>
              </w:rPr>
            </w:pPr>
            <w:r>
              <w:rPr>
                <w:w w:val="100"/>
                <w:sz w:val="20"/>
              </w:rPr>
              <w:t>1</w:t>
            </w:r>
          </w:p>
        </w:tc>
        <w:tc>
          <w:tcPr>
            <w:tcW w:w="1277" w:type="dxa"/>
          </w:tcPr>
          <w:p>
            <w:pPr>
              <w:pStyle w:val="TableParagraph"/>
              <w:spacing w:line="243" w:lineRule="exact"/>
              <w:rPr>
                <w:sz w:val="20"/>
              </w:rPr>
            </w:pPr>
            <w:r>
              <w:rPr>
                <w:w w:val="100"/>
                <w:sz w:val="20"/>
              </w:rPr>
              <w:t>1</w:t>
            </w:r>
          </w:p>
        </w:tc>
        <w:tc>
          <w:tcPr>
            <w:tcW w:w="1556" w:type="dxa"/>
          </w:tcPr>
          <w:p>
            <w:pPr>
              <w:pStyle w:val="TableParagraph"/>
              <w:spacing w:line="243" w:lineRule="exact"/>
              <w:rPr>
                <w:sz w:val="20"/>
              </w:rPr>
            </w:pPr>
            <w:r>
              <w:rPr>
                <w:w w:val="100"/>
                <w:sz w:val="20"/>
              </w:rPr>
              <w:t>3</w:t>
            </w:r>
          </w:p>
        </w:tc>
        <w:tc>
          <w:tcPr>
            <w:tcW w:w="2351" w:type="dxa"/>
          </w:tcPr>
          <w:p>
            <w:pPr>
              <w:pStyle w:val="TableParagraph"/>
              <w:spacing w:line="243" w:lineRule="exact"/>
              <w:rPr>
                <w:sz w:val="20"/>
              </w:rPr>
            </w:pPr>
            <w:r>
              <w:rPr>
                <w:sz w:val="20"/>
              </w:rPr>
              <w:t>2, 3</w:t>
            </w:r>
          </w:p>
        </w:tc>
      </w:tr>
      <w:tr>
        <w:trPr>
          <w:trHeight w:val="2695" w:hRule="exact"/>
        </w:trPr>
        <w:tc>
          <w:tcPr>
            <w:tcW w:w="2123" w:type="dxa"/>
          </w:tcPr>
          <w:p>
            <w:pPr>
              <w:pStyle w:val="TableParagraph"/>
              <w:spacing w:line="244" w:lineRule="exact"/>
              <w:rPr>
                <w:sz w:val="20"/>
              </w:rPr>
            </w:pPr>
            <w:r>
              <w:rPr>
                <w:sz w:val="20"/>
              </w:rPr>
              <w:t>12.  Overdose</w:t>
            </w:r>
          </w:p>
          <w:p>
            <w:pPr>
              <w:pStyle w:val="TableParagraph"/>
              <w:ind w:left="463" w:right="107"/>
              <w:rPr>
                <w:sz w:val="20"/>
              </w:rPr>
            </w:pPr>
            <w:r>
              <w:rPr>
                <w:sz w:val="20"/>
              </w:rPr>
              <w:t>prevention and response including naloxone:</w:t>
            </w:r>
          </w:p>
          <w:p>
            <w:pPr>
              <w:pStyle w:val="TableParagraph"/>
              <w:ind w:left="463" w:right="397"/>
              <w:rPr>
                <w:sz w:val="20"/>
              </w:rPr>
            </w:pPr>
            <w:r>
              <w:rPr>
                <w:sz w:val="20"/>
              </w:rPr>
              <w:t>Brief advice for clients</w:t>
            </w:r>
          </w:p>
        </w:tc>
        <w:tc>
          <w:tcPr>
            <w:tcW w:w="1724" w:type="dxa"/>
          </w:tcPr>
          <w:p>
            <w:pPr>
              <w:pStyle w:val="TableParagraph"/>
              <w:rPr>
                <w:sz w:val="20"/>
              </w:rPr>
            </w:pPr>
            <w:r>
              <w:rPr>
                <w:sz w:val="20"/>
              </w:rPr>
              <w:t>SA Health</w:t>
            </w:r>
          </w:p>
        </w:tc>
        <w:tc>
          <w:tcPr>
            <w:tcW w:w="1145" w:type="dxa"/>
          </w:tcPr>
          <w:p>
            <w:pPr>
              <w:pStyle w:val="TableParagraph"/>
              <w:rPr>
                <w:sz w:val="20"/>
              </w:rPr>
            </w:pPr>
            <w:r>
              <w:rPr>
                <w:sz w:val="20"/>
              </w:rPr>
              <w:t>n.d.</w:t>
            </w:r>
          </w:p>
        </w:tc>
        <w:tc>
          <w:tcPr>
            <w:tcW w:w="991" w:type="dxa"/>
          </w:tcPr>
          <w:p>
            <w:pPr>
              <w:pStyle w:val="TableParagraph"/>
              <w:ind w:right="139"/>
              <w:rPr>
                <w:sz w:val="20"/>
              </w:rPr>
            </w:pPr>
            <w:r>
              <w:rPr>
                <w:sz w:val="20"/>
              </w:rPr>
              <w:t>South Australia</w:t>
            </w:r>
          </w:p>
        </w:tc>
        <w:tc>
          <w:tcPr>
            <w:tcW w:w="2696" w:type="dxa"/>
          </w:tcPr>
          <w:p>
            <w:pPr>
              <w:pStyle w:val="TableParagraph"/>
              <w:ind w:right="132"/>
              <w:jc w:val="both"/>
              <w:rPr>
                <w:sz w:val="20"/>
              </w:rPr>
            </w:pPr>
            <w:r>
              <w:rPr>
                <w:color w:val="0000FF"/>
                <w:sz w:val="20"/>
                <w:u w:val="single" w:color="0000FF"/>
              </w:rPr>
              <w:t>https://</w:t>
            </w:r>
            <w:hyperlink r:id="rId32">
              <w:r>
                <w:rPr>
                  <w:color w:val="0000FF"/>
                  <w:sz w:val="20"/>
                  <w:u w:val="single" w:color="0000FF"/>
                </w:rPr>
                <w:t>www.sahealth.sa.gov.</w:t>
              </w:r>
            </w:hyperlink>
            <w:r>
              <w:rPr>
                <w:color w:val="0000FF"/>
                <w:sz w:val="20"/>
                <w:u w:val="single" w:color="0000FF"/>
              </w:rPr>
              <w:t> au/wps/wcm/connect/45c8c7 004cb4faf4965c9eb8c791be5 6/Naloxone+-+Brief+advice+-</w:t>
            </w:r>
          </w:p>
          <w:p>
            <w:pPr>
              <w:pStyle w:val="TableParagraph"/>
              <w:ind w:right="84"/>
              <w:rPr>
                <w:sz w:val="20"/>
              </w:rPr>
            </w:pPr>
            <w:r>
              <w:rPr>
                <w:color w:val="0000FF"/>
                <w:sz w:val="20"/>
                <w:u w:val="single" w:color="0000FF"/>
              </w:rPr>
              <w:t>+Guide+for+workers+revised+ 10+January+2019+FINAL+appr oved.pdf?MOD=AJPERES&amp;CA CHEID=ROOTWORKSPACE-</w:t>
            </w:r>
          </w:p>
          <w:p>
            <w:pPr>
              <w:pStyle w:val="TableParagraph"/>
              <w:ind w:right="110"/>
              <w:rPr>
                <w:sz w:val="20"/>
              </w:rPr>
            </w:pPr>
            <w:r>
              <w:rPr>
                <w:color w:val="0000FF"/>
                <w:sz w:val="20"/>
                <w:u w:val="single" w:color="0000FF"/>
              </w:rPr>
              <w:t>45c8c7004cb4faf4965c9eb8c7 91be56-mN5HmHz</w:t>
            </w:r>
          </w:p>
        </w:tc>
        <w:tc>
          <w:tcPr>
            <w:tcW w:w="1132" w:type="dxa"/>
          </w:tcPr>
          <w:p>
            <w:pPr>
              <w:pStyle w:val="TableParagraph"/>
              <w:rPr>
                <w:sz w:val="20"/>
              </w:rPr>
            </w:pPr>
            <w:r>
              <w:rPr>
                <w:sz w:val="20"/>
              </w:rPr>
              <w:t>27/08/19</w:t>
            </w:r>
          </w:p>
        </w:tc>
        <w:tc>
          <w:tcPr>
            <w:tcW w:w="994" w:type="dxa"/>
          </w:tcPr>
          <w:p>
            <w:pPr>
              <w:pStyle w:val="TableParagraph"/>
              <w:rPr>
                <w:sz w:val="20"/>
              </w:rPr>
            </w:pPr>
            <w:r>
              <w:rPr>
                <w:w w:val="100"/>
                <w:sz w:val="20"/>
              </w:rPr>
              <w:t>6</w:t>
            </w:r>
          </w:p>
        </w:tc>
        <w:tc>
          <w:tcPr>
            <w:tcW w:w="1277" w:type="dxa"/>
          </w:tcPr>
          <w:p>
            <w:pPr>
              <w:pStyle w:val="TableParagraph"/>
              <w:rPr>
                <w:sz w:val="20"/>
              </w:rPr>
            </w:pPr>
            <w:r>
              <w:rPr>
                <w:w w:val="100"/>
                <w:sz w:val="20"/>
              </w:rPr>
              <w:t>1</w:t>
            </w:r>
          </w:p>
        </w:tc>
        <w:tc>
          <w:tcPr>
            <w:tcW w:w="1556" w:type="dxa"/>
          </w:tcPr>
          <w:p>
            <w:pPr>
              <w:pStyle w:val="TableParagraph"/>
              <w:rPr>
                <w:sz w:val="20"/>
              </w:rPr>
            </w:pPr>
            <w:r>
              <w:rPr>
                <w:w w:val="100"/>
                <w:sz w:val="20"/>
              </w:rPr>
              <w:t>3</w:t>
            </w:r>
          </w:p>
        </w:tc>
        <w:tc>
          <w:tcPr>
            <w:tcW w:w="2351" w:type="dxa"/>
          </w:tcPr>
          <w:p>
            <w:pPr>
              <w:pStyle w:val="TableParagraph"/>
              <w:rPr>
                <w:sz w:val="20"/>
              </w:rPr>
            </w:pPr>
            <w:r>
              <w:rPr>
                <w:sz w:val="20"/>
              </w:rPr>
              <w:t>1, 2, 3, 4, 5</w:t>
            </w:r>
          </w:p>
        </w:tc>
      </w:tr>
      <w:tr>
        <w:trPr>
          <w:trHeight w:val="1231" w:hRule="exact"/>
        </w:trPr>
        <w:tc>
          <w:tcPr>
            <w:tcW w:w="2123" w:type="dxa"/>
          </w:tcPr>
          <w:p>
            <w:pPr>
              <w:pStyle w:val="TableParagraph"/>
              <w:ind w:left="463" w:right="159" w:hanging="360"/>
              <w:rPr>
                <w:sz w:val="20"/>
              </w:rPr>
            </w:pPr>
            <w:r>
              <w:rPr>
                <w:sz w:val="20"/>
              </w:rPr>
              <w:t>13. Narcan Nasal Spray: The Role of the Pharmacist</w:t>
            </w:r>
          </w:p>
        </w:tc>
        <w:tc>
          <w:tcPr>
            <w:tcW w:w="1724" w:type="dxa"/>
          </w:tcPr>
          <w:p>
            <w:pPr>
              <w:pStyle w:val="TableParagraph"/>
              <w:ind w:right="439"/>
              <w:rPr>
                <w:sz w:val="20"/>
              </w:rPr>
            </w:pPr>
            <w:r>
              <w:rPr>
                <w:sz w:val="20"/>
              </w:rPr>
              <w:t>The Pharmacy Times</w:t>
            </w:r>
          </w:p>
        </w:tc>
        <w:tc>
          <w:tcPr>
            <w:tcW w:w="1145" w:type="dxa"/>
          </w:tcPr>
          <w:p>
            <w:pPr>
              <w:pStyle w:val="TableParagraph"/>
              <w:rPr>
                <w:sz w:val="20"/>
              </w:rPr>
            </w:pPr>
            <w:r>
              <w:rPr>
                <w:sz w:val="20"/>
              </w:rPr>
              <w:t>2019</w:t>
            </w:r>
          </w:p>
        </w:tc>
        <w:tc>
          <w:tcPr>
            <w:tcW w:w="991" w:type="dxa"/>
          </w:tcPr>
          <w:p>
            <w:pPr>
              <w:pStyle w:val="TableParagraph"/>
              <w:rPr>
                <w:sz w:val="20"/>
              </w:rPr>
            </w:pPr>
            <w:r>
              <w:rPr>
                <w:sz w:val="20"/>
              </w:rPr>
              <w:t>USA</w:t>
            </w:r>
          </w:p>
        </w:tc>
        <w:tc>
          <w:tcPr>
            <w:tcW w:w="2696" w:type="dxa"/>
          </w:tcPr>
          <w:p>
            <w:pPr>
              <w:pStyle w:val="TableParagraph"/>
              <w:ind w:right="119"/>
              <w:rPr>
                <w:sz w:val="20"/>
              </w:rPr>
            </w:pPr>
            <w:r>
              <w:rPr>
                <w:color w:val="0000FF"/>
                <w:sz w:val="20"/>
                <w:u w:val="single" w:color="0000FF"/>
              </w:rPr>
              <w:t>https://www.pharmacytimes. com/perfect- consult/opioidoverdose/narca n-training-1</w:t>
            </w:r>
          </w:p>
        </w:tc>
        <w:tc>
          <w:tcPr>
            <w:tcW w:w="1132" w:type="dxa"/>
          </w:tcPr>
          <w:p>
            <w:pPr>
              <w:pStyle w:val="TableParagraph"/>
              <w:rPr>
                <w:sz w:val="20"/>
              </w:rPr>
            </w:pPr>
            <w:r>
              <w:rPr>
                <w:sz w:val="20"/>
              </w:rPr>
              <w:t>27/08/19</w:t>
            </w:r>
          </w:p>
        </w:tc>
        <w:tc>
          <w:tcPr>
            <w:tcW w:w="994" w:type="dxa"/>
          </w:tcPr>
          <w:p>
            <w:pPr>
              <w:pStyle w:val="TableParagraph"/>
              <w:rPr>
                <w:sz w:val="20"/>
              </w:rPr>
            </w:pPr>
            <w:r>
              <w:rPr>
                <w:sz w:val="20"/>
              </w:rPr>
              <w:t>n/a</w:t>
            </w:r>
          </w:p>
        </w:tc>
        <w:tc>
          <w:tcPr>
            <w:tcW w:w="1277" w:type="dxa"/>
          </w:tcPr>
          <w:p>
            <w:pPr>
              <w:pStyle w:val="TableParagraph"/>
              <w:rPr>
                <w:sz w:val="20"/>
              </w:rPr>
            </w:pPr>
            <w:r>
              <w:rPr>
                <w:w w:val="100"/>
                <w:sz w:val="20"/>
              </w:rPr>
              <w:t>4</w:t>
            </w:r>
          </w:p>
        </w:tc>
        <w:tc>
          <w:tcPr>
            <w:tcW w:w="1556" w:type="dxa"/>
          </w:tcPr>
          <w:p>
            <w:pPr>
              <w:pStyle w:val="TableParagraph"/>
              <w:rPr>
                <w:sz w:val="20"/>
              </w:rPr>
            </w:pPr>
            <w:r>
              <w:rPr>
                <w:w w:val="100"/>
                <w:sz w:val="20"/>
              </w:rPr>
              <w:t>3</w:t>
            </w:r>
          </w:p>
        </w:tc>
        <w:tc>
          <w:tcPr>
            <w:tcW w:w="2351" w:type="dxa"/>
          </w:tcPr>
          <w:p>
            <w:pPr>
              <w:pStyle w:val="TableParagraph"/>
              <w:rPr>
                <w:sz w:val="20"/>
              </w:rPr>
            </w:pPr>
            <w:r>
              <w:rPr>
                <w:sz w:val="20"/>
              </w:rPr>
              <w:t>1, 2, 3, 4, 5</w:t>
            </w:r>
          </w:p>
        </w:tc>
      </w:tr>
      <w:tr>
        <w:trPr>
          <w:trHeight w:val="988" w:hRule="exact"/>
        </w:trPr>
        <w:tc>
          <w:tcPr>
            <w:tcW w:w="2123" w:type="dxa"/>
          </w:tcPr>
          <w:p>
            <w:pPr>
              <w:pStyle w:val="TableParagraph"/>
              <w:spacing w:line="243" w:lineRule="exact"/>
              <w:rPr>
                <w:sz w:val="20"/>
              </w:rPr>
            </w:pPr>
            <w:r>
              <w:rPr>
                <w:sz w:val="20"/>
              </w:rPr>
              <w:t>14.  Guide to</w:t>
            </w:r>
          </w:p>
          <w:p>
            <w:pPr>
              <w:pStyle w:val="TableParagraph"/>
              <w:ind w:left="463" w:right="472"/>
              <w:rPr>
                <w:sz w:val="20"/>
              </w:rPr>
            </w:pPr>
            <w:r>
              <w:rPr>
                <w:sz w:val="20"/>
              </w:rPr>
              <w:t>Developing and Managing Overdose</w:t>
            </w:r>
          </w:p>
        </w:tc>
        <w:tc>
          <w:tcPr>
            <w:tcW w:w="1724" w:type="dxa"/>
          </w:tcPr>
          <w:p>
            <w:pPr>
              <w:pStyle w:val="TableParagraph"/>
              <w:ind w:right="270"/>
              <w:rPr>
                <w:sz w:val="20"/>
              </w:rPr>
            </w:pPr>
            <w:r>
              <w:rPr>
                <w:sz w:val="20"/>
              </w:rPr>
              <w:t>Harm Reduction Coalition</w:t>
            </w:r>
          </w:p>
        </w:tc>
        <w:tc>
          <w:tcPr>
            <w:tcW w:w="1145" w:type="dxa"/>
          </w:tcPr>
          <w:p>
            <w:pPr>
              <w:pStyle w:val="TableParagraph"/>
              <w:spacing w:line="243" w:lineRule="exact"/>
              <w:rPr>
                <w:sz w:val="20"/>
              </w:rPr>
            </w:pPr>
            <w:r>
              <w:rPr>
                <w:sz w:val="20"/>
              </w:rPr>
              <w:t>2012</w:t>
            </w:r>
          </w:p>
        </w:tc>
        <w:tc>
          <w:tcPr>
            <w:tcW w:w="991" w:type="dxa"/>
          </w:tcPr>
          <w:p>
            <w:pPr>
              <w:pStyle w:val="TableParagraph"/>
              <w:ind w:right="462"/>
              <w:jc w:val="both"/>
              <w:rPr>
                <w:sz w:val="20"/>
              </w:rPr>
            </w:pPr>
            <w:r>
              <w:rPr>
                <w:sz w:val="20"/>
              </w:rPr>
              <w:t>New York, USA</w:t>
            </w:r>
          </w:p>
        </w:tc>
        <w:tc>
          <w:tcPr>
            <w:tcW w:w="2696" w:type="dxa"/>
          </w:tcPr>
          <w:p>
            <w:pPr>
              <w:pStyle w:val="TableParagraph"/>
              <w:spacing w:line="243" w:lineRule="exact"/>
              <w:rPr>
                <w:sz w:val="20"/>
              </w:rPr>
            </w:pPr>
            <w:hyperlink r:id="rId33">
              <w:r>
                <w:rPr>
                  <w:color w:val="0000FF"/>
                  <w:sz w:val="20"/>
                  <w:u w:val="single" w:color="0000FF"/>
                </w:rPr>
                <w:t>http://www.naloxoneinfo.org</w:t>
              </w:r>
            </w:hyperlink>
          </w:p>
          <w:p>
            <w:pPr>
              <w:pStyle w:val="TableParagraph"/>
              <w:spacing w:line="244" w:lineRule="exact"/>
              <w:rPr>
                <w:sz w:val="20"/>
              </w:rPr>
            </w:pPr>
            <w:r>
              <w:rPr>
                <w:color w:val="0000FF"/>
                <w:sz w:val="20"/>
                <w:u w:val="single" w:color="0000FF"/>
              </w:rPr>
              <w:t>/sites/default/files/Start%20a</w:t>
            </w:r>
          </w:p>
          <w:p>
            <w:pPr>
              <w:pStyle w:val="TableParagraph"/>
              <w:ind w:right="120"/>
              <w:rPr>
                <w:sz w:val="20"/>
              </w:rPr>
            </w:pPr>
            <w:r>
              <w:rPr>
                <w:color w:val="0000FF"/>
                <w:sz w:val="20"/>
                <w:u w:val="single" w:color="0000FF"/>
              </w:rPr>
              <w:t>%20program_Harm%20Reduc tion%20Coalition%2527s%20</w:t>
            </w:r>
          </w:p>
        </w:tc>
        <w:tc>
          <w:tcPr>
            <w:tcW w:w="1132" w:type="dxa"/>
          </w:tcPr>
          <w:p>
            <w:pPr>
              <w:pStyle w:val="TableParagraph"/>
              <w:spacing w:line="243" w:lineRule="exact"/>
              <w:rPr>
                <w:sz w:val="20"/>
              </w:rPr>
            </w:pPr>
            <w:r>
              <w:rPr>
                <w:sz w:val="20"/>
              </w:rPr>
              <w:t>28/08/19</w:t>
            </w:r>
          </w:p>
        </w:tc>
        <w:tc>
          <w:tcPr>
            <w:tcW w:w="994" w:type="dxa"/>
          </w:tcPr>
          <w:p>
            <w:pPr>
              <w:pStyle w:val="TableParagraph"/>
              <w:spacing w:line="243" w:lineRule="exact"/>
              <w:rPr>
                <w:sz w:val="20"/>
              </w:rPr>
            </w:pPr>
            <w:r>
              <w:rPr>
                <w:sz w:val="20"/>
              </w:rPr>
              <w:t>76</w:t>
            </w:r>
          </w:p>
        </w:tc>
        <w:tc>
          <w:tcPr>
            <w:tcW w:w="1277" w:type="dxa"/>
          </w:tcPr>
          <w:p>
            <w:pPr>
              <w:pStyle w:val="TableParagraph"/>
              <w:spacing w:line="243" w:lineRule="exact"/>
              <w:rPr>
                <w:sz w:val="20"/>
              </w:rPr>
            </w:pPr>
            <w:r>
              <w:rPr>
                <w:sz w:val="20"/>
              </w:rPr>
              <w:t>1 (manual)</w:t>
            </w:r>
          </w:p>
        </w:tc>
        <w:tc>
          <w:tcPr>
            <w:tcW w:w="1556" w:type="dxa"/>
          </w:tcPr>
          <w:p>
            <w:pPr>
              <w:pStyle w:val="TableParagraph"/>
              <w:spacing w:line="243" w:lineRule="exact"/>
              <w:rPr>
                <w:sz w:val="20"/>
              </w:rPr>
            </w:pPr>
            <w:r>
              <w:rPr>
                <w:w w:val="100"/>
                <w:sz w:val="20"/>
              </w:rPr>
              <w:t>3</w:t>
            </w:r>
          </w:p>
        </w:tc>
        <w:tc>
          <w:tcPr>
            <w:tcW w:w="2351" w:type="dxa"/>
          </w:tcPr>
          <w:p>
            <w:pPr>
              <w:pStyle w:val="TableParagraph"/>
              <w:spacing w:line="243" w:lineRule="exact"/>
              <w:rPr>
                <w:sz w:val="20"/>
              </w:rPr>
            </w:pPr>
            <w:r>
              <w:rPr>
                <w:sz w:val="20"/>
              </w:rPr>
              <w:t>1, 2, 3</w:t>
            </w:r>
          </w:p>
        </w:tc>
      </w:tr>
    </w:tbl>
    <w:p>
      <w:pPr>
        <w:spacing w:after="0" w:line="243" w:lineRule="exact"/>
        <w:rPr>
          <w:sz w:val="20"/>
        </w:rPr>
        <w:sectPr>
          <w:pgSz w:w="16840" w:h="11910" w:orient="landscape"/>
          <w:pgMar w:header="0" w:footer="1269" w:top="1100" w:bottom="1460" w:left="300" w:right="320"/>
        </w:sectPr>
      </w:pPr>
    </w:p>
    <w:p>
      <w:pPr>
        <w:pStyle w:val="BodyText"/>
        <w:rPr>
          <w:rFonts w:ascii="Times New Roman"/>
          <w:sz w:val="20"/>
        </w:rPr>
      </w:pPr>
    </w:p>
    <w:p>
      <w:pPr>
        <w:pStyle w:val="BodyText"/>
        <w:spacing w:before="5"/>
        <w:rPr>
          <w:rFonts w:ascii="Times New Roman"/>
          <w:sz w:val="17"/>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3"/>
        <w:gridCol w:w="1724"/>
        <w:gridCol w:w="1145"/>
        <w:gridCol w:w="991"/>
        <w:gridCol w:w="2696"/>
        <w:gridCol w:w="1132"/>
        <w:gridCol w:w="994"/>
        <w:gridCol w:w="1277"/>
        <w:gridCol w:w="1556"/>
        <w:gridCol w:w="2351"/>
      </w:tblGrid>
      <w:tr>
        <w:trPr>
          <w:trHeight w:val="1718" w:hRule="exact"/>
        </w:trPr>
        <w:tc>
          <w:tcPr>
            <w:tcW w:w="2123" w:type="dxa"/>
          </w:tcPr>
          <w:p>
            <w:pPr>
              <w:pStyle w:val="TableParagraph"/>
              <w:spacing w:line="243" w:lineRule="exact"/>
              <w:ind w:left="463"/>
              <w:rPr>
                <w:sz w:val="20"/>
              </w:rPr>
            </w:pPr>
            <w:r>
              <w:rPr>
                <w:sz w:val="20"/>
              </w:rPr>
              <w:t>Prevention</w:t>
            </w:r>
          </w:p>
          <w:p>
            <w:pPr>
              <w:pStyle w:val="TableParagraph"/>
              <w:ind w:left="463" w:right="344"/>
              <w:rPr>
                <w:sz w:val="20"/>
              </w:rPr>
            </w:pPr>
            <w:r>
              <w:rPr>
                <w:sz w:val="20"/>
              </w:rPr>
              <w:t>and Take-Home Naloxone Projects</w:t>
            </w:r>
          </w:p>
        </w:tc>
        <w:tc>
          <w:tcPr>
            <w:tcW w:w="1724" w:type="dxa"/>
          </w:tcPr>
          <w:p>
            <w:pPr/>
          </w:p>
        </w:tc>
        <w:tc>
          <w:tcPr>
            <w:tcW w:w="1145" w:type="dxa"/>
          </w:tcPr>
          <w:p>
            <w:pPr/>
          </w:p>
        </w:tc>
        <w:tc>
          <w:tcPr>
            <w:tcW w:w="991" w:type="dxa"/>
          </w:tcPr>
          <w:p>
            <w:pPr/>
          </w:p>
        </w:tc>
        <w:tc>
          <w:tcPr>
            <w:tcW w:w="2696" w:type="dxa"/>
          </w:tcPr>
          <w:p>
            <w:pPr>
              <w:pStyle w:val="TableParagraph"/>
              <w:ind w:right="99"/>
              <w:rPr>
                <w:sz w:val="20"/>
              </w:rPr>
            </w:pPr>
            <w:r>
              <w:rPr>
                <w:color w:val="0000FF"/>
                <w:sz w:val="20"/>
                <w:u w:val="single" w:color="0000FF"/>
              </w:rPr>
              <w:t>Guide%20to%20Developing% 20and%20Managing%20Over dose%20Prevention%20and% 20Take- Home%20Naloxone%20Projec ts_0.pdf</w:t>
            </w:r>
          </w:p>
        </w:tc>
        <w:tc>
          <w:tcPr>
            <w:tcW w:w="1132" w:type="dxa"/>
          </w:tcPr>
          <w:p>
            <w:pPr/>
          </w:p>
        </w:tc>
        <w:tc>
          <w:tcPr>
            <w:tcW w:w="994" w:type="dxa"/>
          </w:tcPr>
          <w:p>
            <w:pPr/>
          </w:p>
        </w:tc>
        <w:tc>
          <w:tcPr>
            <w:tcW w:w="1277" w:type="dxa"/>
          </w:tcPr>
          <w:p>
            <w:pPr/>
          </w:p>
        </w:tc>
        <w:tc>
          <w:tcPr>
            <w:tcW w:w="1556" w:type="dxa"/>
          </w:tcPr>
          <w:p>
            <w:pPr/>
          </w:p>
        </w:tc>
        <w:tc>
          <w:tcPr>
            <w:tcW w:w="2351" w:type="dxa"/>
          </w:tcPr>
          <w:p>
            <w:pPr/>
          </w:p>
        </w:tc>
      </w:tr>
      <w:tr>
        <w:trPr>
          <w:trHeight w:val="1475" w:hRule="exact"/>
        </w:trPr>
        <w:tc>
          <w:tcPr>
            <w:tcW w:w="2123" w:type="dxa"/>
          </w:tcPr>
          <w:p>
            <w:pPr>
              <w:pStyle w:val="TableParagraph"/>
              <w:ind w:left="463" w:right="223" w:hanging="360"/>
              <w:rPr>
                <w:sz w:val="20"/>
              </w:rPr>
            </w:pPr>
            <w:r>
              <w:rPr>
                <w:sz w:val="20"/>
              </w:rPr>
              <w:t>15. Pharmacist Naloxone Dispensing Guide</w:t>
            </w:r>
          </w:p>
        </w:tc>
        <w:tc>
          <w:tcPr>
            <w:tcW w:w="1724" w:type="dxa"/>
          </w:tcPr>
          <w:p>
            <w:pPr>
              <w:pStyle w:val="TableParagraph"/>
              <w:ind w:right="111"/>
              <w:rPr>
                <w:sz w:val="20"/>
              </w:rPr>
            </w:pPr>
            <w:r>
              <w:rPr>
                <w:sz w:val="20"/>
              </w:rPr>
              <w:t>Chris Trujillo, New Mexico Dept of Health</w:t>
            </w:r>
          </w:p>
        </w:tc>
        <w:tc>
          <w:tcPr>
            <w:tcW w:w="1145" w:type="dxa"/>
          </w:tcPr>
          <w:p>
            <w:pPr>
              <w:pStyle w:val="TableParagraph"/>
              <w:rPr>
                <w:sz w:val="20"/>
              </w:rPr>
            </w:pPr>
            <w:r>
              <w:rPr>
                <w:sz w:val="20"/>
              </w:rPr>
              <w:t>2018</w:t>
            </w:r>
          </w:p>
        </w:tc>
        <w:tc>
          <w:tcPr>
            <w:tcW w:w="991" w:type="dxa"/>
          </w:tcPr>
          <w:p>
            <w:pPr>
              <w:pStyle w:val="TableParagraph"/>
              <w:ind w:right="215"/>
              <w:rPr>
                <w:sz w:val="20"/>
              </w:rPr>
            </w:pPr>
            <w:r>
              <w:rPr>
                <w:sz w:val="20"/>
              </w:rPr>
              <w:t>New Mexico, USA</w:t>
            </w:r>
          </w:p>
        </w:tc>
        <w:tc>
          <w:tcPr>
            <w:tcW w:w="2696" w:type="dxa"/>
          </w:tcPr>
          <w:p>
            <w:pPr>
              <w:pStyle w:val="TableParagraph"/>
              <w:ind w:right="98"/>
              <w:rPr>
                <w:sz w:val="20"/>
              </w:rPr>
            </w:pPr>
            <w:r>
              <w:rPr>
                <w:color w:val="0000FF"/>
                <w:sz w:val="20"/>
                <w:u w:val="single" w:color="0000FF"/>
              </w:rPr>
              <w:t>https://nmhealth.org/publicat ion/view/guide/2128/</w:t>
            </w:r>
          </w:p>
          <w:p>
            <w:pPr>
              <w:pStyle w:val="TableParagraph"/>
              <w:spacing w:before="2"/>
              <w:ind w:left="0"/>
              <w:rPr>
                <w:rFonts w:ascii="Times New Roman"/>
                <w:sz w:val="21"/>
              </w:rPr>
            </w:pPr>
          </w:p>
          <w:p>
            <w:pPr>
              <w:pStyle w:val="TableParagraph"/>
              <w:ind w:right="98"/>
              <w:rPr>
                <w:sz w:val="20"/>
              </w:rPr>
            </w:pPr>
            <w:r>
              <w:rPr>
                <w:color w:val="0000FF"/>
                <w:sz w:val="20"/>
                <w:u w:val="single" w:color="0000FF"/>
              </w:rPr>
              <w:t>https://nmhealth.org/publicat ion/view/guide/2127/</w:t>
            </w:r>
          </w:p>
        </w:tc>
        <w:tc>
          <w:tcPr>
            <w:tcW w:w="1132" w:type="dxa"/>
          </w:tcPr>
          <w:p>
            <w:pPr>
              <w:pStyle w:val="TableParagraph"/>
              <w:rPr>
                <w:sz w:val="20"/>
              </w:rPr>
            </w:pPr>
            <w:r>
              <w:rPr>
                <w:sz w:val="20"/>
              </w:rPr>
              <w:t>28/08/19</w:t>
            </w:r>
          </w:p>
        </w:tc>
        <w:tc>
          <w:tcPr>
            <w:tcW w:w="994" w:type="dxa"/>
          </w:tcPr>
          <w:p>
            <w:pPr>
              <w:pStyle w:val="TableParagraph"/>
              <w:spacing w:line="244" w:lineRule="exact"/>
              <w:rPr>
                <w:sz w:val="20"/>
              </w:rPr>
            </w:pPr>
            <w:r>
              <w:rPr>
                <w:sz w:val="20"/>
              </w:rPr>
              <w:t>2 (+ 2</w:t>
            </w:r>
          </w:p>
          <w:p>
            <w:pPr>
              <w:pStyle w:val="TableParagraph"/>
              <w:ind w:right="350"/>
              <w:rPr>
                <w:sz w:val="20"/>
              </w:rPr>
            </w:pPr>
            <w:r>
              <w:rPr>
                <w:sz w:val="20"/>
              </w:rPr>
              <w:t>page user guide)</w:t>
            </w:r>
          </w:p>
        </w:tc>
        <w:tc>
          <w:tcPr>
            <w:tcW w:w="1277" w:type="dxa"/>
          </w:tcPr>
          <w:p>
            <w:pPr>
              <w:pStyle w:val="TableParagraph"/>
              <w:rPr>
                <w:sz w:val="20"/>
              </w:rPr>
            </w:pPr>
            <w:r>
              <w:rPr>
                <w:w w:val="100"/>
                <w:sz w:val="20"/>
              </w:rPr>
              <w:t>1</w:t>
            </w:r>
          </w:p>
        </w:tc>
        <w:tc>
          <w:tcPr>
            <w:tcW w:w="1556" w:type="dxa"/>
          </w:tcPr>
          <w:p>
            <w:pPr>
              <w:pStyle w:val="TableParagraph"/>
              <w:rPr>
                <w:sz w:val="20"/>
              </w:rPr>
            </w:pPr>
            <w:r>
              <w:rPr>
                <w:w w:val="100"/>
                <w:sz w:val="20"/>
              </w:rPr>
              <w:t>3</w:t>
            </w:r>
          </w:p>
        </w:tc>
        <w:tc>
          <w:tcPr>
            <w:tcW w:w="2351" w:type="dxa"/>
          </w:tcPr>
          <w:p>
            <w:pPr>
              <w:pStyle w:val="TableParagraph"/>
              <w:rPr>
                <w:sz w:val="20"/>
              </w:rPr>
            </w:pPr>
            <w:r>
              <w:rPr>
                <w:sz w:val="20"/>
              </w:rPr>
              <w:t>1, 2, 3</w:t>
            </w:r>
          </w:p>
        </w:tc>
      </w:tr>
      <w:tr>
        <w:trPr>
          <w:trHeight w:val="1720" w:hRule="exact"/>
        </w:trPr>
        <w:tc>
          <w:tcPr>
            <w:tcW w:w="2123" w:type="dxa"/>
          </w:tcPr>
          <w:p>
            <w:pPr>
              <w:pStyle w:val="TableParagraph"/>
              <w:ind w:left="463" w:right="323" w:hanging="360"/>
              <w:rPr>
                <w:sz w:val="20"/>
              </w:rPr>
            </w:pPr>
            <w:r>
              <w:rPr>
                <w:sz w:val="20"/>
              </w:rPr>
              <w:t>16. Naloxone Kits Pharmacy</w:t>
            </w:r>
          </w:p>
        </w:tc>
        <w:tc>
          <w:tcPr>
            <w:tcW w:w="1724" w:type="dxa"/>
          </w:tcPr>
          <w:p>
            <w:pPr>
              <w:pStyle w:val="TableParagraph"/>
              <w:ind w:right="608"/>
              <w:rPr>
                <w:sz w:val="20"/>
              </w:rPr>
            </w:pPr>
            <w:r>
              <w:rPr>
                <w:sz w:val="20"/>
              </w:rPr>
              <w:t>Ontario Pharmacists Association</w:t>
            </w:r>
          </w:p>
        </w:tc>
        <w:tc>
          <w:tcPr>
            <w:tcW w:w="1145" w:type="dxa"/>
          </w:tcPr>
          <w:p>
            <w:pPr>
              <w:pStyle w:val="TableParagraph"/>
              <w:rPr>
                <w:sz w:val="20"/>
              </w:rPr>
            </w:pPr>
            <w:r>
              <w:rPr>
                <w:sz w:val="20"/>
              </w:rPr>
              <w:t>n.d.</w:t>
            </w:r>
          </w:p>
        </w:tc>
        <w:tc>
          <w:tcPr>
            <w:tcW w:w="991" w:type="dxa"/>
          </w:tcPr>
          <w:p>
            <w:pPr>
              <w:pStyle w:val="TableParagraph"/>
              <w:ind w:right="187"/>
              <w:rPr>
                <w:sz w:val="20"/>
              </w:rPr>
            </w:pPr>
            <w:r>
              <w:rPr>
                <w:sz w:val="20"/>
              </w:rPr>
              <w:t>Ontario, Canada</w:t>
            </w:r>
          </w:p>
        </w:tc>
        <w:tc>
          <w:tcPr>
            <w:tcW w:w="2696" w:type="dxa"/>
          </w:tcPr>
          <w:p>
            <w:pPr>
              <w:pStyle w:val="TableParagraph"/>
              <w:ind w:right="206"/>
              <w:rPr>
                <w:sz w:val="20"/>
              </w:rPr>
            </w:pPr>
            <w:r>
              <w:rPr>
                <w:color w:val="0000FF"/>
                <w:sz w:val="20"/>
                <w:u w:val="single" w:color="0000FF"/>
              </w:rPr>
              <w:t>https://</w:t>
            </w:r>
            <w:hyperlink r:id="rId30">
              <w:r>
                <w:rPr>
                  <w:color w:val="0000FF"/>
                  <w:sz w:val="20"/>
                  <w:u w:val="single" w:color="0000FF"/>
                </w:rPr>
                <w:t>www.opatoday.com/</w:t>
              </w:r>
            </w:hyperlink>
            <w:r>
              <w:rPr>
                <w:color w:val="0000FF"/>
                <w:sz w:val="20"/>
                <w:u w:val="single" w:color="0000FF"/>
              </w:rPr>
              <w:t> Media/Default/Tools%20and</w:t>
            </w:r>
          </w:p>
          <w:p>
            <w:pPr>
              <w:pStyle w:val="TableParagraph"/>
              <w:spacing w:line="244" w:lineRule="exact"/>
              <w:rPr>
                <w:sz w:val="20"/>
              </w:rPr>
            </w:pPr>
            <w:r>
              <w:rPr>
                <w:color w:val="0000FF"/>
                <w:sz w:val="20"/>
                <w:u w:val="single" w:color="0000FF"/>
              </w:rPr>
              <w:t>%20Forms%20-</w:t>
            </w:r>
          </w:p>
          <w:p>
            <w:pPr>
              <w:pStyle w:val="TableParagraph"/>
              <w:ind w:right="84"/>
              <w:rPr>
                <w:sz w:val="20"/>
              </w:rPr>
            </w:pPr>
            <w:r>
              <w:rPr>
                <w:color w:val="0000FF"/>
                <w:sz w:val="20"/>
                <w:u w:val="single" w:color="0000FF"/>
              </w:rPr>
              <w:t>%20Naloxone/Naloxone%20Ki t%20Pharmacy%20Advertising</w:t>
            </w:r>
          </w:p>
          <w:p>
            <w:pPr>
              <w:pStyle w:val="TableParagraph"/>
              <w:spacing w:before="1"/>
              <w:rPr>
                <w:sz w:val="20"/>
              </w:rPr>
            </w:pPr>
            <w:r>
              <w:rPr>
                <w:color w:val="0000FF"/>
                <w:sz w:val="20"/>
                <w:u w:val="single" w:color="0000FF"/>
              </w:rPr>
              <w:t>.pdf</w:t>
            </w:r>
          </w:p>
        </w:tc>
        <w:tc>
          <w:tcPr>
            <w:tcW w:w="1132" w:type="dxa"/>
          </w:tcPr>
          <w:p>
            <w:pPr>
              <w:pStyle w:val="TableParagraph"/>
              <w:rPr>
                <w:sz w:val="20"/>
              </w:rPr>
            </w:pPr>
            <w:r>
              <w:rPr>
                <w:sz w:val="20"/>
              </w:rPr>
              <w:t>28/08/19</w:t>
            </w:r>
          </w:p>
        </w:tc>
        <w:tc>
          <w:tcPr>
            <w:tcW w:w="994" w:type="dxa"/>
          </w:tcPr>
          <w:p>
            <w:pPr>
              <w:pStyle w:val="TableParagraph"/>
              <w:rPr>
                <w:sz w:val="20"/>
              </w:rPr>
            </w:pPr>
            <w:r>
              <w:rPr>
                <w:w w:val="100"/>
                <w:sz w:val="20"/>
              </w:rPr>
              <w:t>6</w:t>
            </w:r>
          </w:p>
        </w:tc>
        <w:tc>
          <w:tcPr>
            <w:tcW w:w="1277" w:type="dxa"/>
          </w:tcPr>
          <w:p>
            <w:pPr>
              <w:pStyle w:val="TableParagraph"/>
              <w:spacing w:line="244" w:lineRule="exact"/>
              <w:rPr>
                <w:sz w:val="20"/>
              </w:rPr>
            </w:pPr>
            <w:r>
              <w:rPr>
                <w:sz w:val="20"/>
              </w:rPr>
              <w:t>1 (+</w:t>
            </w:r>
          </w:p>
          <w:p>
            <w:pPr>
              <w:pStyle w:val="TableParagraph"/>
              <w:ind w:right="247"/>
              <w:rPr>
                <w:sz w:val="20"/>
              </w:rPr>
            </w:pPr>
            <w:r>
              <w:rPr>
                <w:sz w:val="20"/>
              </w:rPr>
              <w:t>advertising materials)</w:t>
            </w:r>
          </w:p>
        </w:tc>
        <w:tc>
          <w:tcPr>
            <w:tcW w:w="1556" w:type="dxa"/>
          </w:tcPr>
          <w:p>
            <w:pPr>
              <w:pStyle w:val="TableParagraph"/>
              <w:rPr>
                <w:sz w:val="20"/>
              </w:rPr>
            </w:pPr>
            <w:r>
              <w:rPr>
                <w:w w:val="100"/>
                <w:sz w:val="20"/>
              </w:rPr>
              <w:t>3</w:t>
            </w:r>
          </w:p>
        </w:tc>
        <w:tc>
          <w:tcPr>
            <w:tcW w:w="2351" w:type="dxa"/>
          </w:tcPr>
          <w:p>
            <w:pPr>
              <w:pStyle w:val="TableParagraph"/>
              <w:rPr>
                <w:sz w:val="20"/>
              </w:rPr>
            </w:pPr>
            <w:r>
              <w:rPr>
                <w:sz w:val="20"/>
              </w:rPr>
              <w:t>1, 2, 4, 5</w:t>
            </w:r>
          </w:p>
        </w:tc>
      </w:tr>
      <w:tr>
        <w:trPr>
          <w:trHeight w:val="1718" w:hRule="exact"/>
        </w:trPr>
        <w:tc>
          <w:tcPr>
            <w:tcW w:w="2123" w:type="dxa"/>
          </w:tcPr>
          <w:p>
            <w:pPr>
              <w:pStyle w:val="TableParagraph"/>
              <w:ind w:left="463" w:right="145" w:hanging="360"/>
              <w:rPr>
                <w:sz w:val="20"/>
              </w:rPr>
            </w:pPr>
            <w:r>
              <w:rPr>
                <w:sz w:val="20"/>
              </w:rPr>
              <w:t>17. Opioid Overdose and Naloxone Reversal</w:t>
            </w:r>
          </w:p>
        </w:tc>
        <w:tc>
          <w:tcPr>
            <w:tcW w:w="1724" w:type="dxa"/>
          </w:tcPr>
          <w:p>
            <w:pPr>
              <w:pStyle w:val="TableParagraph"/>
              <w:ind w:right="310"/>
              <w:rPr>
                <w:sz w:val="20"/>
              </w:rPr>
            </w:pPr>
            <w:r>
              <w:rPr>
                <w:sz w:val="20"/>
              </w:rPr>
              <w:t>Red Lake Indian Health Service</w:t>
            </w:r>
          </w:p>
        </w:tc>
        <w:tc>
          <w:tcPr>
            <w:tcW w:w="1145" w:type="dxa"/>
          </w:tcPr>
          <w:p>
            <w:pPr>
              <w:pStyle w:val="TableParagraph"/>
              <w:spacing w:line="243" w:lineRule="exact"/>
              <w:rPr>
                <w:sz w:val="20"/>
              </w:rPr>
            </w:pPr>
            <w:r>
              <w:rPr>
                <w:sz w:val="20"/>
              </w:rPr>
              <w:t>2017</w:t>
            </w:r>
          </w:p>
        </w:tc>
        <w:tc>
          <w:tcPr>
            <w:tcW w:w="991" w:type="dxa"/>
          </w:tcPr>
          <w:p>
            <w:pPr>
              <w:pStyle w:val="TableParagraph"/>
              <w:spacing w:line="243" w:lineRule="exact"/>
              <w:rPr>
                <w:sz w:val="20"/>
              </w:rPr>
            </w:pPr>
            <w:r>
              <w:rPr>
                <w:sz w:val="20"/>
              </w:rPr>
              <w:t>USA</w:t>
            </w:r>
          </w:p>
        </w:tc>
        <w:tc>
          <w:tcPr>
            <w:tcW w:w="2696" w:type="dxa"/>
          </w:tcPr>
          <w:p>
            <w:pPr>
              <w:pStyle w:val="TableParagraph"/>
              <w:ind w:right="141"/>
              <w:rPr>
                <w:sz w:val="20"/>
              </w:rPr>
            </w:pPr>
            <w:r>
              <w:rPr>
                <w:color w:val="0000FF"/>
                <w:sz w:val="20"/>
                <w:u w:val="single" w:color="0000FF"/>
              </w:rPr>
              <w:t>https://academic.oup.com/aj hp/article/74/6/363/5102741</w:t>
            </w:r>
          </w:p>
          <w:p>
            <w:pPr>
              <w:pStyle w:val="TableParagraph"/>
              <w:spacing w:before="2"/>
              <w:ind w:left="0"/>
              <w:rPr>
                <w:rFonts w:ascii="Times New Roman"/>
                <w:sz w:val="21"/>
              </w:rPr>
            </w:pPr>
          </w:p>
          <w:p>
            <w:pPr>
              <w:pStyle w:val="TableParagraph"/>
              <w:ind w:right="155"/>
              <w:rPr>
                <w:sz w:val="20"/>
              </w:rPr>
            </w:pPr>
            <w:r>
              <w:rPr>
                <w:color w:val="0000FF"/>
                <w:sz w:val="20"/>
                <w:u w:val="single" w:color="0000FF"/>
              </w:rPr>
              <w:t>https://</w:t>
            </w:r>
            <w:hyperlink r:id="rId34">
              <w:r>
                <w:rPr>
                  <w:color w:val="0000FF"/>
                  <w:sz w:val="20"/>
                  <w:u w:val="single" w:color="0000FF"/>
                </w:rPr>
                <w:t>www.youtube.com/w</w:t>
              </w:r>
            </w:hyperlink>
            <w:r>
              <w:rPr>
                <w:color w:val="0000FF"/>
                <w:sz w:val="20"/>
                <w:u w:val="single" w:color="0000FF"/>
              </w:rPr>
              <w:t> atch?v=KcjF9Iw0iuw&amp;feature</w:t>
            </w:r>
          </w:p>
          <w:p>
            <w:pPr>
              <w:pStyle w:val="TableParagraph"/>
              <w:spacing w:line="244" w:lineRule="exact"/>
              <w:rPr>
                <w:sz w:val="20"/>
              </w:rPr>
            </w:pPr>
            <w:r>
              <w:rPr>
                <w:color w:val="0000FF"/>
                <w:sz w:val="20"/>
                <w:u w:val="single" w:color="0000FF"/>
              </w:rPr>
              <w:t>=youtu.be</w:t>
            </w:r>
          </w:p>
        </w:tc>
        <w:tc>
          <w:tcPr>
            <w:tcW w:w="1132" w:type="dxa"/>
          </w:tcPr>
          <w:p>
            <w:pPr>
              <w:pStyle w:val="TableParagraph"/>
              <w:spacing w:line="243" w:lineRule="exact"/>
              <w:rPr>
                <w:sz w:val="20"/>
              </w:rPr>
            </w:pPr>
            <w:r>
              <w:rPr>
                <w:sz w:val="20"/>
              </w:rPr>
              <w:t>28/08/19</w:t>
            </w:r>
          </w:p>
        </w:tc>
        <w:tc>
          <w:tcPr>
            <w:tcW w:w="994" w:type="dxa"/>
          </w:tcPr>
          <w:p>
            <w:pPr>
              <w:pStyle w:val="TableParagraph"/>
              <w:spacing w:line="243" w:lineRule="exact"/>
              <w:rPr>
                <w:sz w:val="20"/>
              </w:rPr>
            </w:pPr>
            <w:r>
              <w:rPr>
                <w:sz w:val="20"/>
              </w:rPr>
              <w:t>n/a</w:t>
            </w:r>
          </w:p>
        </w:tc>
        <w:tc>
          <w:tcPr>
            <w:tcW w:w="1277" w:type="dxa"/>
          </w:tcPr>
          <w:p>
            <w:pPr>
              <w:pStyle w:val="TableParagraph"/>
              <w:spacing w:line="243" w:lineRule="exact"/>
              <w:rPr>
                <w:sz w:val="20"/>
              </w:rPr>
            </w:pPr>
            <w:r>
              <w:rPr>
                <w:w w:val="100"/>
                <w:sz w:val="20"/>
              </w:rPr>
              <w:t>5</w:t>
            </w:r>
          </w:p>
        </w:tc>
        <w:tc>
          <w:tcPr>
            <w:tcW w:w="1556" w:type="dxa"/>
          </w:tcPr>
          <w:p>
            <w:pPr>
              <w:pStyle w:val="TableParagraph"/>
              <w:spacing w:line="243" w:lineRule="exact"/>
              <w:rPr>
                <w:sz w:val="20"/>
              </w:rPr>
            </w:pPr>
            <w:r>
              <w:rPr>
                <w:sz w:val="20"/>
              </w:rPr>
              <w:t>1, 2</w:t>
            </w:r>
          </w:p>
        </w:tc>
        <w:tc>
          <w:tcPr>
            <w:tcW w:w="2351" w:type="dxa"/>
          </w:tcPr>
          <w:p>
            <w:pPr>
              <w:pStyle w:val="TableParagraph"/>
              <w:spacing w:line="243" w:lineRule="exact"/>
              <w:rPr>
                <w:sz w:val="20"/>
              </w:rPr>
            </w:pPr>
            <w:r>
              <w:rPr>
                <w:sz w:val="20"/>
              </w:rPr>
              <w:t>1, 2, 3</w:t>
            </w:r>
          </w:p>
        </w:tc>
      </w:tr>
      <w:tr>
        <w:trPr>
          <w:trHeight w:val="743" w:hRule="exact"/>
        </w:trPr>
        <w:tc>
          <w:tcPr>
            <w:tcW w:w="2123" w:type="dxa"/>
          </w:tcPr>
          <w:p>
            <w:pPr>
              <w:pStyle w:val="TableParagraph"/>
              <w:rPr>
                <w:sz w:val="20"/>
              </w:rPr>
            </w:pPr>
            <w:r>
              <w:rPr>
                <w:sz w:val="20"/>
              </w:rPr>
              <w:t>18.  Opioid Safety</w:t>
            </w:r>
          </w:p>
        </w:tc>
        <w:tc>
          <w:tcPr>
            <w:tcW w:w="1724" w:type="dxa"/>
          </w:tcPr>
          <w:p>
            <w:pPr>
              <w:pStyle w:val="TableParagraph"/>
              <w:rPr>
                <w:sz w:val="20"/>
              </w:rPr>
            </w:pPr>
            <w:r>
              <w:rPr>
                <w:sz w:val="20"/>
              </w:rPr>
              <w:t>Alliant Health</w:t>
            </w:r>
          </w:p>
        </w:tc>
        <w:tc>
          <w:tcPr>
            <w:tcW w:w="1145" w:type="dxa"/>
          </w:tcPr>
          <w:p>
            <w:pPr>
              <w:pStyle w:val="TableParagraph"/>
              <w:rPr>
                <w:sz w:val="20"/>
              </w:rPr>
            </w:pPr>
            <w:r>
              <w:rPr>
                <w:sz w:val="20"/>
              </w:rPr>
              <w:t>2019</w:t>
            </w:r>
          </w:p>
        </w:tc>
        <w:tc>
          <w:tcPr>
            <w:tcW w:w="991" w:type="dxa"/>
          </w:tcPr>
          <w:p>
            <w:pPr>
              <w:pStyle w:val="TableParagraph"/>
              <w:ind w:right="216"/>
              <w:rPr>
                <w:sz w:val="20"/>
              </w:rPr>
            </w:pPr>
            <w:r>
              <w:rPr>
                <w:sz w:val="20"/>
              </w:rPr>
              <w:t>Atlanta, USA</w:t>
            </w:r>
          </w:p>
        </w:tc>
        <w:tc>
          <w:tcPr>
            <w:tcW w:w="2696" w:type="dxa"/>
          </w:tcPr>
          <w:p>
            <w:pPr>
              <w:pStyle w:val="TableParagraph"/>
              <w:ind w:right="187"/>
              <w:rPr>
                <w:sz w:val="20"/>
              </w:rPr>
            </w:pPr>
            <w:r>
              <w:rPr>
                <w:color w:val="0000FF"/>
                <w:sz w:val="20"/>
                <w:u w:val="single" w:color="0000FF"/>
              </w:rPr>
              <w:t>https://</w:t>
            </w:r>
            <w:hyperlink r:id="rId35">
              <w:r>
                <w:rPr>
                  <w:color w:val="0000FF"/>
                  <w:sz w:val="20"/>
                  <w:u w:val="single" w:color="0000FF"/>
                </w:rPr>
                <w:t>www.alliantquality.or</w:t>
              </w:r>
            </w:hyperlink>
            <w:r>
              <w:rPr>
                <w:color w:val="0000FF"/>
                <w:sz w:val="20"/>
                <w:u w:val="single" w:color="0000FF"/>
              </w:rPr>
              <w:t> g/?q=content/opioid-safety</w:t>
            </w:r>
          </w:p>
        </w:tc>
        <w:tc>
          <w:tcPr>
            <w:tcW w:w="1132" w:type="dxa"/>
          </w:tcPr>
          <w:p>
            <w:pPr>
              <w:pStyle w:val="TableParagraph"/>
              <w:rPr>
                <w:sz w:val="20"/>
              </w:rPr>
            </w:pPr>
            <w:r>
              <w:rPr>
                <w:sz w:val="20"/>
              </w:rPr>
              <w:t>28/08/19</w:t>
            </w:r>
          </w:p>
        </w:tc>
        <w:tc>
          <w:tcPr>
            <w:tcW w:w="994" w:type="dxa"/>
          </w:tcPr>
          <w:p>
            <w:pPr>
              <w:pStyle w:val="TableParagraph"/>
              <w:rPr>
                <w:sz w:val="20"/>
              </w:rPr>
            </w:pPr>
            <w:r>
              <w:rPr>
                <w:sz w:val="20"/>
              </w:rPr>
              <w:t>n/a</w:t>
            </w:r>
          </w:p>
        </w:tc>
        <w:tc>
          <w:tcPr>
            <w:tcW w:w="1277" w:type="dxa"/>
          </w:tcPr>
          <w:p>
            <w:pPr>
              <w:pStyle w:val="TableParagraph"/>
              <w:rPr>
                <w:sz w:val="20"/>
              </w:rPr>
            </w:pPr>
            <w:r>
              <w:rPr>
                <w:w w:val="100"/>
                <w:sz w:val="20"/>
              </w:rPr>
              <w:t>5</w:t>
            </w:r>
          </w:p>
        </w:tc>
        <w:tc>
          <w:tcPr>
            <w:tcW w:w="1556" w:type="dxa"/>
          </w:tcPr>
          <w:p>
            <w:pPr>
              <w:pStyle w:val="TableParagraph"/>
              <w:rPr>
                <w:sz w:val="20"/>
              </w:rPr>
            </w:pPr>
            <w:r>
              <w:rPr>
                <w:w w:val="100"/>
                <w:sz w:val="20"/>
              </w:rPr>
              <w:t>3</w:t>
            </w:r>
          </w:p>
        </w:tc>
        <w:tc>
          <w:tcPr>
            <w:tcW w:w="2351" w:type="dxa"/>
          </w:tcPr>
          <w:p>
            <w:pPr>
              <w:pStyle w:val="TableParagraph"/>
              <w:rPr>
                <w:sz w:val="20"/>
              </w:rPr>
            </w:pPr>
            <w:r>
              <w:rPr>
                <w:sz w:val="20"/>
              </w:rPr>
              <w:t>1, 4, 5</w:t>
            </w:r>
          </w:p>
        </w:tc>
      </w:tr>
      <w:tr>
        <w:trPr>
          <w:trHeight w:val="1231" w:hRule="exact"/>
        </w:trPr>
        <w:tc>
          <w:tcPr>
            <w:tcW w:w="2123" w:type="dxa"/>
          </w:tcPr>
          <w:p>
            <w:pPr>
              <w:pStyle w:val="TableParagraph"/>
              <w:ind w:left="463" w:right="685" w:hanging="360"/>
              <w:jc w:val="both"/>
              <w:rPr>
                <w:sz w:val="20"/>
              </w:rPr>
            </w:pPr>
            <w:r>
              <w:rPr>
                <w:sz w:val="20"/>
              </w:rPr>
              <w:t>19. Pharmacist prescribing of naloxone</w:t>
            </w:r>
          </w:p>
        </w:tc>
        <w:tc>
          <w:tcPr>
            <w:tcW w:w="1724" w:type="dxa"/>
          </w:tcPr>
          <w:p>
            <w:pPr>
              <w:pStyle w:val="TableParagraph"/>
              <w:ind w:right="564"/>
              <w:rPr>
                <w:sz w:val="20"/>
              </w:rPr>
            </w:pPr>
            <w:r>
              <w:rPr>
                <w:sz w:val="20"/>
              </w:rPr>
              <w:t>Oregon Government</w:t>
            </w:r>
          </w:p>
        </w:tc>
        <w:tc>
          <w:tcPr>
            <w:tcW w:w="1145" w:type="dxa"/>
          </w:tcPr>
          <w:p>
            <w:pPr>
              <w:pStyle w:val="TableParagraph"/>
              <w:spacing w:line="243" w:lineRule="exact"/>
              <w:rPr>
                <w:sz w:val="20"/>
              </w:rPr>
            </w:pPr>
            <w:r>
              <w:rPr>
                <w:sz w:val="20"/>
              </w:rPr>
              <w:t>n.d.</w:t>
            </w:r>
          </w:p>
        </w:tc>
        <w:tc>
          <w:tcPr>
            <w:tcW w:w="991" w:type="dxa"/>
          </w:tcPr>
          <w:p>
            <w:pPr>
              <w:pStyle w:val="TableParagraph"/>
              <w:ind w:right="202"/>
              <w:rPr>
                <w:sz w:val="20"/>
              </w:rPr>
            </w:pPr>
            <w:r>
              <w:rPr>
                <w:sz w:val="20"/>
              </w:rPr>
              <w:t>Oregon, USA</w:t>
            </w:r>
          </w:p>
        </w:tc>
        <w:tc>
          <w:tcPr>
            <w:tcW w:w="2696" w:type="dxa"/>
          </w:tcPr>
          <w:p>
            <w:pPr>
              <w:pStyle w:val="TableParagraph"/>
              <w:spacing w:line="243" w:lineRule="exact"/>
              <w:rPr>
                <w:sz w:val="20"/>
              </w:rPr>
            </w:pPr>
            <w:r>
              <w:rPr>
                <w:color w:val="0000FF"/>
                <w:sz w:val="20"/>
                <w:u w:val="single" w:color="0000FF"/>
              </w:rPr>
              <w:t>https://</w:t>
            </w:r>
            <w:hyperlink r:id="rId36">
              <w:r>
                <w:rPr>
                  <w:color w:val="0000FF"/>
                  <w:sz w:val="20"/>
                  <w:u w:val="single" w:color="0000FF"/>
                </w:rPr>
                <w:t>www.oregon.gov/oha</w:t>
              </w:r>
            </w:hyperlink>
          </w:p>
          <w:p>
            <w:pPr>
              <w:pStyle w:val="TableParagraph"/>
              <w:ind w:right="98"/>
              <w:rPr>
                <w:sz w:val="20"/>
              </w:rPr>
            </w:pPr>
            <w:r>
              <w:rPr>
                <w:color w:val="0000FF"/>
                <w:sz w:val="20"/>
                <w:u w:val="single" w:color="0000FF"/>
              </w:rPr>
              <w:t>/PH/PREVENTIONWELLNESS/S UBSTANCEUSE/OPIOIDS/Docu</w:t>
            </w:r>
          </w:p>
          <w:p>
            <w:pPr>
              <w:pStyle w:val="TableParagraph"/>
              <w:ind w:right="615"/>
              <w:rPr>
                <w:sz w:val="20"/>
              </w:rPr>
            </w:pPr>
            <w:r>
              <w:rPr>
                <w:color w:val="0000FF"/>
                <w:sz w:val="20"/>
                <w:u w:val="single" w:color="0000FF"/>
              </w:rPr>
              <w:t>ments/toolkit/RPh-info- sheet.pdf</w:t>
            </w:r>
          </w:p>
        </w:tc>
        <w:tc>
          <w:tcPr>
            <w:tcW w:w="1132" w:type="dxa"/>
          </w:tcPr>
          <w:p>
            <w:pPr>
              <w:pStyle w:val="TableParagraph"/>
              <w:spacing w:line="243" w:lineRule="exact"/>
              <w:rPr>
                <w:sz w:val="20"/>
              </w:rPr>
            </w:pPr>
            <w:r>
              <w:rPr>
                <w:sz w:val="20"/>
              </w:rPr>
              <w:t>28/08/19</w:t>
            </w:r>
          </w:p>
        </w:tc>
        <w:tc>
          <w:tcPr>
            <w:tcW w:w="994" w:type="dxa"/>
          </w:tcPr>
          <w:p>
            <w:pPr>
              <w:pStyle w:val="TableParagraph"/>
              <w:spacing w:line="243" w:lineRule="exact"/>
              <w:rPr>
                <w:sz w:val="20"/>
              </w:rPr>
            </w:pPr>
            <w:r>
              <w:rPr>
                <w:w w:val="100"/>
                <w:sz w:val="20"/>
              </w:rPr>
              <w:t>2</w:t>
            </w:r>
          </w:p>
        </w:tc>
        <w:tc>
          <w:tcPr>
            <w:tcW w:w="1277" w:type="dxa"/>
          </w:tcPr>
          <w:p>
            <w:pPr>
              <w:pStyle w:val="TableParagraph"/>
              <w:spacing w:line="243" w:lineRule="exact"/>
              <w:rPr>
                <w:sz w:val="20"/>
              </w:rPr>
            </w:pPr>
            <w:r>
              <w:rPr>
                <w:sz w:val="20"/>
              </w:rPr>
              <w:t>1 (factsheet)</w:t>
            </w:r>
          </w:p>
        </w:tc>
        <w:tc>
          <w:tcPr>
            <w:tcW w:w="1556" w:type="dxa"/>
          </w:tcPr>
          <w:p>
            <w:pPr>
              <w:pStyle w:val="TableParagraph"/>
              <w:spacing w:line="243" w:lineRule="exact"/>
              <w:rPr>
                <w:sz w:val="20"/>
              </w:rPr>
            </w:pPr>
            <w:r>
              <w:rPr>
                <w:w w:val="100"/>
                <w:sz w:val="20"/>
              </w:rPr>
              <w:t>3</w:t>
            </w:r>
          </w:p>
        </w:tc>
        <w:tc>
          <w:tcPr>
            <w:tcW w:w="2351" w:type="dxa"/>
          </w:tcPr>
          <w:p>
            <w:pPr>
              <w:pStyle w:val="TableParagraph"/>
              <w:spacing w:line="243" w:lineRule="exact"/>
              <w:rPr>
                <w:sz w:val="20"/>
              </w:rPr>
            </w:pPr>
            <w:r>
              <w:rPr>
                <w:sz w:val="20"/>
              </w:rPr>
              <w:t>1, 4, 5</w:t>
            </w:r>
          </w:p>
        </w:tc>
      </w:tr>
    </w:tbl>
    <w:p>
      <w:pPr>
        <w:spacing w:after="0" w:line="243" w:lineRule="exact"/>
        <w:rPr>
          <w:sz w:val="20"/>
        </w:rPr>
        <w:sectPr>
          <w:pgSz w:w="16840" w:h="11910" w:orient="landscape"/>
          <w:pgMar w:header="0" w:footer="1269" w:top="1100" w:bottom="1460" w:left="300" w:right="320"/>
        </w:sectPr>
      </w:pPr>
    </w:p>
    <w:p>
      <w:pPr>
        <w:pStyle w:val="BodyText"/>
        <w:rPr>
          <w:rFonts w:ascii="Times New Roman"/>
          <w:sz w:val="20"/>
        </w:rPr>
      </w:pPr>
    </w:p>
    <w:p>
      <w:pPr>
        <w:pStyle w:val="BodyText"/>
        <w:spacing w:before="5"/>
        <w:rPr>
          <w:rFonts w:ascii="Times New Roman"/>
          <w:sz w:val="17"/>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3"/>
        <w:gridCol w:w="1724"/>
        <w:gridCol w:w="1145"/>
        <w:gridCol w:w="991"/>
        <w:gridCol w:w="2696"/>
        <w:gridCol w:w="1132"/>
        <w:gridCol w:w="994"/>
        <w:gridCol w:w="1277"/>
        <w:gridCol w:w="1556"/>
        <w:gridCol w:w="2351"/>
      </w:tblGrid>
      <w:tr>
        <w:trPr>
          <w:trHeight w:val="254" w:hRule="exact"/>
        </w:trPr>
        <w:tc>
          <w:tcPr>
            <w:tcW w:w="2123" w:type="dxa"/>
          </w:tcPr>
          <w:p>
            <w:pPr/>
          </w:p>
        </w:tc>
        <w:tc>
          <w:tcPr>
            <w:tcW w:w="1724" w:type="dxa"/>
          </w:tcPr>
          <w:p>
            <w:pPr/>
          </w:p>
        </w:tc>
        <w:tc>
          <w:tcPr>
            <w:tcW w:w="1145" w:type="dxa"/>
          </w:tcPr>
          <w:p>
            <w:pPr/>
          </w:p>
        </w:tc>
        <w:tc>
          <w:tcPr>
            <w:tcW w:w="991" w:type="dxa"/>
          </w:tcPr>
          <w:p>
            <w:pPr/>
          </w:p>
        </w:tc>
        <w:tc>
          <w:tcPr>
            <w:tcW w:w="2696" w:type="dxa"/>
          </w:tcPr>
          <w:p>
            <w:pPr/>
          </w:p>
        </w:tc>
        <w:tc>
          <w:tcPr>
            <w:tcW w:w="1132" w:type="dxa"/>
          </w:tcPr>
          <w:p>
            <w:pPr/>
          </w:p>
        </w:tc>
        <w:tc>
          <w:tcPr>
            <w:tcW w:w="994" w:type="dxa"/>
          </w:tcPr>
          <w:p>
            <w:pPr/>
          </w:p>
        </w:tc>
        <w:tc>
          <w:tcPr>
            <w:tcW w:w="1277" w:type="dxa"/>
          </w:tcPr>
          <w:p>
            <w:pPr/>
          </w:p>
        </w:tc>
        <w:tc>
          <w:tcPr>
            <w:tcW w:w="1556" w:type="dxa"/>
          </w:tcPr>
          <w:p>
            <w:pPr/>
          </w:p>
        </w:tc>
        <w:tc>
          <w:tcPr>
            <w:tcW w:w="2351" w:type="dxa"/>
          </w:tcPr>
          <w:p>
            <w:pPr/>
          </w:p>
        </w:tc>
      </w:tr>
      <w:tr>
        <w:trPr>
          <w:trHeight w:val="1230" w:hRule="exact"/>
        </w:trPr>
        <w:tc>
          <w:tcPr>
            <w:tcW w:w="2123" w:type="dxa"/>
          </w:tcPr>
          <w:p>
            <w:pPr>
              <w:pStyle w:val="TableParagraph"/>
              <w:ind w:left="463" w:right="264" w:hanging="360"/>
              <w:rPr>
                <w:sz w:val="20"/>
              </w:rPr>
            </w:pPr>
            <w:r>
              <w:rPr>
                <w:sz w:val="20"/>
              </w:rPr>
              <w:t>20. Naloxone access: A Practical Guideline for Pharmacists</w:t>
            </w:r>
          </w:p>
        </w:tc>
        <w:tc>
          <w:tcPr>
            <w:tcW w:w="1724" w:type="dxa"/>
          </w:tcPr>
          <w:p>
            <w:pPr>
              <w:pStyle w:val="TableParagraph"/>
              <w:ind w:right="370"/>
              <w:rPr>
                <w:sz w:val="20"/>
              </w:rPr>
            </w:pPr>
            <w:r>
              <w:rPr>
                <w:sz w:val="20"/>
              </w:rPr>
              <w:t>College of Psychiatric and Neurologic Pharmacists</w:t>
            </w:r>
          </w:p>
        </w:tc>
        <w:tc>
          <w:tcPr>
            <w:tcW w:w="1145" w:type="dxa"/>
          </w:tcPr>
          <w:p>
            <w:pPr>
              <w:pStyle w:val="TableParagraph"/>
              <w:spacing w:line="243" w:lineRule="exact"/>
              <w:rPr>
                <w:sz w:val="20"/>
              </w:rPr>
            </w:pPr>
            <w:r>
              <w:rPr>
                <w:sz w:val="20"/>
              </w:rPr>
              <w:t>n.d.</w:t>
            </w:r>
          </w:p>
        </w:tc>
        <w:tc>
          <w:tcPr>
            <w:tcW w:w="991" w:type="dxa"/>
          </w:tcPr>
          <w:p>
            <w:pPr>
              <w:pStyle w:val="TableParagraph"/>
              <w:spacing w:line="243" w:lineRule="exact"/>
              <w:rPr>
                <w:sz w:val="20"/>
              </w:rPr>
            </w:pPr>
            <w:r>
              <w:rPr>
                <w:sz w:val="20"/>
              </w:rPr>
              <w:t>USA</w:t>
            </w:r>
          </w:p>
        </w:tc>
        <w:tc>
          <w:tcPr>
            <w:tcW w:w="2696" w:type="dxa"/>
          </w:tcPr>
          <w:p>
            <w:pPr>
              <w:pStyle w:val="TableParagraph"/>
              <w:spacing w:line="243" w:lineRule="exact"/>
              <w:rPr>
                <w:sz w:val="20"/>
              </w:rPr>
            </w:pPr>
            <w:hyperlink r:id="rId38">
              <w:r>
                <w:rPr>
                  <w:color w:val="0000FF"/>
                  <w:sz w:val="20"/>
                  <w:u w:val="single" w:color="0000FF"/>
                </w:rPr>
                <w:t>http://prescribetoprevent.org</w:t>
              </w:r>
            </w:hyperlink>
          </w:p>
          <w:p>
            <w:pPr>
              <w:pStyle w:val="TableParagraph"/>
              <w:ind w:right="324"/>
              <w:rPr>
                <w:sz w:val="20"/>
              </w:rPr>
            </w:pPr>
            <w:r>
              <w:rPr>
                <w:color w:val="0000FF"/>
                <w:sz w:val="20"/>
                <w:u w:val="single" w:color="0000FF"/>
              </w:rPr>
              <w:t>/wp2015/wp- content/uploads/naloxone- access.pdf</w:t>
            </w:r>
          </w:p>
        </w:tc>
        <w:tc>
          <w:tcPr>
            <w:tcW w:w="1132" w:type="dxa"/>
          </w:tcPr>
          <w:p>
            <w:pPr>
              <w:pStyle w:val="TableParagraph"/>
              <w:spacing w:line="243" w:lineRule="exact"/>
              <w:rPr>
                <w:sz w:val="20"/>
              </w:rPr>
            </w:pPr>
            <w:r>
              <w:rPr>
                <w:sz w:val="20"/>
              </w:rPr>
              <w:t>28/08/19</w:t>
            </w:r>
          </w:p>
        </w:tc>
        <w:tc>
          <w:tcPr>
            <w:tcW w:w="994" w:type="dxa"/>
          </w:tcPr>
          <w:p>
            <w:pPr>
              <w:pStyle w:val="TableParagraph"/>
              <w:spacing w:line="243" w:lineRule="exact"/>
              <w:rPr>
                <w:sz w:val="20"/>
              </w:rPr>
            </w:pPr>
            <w:r>
              <w:rPr>
                <w:w w:val="100"/>
                <w:sz w:val="20"/>
              </w:rPr>
              <w:t>6</w:t>
            </w:r>
          </w:p>
        </w:tc>
        <w:tc>
          <w:tcPr>
            <w:tcW w:w="1277" w:type="dxa"/>
          </w:tcPr>
          <w:p>
            <w:pPr>
              <w:pStyle w:val="TableParagraph"/>
              <w:spacing w:line="243" w:lineRule="exact"/>
              <w:rPr>
                <w:sz w:val="20"/>
              </w:rPr>
            </w:pPr>
            <w:r>
              <w:rPr>
                <w:w w:val="100"/>
                <w:sz w:val="20"/>
              </w:rPr>
              <w:t>1</w:t>
            </w:r>
          </w:p>
        </w:tc>
        <w:tc>
          <w:tcPr>
            <w:tcW w:w="1556" w:type="dxa"/>
          </w:tcPr>
          <w:p>
            <w:pPr>
              <w:pStyle w:val="TableParagraph"/>
              <w:spacing w:line="243" w:lineRule="exact"/>
              <w:rPr>
                <w:sz w:val="20"/>
              </w:rPr>
            </w:pPr>
            <w:r>
              <w:rPr>
                <w:w w:val="100"/>
                <w:sz w:val="20"/>
              </w:rPr>
              <w:t>3</w:t>
            </w:r>
          </w:p>
        </w:tc>
        <w:tc>
          <w:tcPr>
            <w:tcW w:w="2351" w:type="dxa"/>
          </w:tcPr>
          <w:p>
            <w:pPr>
              <w:pStyle w:val="TableParagraph"/>
              <w:spacing w:line="243" w:lineRule="exact"/>
              <w:rPr>
                <w:sz w:val="20"/>
              </w:rPr>
            </w:pPr>
            <w:r>
              <w:rPr>
                <w:sz w:val="20"/>
              </w:rPr>
              <w:t>1, 2, 3</w:t>
            </w:r>
          </w:p>
        </w:tc>
      </w:tr>
      <w:tr>
        <w:trPr>
          <w:trHeight w:val="3672" w:hRule="exact"/>
        </w:trPr>
        <w:tc>
          <w:tcPr>
            <w:tcW w:w="2123" w:type="dxa"/>
          </w:tcPr>
          <w:p>
            <w:pPr>
              <w:pStyle w:val="TableParagraph"/>
              <w:ind w:left="463" w:right="94" w:hanging="360"/>
              <w:rPr>
                <w:sz w:val="20"/>
              </w:rPr>
            </w:pPr>
            <w:r>
              <w:rPr>
                <w:sz w:val="20"/>
              </w:rPr>
              <w:t>21.   Naloxone: A critical tool to fight the opioid crisis</w:t>
            </w:r>
          </w:p>
        </w:tc>
        <w:tc>
          <w:tcPr>
            <w:tcW w:w="1724" w:type="dxa"/>
          </w:tcPr>
          <w:p>
            <w:pPr>
              <w:pStyle w:val="TableParagraph"/>
              <w:ind w:right="559"/>
              <w:rPr>
                <w:sz w:val="20"/>
              </w:rPr>
            </w:pPr>
            <w:r>
              <w:rPr>
                <w:sz w:val="20"/>
              </w:rPr>
              <w:t>University of Minnesota, College of Pharmacy</w:t>
            </w:r>
          </w:p>
        </w:tc>
        <w:tc>
          <w:tcPr>
            <w:tcW w:w="1145" w:type="dxa"/>
          </w:tcPr>
          <w:p>
            <w:pPr>
              <w:pStyle w:val="TableParagraph"/>
              <w:spacing w:line="243" w:lineRule="exact"/>
              <w:rPr>
                <w:sz w:val="20"/>
              </w:rPr>
            </w:pPr>
            <w:r>
              <w:rPr>
                <w:sz w:val="20"/>
              </w:rPr>
              <w:t>2018</w:t>
            </w:r>
          </w:p>
        </w:tc>
        <w:tc>
          <w:tcPr>
            <w:tcW w:w="991" w:type="dxa"/>
          </w:tcPr>
          <w:p>
            <w:pPr>
              <w:pStyle w:val="TableParagraph"/>
              <w:spacing w:line="243" w:lineRule="exact"/>
              <w:rPr>
                <w:sz w:val="20"/>
              </w:rPr>
            </w:pPr>
            <w:r>
              <w:rPr>
                <w:sz w:val="20"/>
              </w:rPr>
              <w:t>USA</w:t>
            </w:r>
          </w:p>
        </w:tc>
        <w:tc>
          <w:tcPr>
            <w:tcW w:w="2696" w:type="dxa"/>
          </w:tcPr>
          <w:p>
            <w:pPr>
              <w:pStyle w:val="TableParagraph"/>
              <w:ind w:right="143"/>
              <w:rPr>
                <w:sz w:val="20"/>
              </w:rPr>
            </w:pPr>
            <w:r>
              <w:rPr>
                <w:sz w:val="20"/>
              </w:rPr>
              <w:t>Slides: </w:t>
            </w:r>
            <w:r>
              <w:rPr>
                <w:color w:val="0000FF"/>
                <w:sz w:val="20"/>
                <w:u w:val="single" w:color="0000FF"/>
              </w:rPr>
              <w:t>https://</w:t>
            </w:r>
            <w:hyperlink r:id="rId39">
              <w:r>
                <w:rPr>
                  <w:color w:val="0000FF"/>
                  <w:sz w:val="20"/>
                  <w:u w:val="single" w:color="0000FF"/>
                </w:rPr>
                <w:t>www.pharmacy.umn.</w:t>
              </w:r>
            </w:hyperlink>
            <w:r>
              <w:rPr>
                <w:color w:val="0000FF"/>
                <w:sz w:val="20"/>
                <w:u w:val="single" w:color="0000FF"/>
              </w:rPr>
              <w:t> edu/sites/pharmacy.umn.edu</w:t>
            </w:r>
          </w:p>
          <w:p>
            <w:pPr>
              <w:pStyle w:val="TableParagraph"/>
              <w:spacing w:line="244" w:lineRule="exact" w:before="1"/>
              <w:rPr>
                <w:sz w:val="20"/>
              </w:rPr>
            </w:pPr>
            <w:r>
              <w:rPr>
                <w:color w:val="0000FF"/>
                <w:sz w:val="20"/>
                <w:u w:val="single" w:color="0000FF"/>
              </w:rPr>
              <w:t>/files/naloxone_-</w:t>
            </w:r>
          </w:p>
          <w:p>
            <w:pPr>
              <w:pStyle w:val="TableParagraph"/>
              <w:ind w:right="90"/>
              <w:rPr>
                <w:sz w:val="20"/>
              </w:rPr>
            </w:pPr>
            <w:r>
              <w:rPr>
                <w:color w:val="0000FF"/>
                <w:sz w:val="20"/>
                <w:u w:val="single" w:color="0000FF"/>
              </w:rPr>
              <w:t>_a_critical_tool_to_fight_the_ opioid_crisis.pdf</w:t>
            </w:r>
          </w:p>
          <w:p>
            <w:pPr>
              <w:pStyle w:val="TableParagraph"/>
              <w:spacing w:before="3"/>
              <w:ind w:left="0"/>
              <w:rPr>
                <w:rFonts w:ascii="Times New Roman"/>
                <w:sz w:val="21"/>
              </w:rPr>
            </w:pPr>
          </w:p>
          <w:p>
            <w:pPr>
              <w:pStyle w:val="TableParagraph"/>
              <w:ind w:right="193"/>
              <w:rPr>
                <w:sz w:val="20"/>
              </w:rPr>
            </w:pPr>
            <w:r>
              <w:rPr>
                <w:sz w:val="20"/>
              </w:rPr>
              <w:t>Presentation: </w:t>
            </w:r>
            <w:r>
              <w:rPr>
                <w:color w:val="0000FF"/>
                <w:sz w:val="20"/>
                <w:u w:val="single" w:color="0000FF"/>
              </w:rPr>
              <w:t>https://</w:t>
            </w:r>
            <w:hyperlink r:id="rId39">
              <w:r>
                <w:rPr>
                  <w:color w:val="0000FF"/>
                  <w:sz w:val="20"/>
                  <w:u w:val="single" w:color="0000FF"/>
                </w:rPr>
                <w:t>www.pharmacy.umn.</w:t>
              </w:r>
            </w:hyperlink>
            <w:r>
              <w:rPr>
                <w:color w:val="0000FF"/>
                <w:sz w:val="20"/>
                <w:u w:val="single" w:color="0000FF"/>
              </w:rPr>
              <w:t> edu/degrees-and- programs/continuing- pharmacy- education/continuing- education-courses/naloxone</w:t>
            </w:r>
          </w:p>
        </w:tc>
        <w:tc>
          <w:tcPr>
            <w:tcW w:w="1132" w:type="dxa"/>
          </w:tcPr>
          <w:p>
            <w:pPr>
              <w:pStyle w:val="TableParagraph"/>
              <w:spacing w:line="243" w:lineRule="exact"/>
              <w:rPr>
                <w:sz w:val="20"/>
              </w:rPr>
            </w:pPr>
            <w:r>
              <w:rPr>
                <w:sz w:val="20"/>
              </w:rPr>
              <w:t>29/08/19</w:t>
            </w:r>
          </w:p>
        </w:tc>
        <w:tc>
          <w:tcPr>
            <w:tcW w:w="994" w:type="dxa"/>
          </w:tcPr>
          <w:p>
            <w:pPr>
              <w:pStyle w:val="TableParagraph"/>
              <w:spacing w:line="243" w:lineRule="exact"/>
              <w:rPr>
                <w:sz w:val="20"/>
              </w:rPr>
            </w:pPr>
            <w:r>
              <w:rPr>
                <w:sz w:val="20"/>
              </w:rPr>
              <w:t>Slides: 58</w:t>
            </w:r>
          </w:p>
        </w:tc>
        <w:tc>
          <w:tcPr>
            <w:tcW w:w="1277" w:type="dxa"/>
          </w:tcPr>
          <w:p>
            <w:pPr>
              <w:pStyle w:val="TableParagraph"/>
              <w:spacing w:line="243" w:lineRule="exact"/>
              <w:rPr>
                <w:sz w:val="20"/>
              </w:rPr>
            </w:pPr>
            <w:r>
              <w:rPr>
                <w:w w:val="100"/>
                <w:sz w:val="20"/>
              </w:rPr>
              <w:t>4</w:t>
            </w:r>
          </w:p>
        </w:tc>
        <w:tc>
          <w:tcPr>
            <w:tcW w:w="1556" w:type="dxa"/>
          </w:tcPr>
          <w:p>
            <w:pPr>
              <w:pStyle w:val="TableParagraph"/>
              <w:spacing w:line="243" w:lineRule="exact"/>
              <w:rPr>
                <w:sz w:val="20"/>
              </w:rPr>
            </w:pPr>
            <w:r>
              <w:rPr>
                <w:w w:val="100"/>
                <w:sz w:val="20"/>
              </w:rPr>
              <w:t>1</w:t>
            </w:r>
          </w:p>
        </w:tc>
        <w:tc>
          <w:tcPr>
            <w:tcW w:w="2351" w:type="dxa"/>
          </w:tcPr>
          <w:p>
            <w:pPr>
              <w:pStyle w:val="TableParagraph"/>
              <w:spacing w:line="243" w:lineRule="exact"/>
              <w:rPr>
                <w:sz w:val="20"/>
              </w:rPr>
            </w:pPr>
            <w:r>
              <w:rPr>
                <w:sz w:val="20"/>
              </w:rPr>
              <w:t>1, 2, 3, 4, 5</w:t>
            </w:r>
          </w:p>
        </w:tc>
      </w:tr>
      <w:tr>
        <w:trPr>
          <w:trHeight w:val="1720" w:hRule="exact"/>
        </w:trPr>
        <w:tc>
          <w:tcPr>
            <w:tcW w:w="2123" w:type="dxa"/>
          </w:tcPr>
          <w:p>
            <w:pPr>
              <w:pStyle w:val="TableParagraph"/>
              <w:ind w:left="463" w:right="323" w:hanging="360"/>
              <w:rPr>
                <w:sz w:val="20"/>
              </w:rPr>
            </w:pPr>
            <w:r>
              <w:rPr>
                <w:sz w:val="20"/>
              </w:rPr>
              <w:t>22. Opioid safety: Focus on furnishing naloxone</w:t>
            </w:r>
          </w:p>
        </w:tc>
        <w:tc>
          <w:tcPr>
            <w:tcW w:w="1724" w:type="dxa"/>
          </w:tcPr>
          <w:p>
            <w:pPr>
              <w:pStyle w:val="TableParagraph"/>
              <w:ind w:right="363"/>
              <w:rPr>
                <w:sz w:val="20"/>
              </w:rPr>
            </w:pPr>
            <w:r>
              <w:rPr>
                <w:sz w:val="20"/>
              </w:rPr>
              <w:t>Talia Puzantian and James J. Gasper</w:t>
            </w:r>
          </w:p>
        </w:tc>
        <w:tc>
          <w:tcPr>
            <w:tcW w:w="1145" w:type="dxa"/>
          </w:tcPr>
          <w:p>
            <w:pPr>
              <w:pStyle w:val="TableParagraph"/>
              <w:rPr>
                <w:sz w:val="20"/>
              </w:rPr>
            </w:pPr>
            <w:r>
              <w:rPr>
                <w:sz w:val="20"/>
              </w:rPr>
              <w:t>n.d.</w:t>
            </w:r>
          </w:p>
        </w:tc>
        <w:tc>
          <w:tcPr>
            <w:tcW w:w="991" w:type="dxa"/>
          </w:tcPr>
          <w:p>
            <w:pPr>
              <w:pStyle w:val="TableParagraph"/>
              <w:ind w:right="177"/>
              <w:rPr>
                <w:sz w:val="20"/>
              </w:rPr>
            </w:pPr>
            <w:r>
              <w:rPr>
                <w:sz w:val="20"/>
              </w:rPr>
              <w:t>Californi a, USA</w:t>
            </w:r>
          </w:p>
        </w:tc>
        <w:tc>
          <w:tcPr>
            <w:tcW w:w="2696" w:type="dxa"/>
          </w:tcPr>
          <w:p>
            <w:pPr>
              <w:pStyle w:val="TableParagraph"/>
              <w:ind w:right="106"/>
              <w:rPr>
                <w:sz w:val="20"/>
              </w:rPr>
            </w:pPr>
            <w:r>
              <w:rPr>
                <w:color w:val="0000FF"/>
                <w:sz w:val="20"/>
                <w:u w:val="single" w:color="0000FF"/>
              </w:rPr>
              <w:t>https://prescribetoprevent.or g/wp2015/wp- content/uploads/OpioidSafety FocusOnNaloxone_Pharmacis ts_AUG.18_final-with- links.pdf</w:t>
            </w:r>
          </w:p>
        </w:tc>
        <w:tc>
          <w:tcPr>
            <w:tcW w:w="1132" w:type="dxa"/>
          </w:tcPr>
          <w:p>
            <w:pPr>
              <w:pStyle w:val="TableParagraph"/>
              <w:rPr>
                <w:sz w:val="20"/>
              </w:rPr>
            </w:pPr>
            <w:r>
              <w:rPr>
                <w:sz w:val="20"/>
              </w:rPr>
              <w:t>29/08/19</w:t>
            </w:r>
          </w:p>
        </w:tc>
        <w:tc>
          <w:tcPr>
            <w:tcW w:w="994" w:type="dxa"/>
          </w:tcPr>
          <w:p>
            <w:pPr>
              <w:pStyle w:val="TableParagraph"/>
              <w:rPr>
                <w:sz w:val="20"/>
              </w:rPr>
            </w:pPr>
            <w:r>
              <w:rPr>
                <w:sz w:val="20"/>
              </w:rPr>
              <w:t>36</w:t>
            </w:r>
          </w:p>
        </w:tc>
        <w:tc>
          <w:tcPr>
            <w:tcW w:w="1277" w:type="dxa"/>
          </w:tcPr>
          <w:p>
            <w:pPr>
              <w:pStyle w:val="TableParagraph"/>
              <w:rPr>
                <w:sz w:val="20"/>
              </w:rPr>
            </w:pPr>
            <w:r>
              <w:rPr>
                <w:w w:val="100"/>
                <w:sz w:val="20"/>
              </w:rPr>
              <w:t>1</w:t>
            </w:r>
          </w:p>
        </w:tc>
        <w:tc>
          <w:tcPr>
            <w:tcW w:w="1556" w:type="dxa"/>
          </w:tcPr>
          <w:p>
            <w:pPr>
              <w:pStyle w:val="TableParagraph"/>
              <w:rPr>
                <w:sz w:val="20"/>
              </w:rPr>
            </w:pPr>
            <w:r>
              <w:rPr>
                <w:w w:val="100"/>
                <w:sz w:val="20"/>
              </w:rPr>
              <w:t>3</w:t>
            </w:r>
          </w:p>
        </w:tc>
        <w:tc>
          <w:tcPr>
            <w:tcW w:w="2351" w:type="dxa"/>
          </w:tcPr>
          <w:p>
            <w:pPr>
              <w:pStyle w:val="TableParagraph"/>
              <w:rPr>
                <w:sz w:val="20"/>
              </w:rPr>
            </w:pPr>
            <w:r>
              <w:rPr>
                <w:sz w:val="20"/>
              </w:rPr>
              <w:t>1, 2, 3, 4</w:t>
            </w:r>
          </w:p>
        </w:tc>
      </w:tr>
      <w:tr>
        <w:trPr>
          <w:trHeight w:val="1475" w:hRule="exact"/>
        </w:trPr>
        <w:tc>
          <w:tcPr>
            <w:tcW w:w="2123" w:type="dxa"/>
          </w:tcPr>
          <w:p>
            <w:pPr>
              <w:pStyle w:val="TableParagraph"/>
              <w:ind w:left="463" w:right="143" w:hanging="360"/>
              <w:rPr>
                <w:sz w:val="20"/>
              </w:rPr>
            </w:pPr>
            <w:r>
              <w:rPr>
                <w:sz w:val="20"/>
              </w:rPr>
              <w:t>23. Conversation Starters for Offering Naloxone</w:t>
            </w:r>
          </w:p>
        </w:tc>
        <w:tc>
          <w:tcPr>
            <w:tcW w:w="1724" w:type="dxa"/>
          </w:tcPr>
          <w:p>
            <w:pPr>
              <w:pStyle w:val="TableParagraph"/>
              <w:spacing w:line="243" w:lineRule="exact"/>
              <w:rPr>
                <w:sz w:val="20"/>
              </w:rPr>
            </w:pPr>
            <w:r>
              <w:rPr>
                <w:sz w:val="20"/>
              </w:rPr>
              <w:t>Robin Curtis</w:t>
            </w:r>
          </w:p>
        </w:tc>
        <w:tc>
          <w:tcPr>
            <w:tcW w:w="1145" w:type="dxa"/>
          </w:tcPr>
          <w:p>
            <w:pPr>
              <w:pStyle w:val="TableParagraph"/>
              <w:spacing w:line="243" w:lineRule="exact"/>
              <w:rPr>
                <w:sz w:val="20"/>
              </w:rPr>
            </w:pPr>
            <w:r>
              <w:rPr>
                <w:sz w:val="20"/>
              </w:rPr>
              <w:t>n.d.</w:t>
            </w:r>
          </w:p>
        </w:tc>
        <w:tc>
          <w:tcPr>
            <w:tcW w:w="991" w:type="dxa"/>
          </w:tcPr>
          <w:p>
            <w:pPr>
              <w:pStyle w:val="TableParagraph"/>
              <w:spacing w:line="243" w:lineRule="exact"/>
              <w:rPr>
                <w:sz w:val="20"/>
              </w:rPr>
            </w:pPr>
            <w:r>
              <w:rPr>
                <w:sz w:val="20"/>
              </w:rPr>
              <w:t>Michigan</w:t>
            </w:r>
          </w:p>
          <w:p>
            <w:pPr>
              <w:pStyle w:val="TableParagraph"/>
              <w:rPr>
                <w:sz w:val="20"/>
              </w:rPr>
            </w:pPr>
            <w:r>
              <w:rPr>
                <w:sz w:val="20"/>
              </w:rPr>
              <w:t>, USA</w:t>
            </w:r>
          </w:p>
        </w:tc>
        <w:tc>
          <w:tcPr>
            <w:tcW w:w="2696" w:type="dxa"/>
          </w:tcPr>
          <w:p>
            <w:pPr>
              <w:pStyle w:val="TableParagraph"/>
              <w:ind w:right="141"/>
              <w:jc w:val="both"/>
              <w:rPr>
                <w:sz w:val="20"/>
              </w:rPr>
            </w:pPr>
            <w:r>
              <w:rPr>
                <w:color w:val="0000FF"/>
                <w:sz w:val="20"/>
                <w:u w:val="single" w:color="0000FF"/>
              </w:rPr>
              <w:t>http://www.michiganpharma cists.org/Portals/0/resources/ Community%20Pharmacy/nal oxoneconversationstarts.pdf? ver=2017-05-16-152750-370</w:t>
            </w:r>
          </w:p>
        </w:tc>
        <w:tc>
          <w:tcPr>
            <w:tcW w:w="1132" w:type="dxa"/>
          </w:tcPr>
          <w:p>
            <w:pPr>
              <w:pStyle w:val="TableParagraph"/>
              <w:spacing w:line="243" w:lineRule="exact"/>
              <w:rPr>
                <w:sz w:val="20"/>
              </w:rPr>
            </w:pPr>
            <w:r>
              <w:rPr>
                <w:sz w:val="20"/>
              </w:rPr>
              <w:t>06/09/19</w:t>
            </w:r>
          </w:p>
        </w:tc>
        <w:tc>
          <w:tcPr>
            <w:tcW w:w="994" w:type="dxa"/>
          </w:tcPr>
          <w:p>
            <w:pPr>
              <w:pStyle w:val="TableParagraph"/>
              <w:spacing w:line="243" w:lineRule="exact"/>
              <w:rPr>
                <w:sz w:val="20"/>
              </w:rPr>
            </w:pPr>
            <w:r>
              <w:rPr>
                <w:w w:val="100"/>
                <w:sz w:val="20"/>
              </w:rPr>
              <w:t>1</w:t>
            </w:r>
          </w:p>
        </w:tc>
        <w:tc>
          <w:tcPr>
            <w:tcW w:w="1277" w:type="dxa"/>
          </w:tcPr>
          <w:p>
            <w:pPr>
              <w:pStyle w:val="TableParagraph"/>
              <w:spacing w:line="243" w:lineRule="exact"/>
              <w:rPr>
                <w:sz w:val="20"/>
              </w:rPr>
            </w:pPr>
            <w:r>
              <w:rPr>
                <w:w w:val="100"/>
                <w:sz w:val="20"/>
              </w:rPr>
              <w:t>1</w:t>
            </w:r>
          </w:p>
        </w:tc>
        <w:tc>
          <w:tcPr>
            <w:tcW w:w="1556" w:type="dxa"/>
          </w:tcPr>
          <w:p>
            <w:pPr>
              <w:pStyle w:val="TableParagraph"/>
              <w:spacing w:line="243" w:lineRule="exact"/>
              <w:rPr>
                <w:sz w:val="20"/>
              </w:rPr>
            </w:pPr>
            <w:r>
              <w:rPr>
                <w:w w:val="100"/>
                <w:sz w:val="20"/>
              </w:rPr>
              <w:t>1</w:t>
            </w:r>
          </w:p>
        </w:tc>
        <w:tc>
          <w:tcPr>
            <w:tcW w:w="2351" w:type="dxa"/>
          </w:tcPr>
          <w:p>
            <w:pPr>
              <w:pStyle w:val="TableParagraph"/>
              <w:spacing w:line="243" w:lineRule="exact"/>
              <w:rPr>
                <w:sz w:val="20"/>
              </w:rPr>
            </w:pPr>
            <w:r>
              <w:rPr>
                <w:sz w:val="20"/>
              </w:rPr>
              <w:t>4, 5</w:t>
            </w:r>
          </w:p>
        </w:tc>
      </w:tr>
    </w:tbl>
    <w:p>
      <w:pPr>
        <w:spacing w:after="0" w:line="243" w:lineRule="exact"/>
        <w:rPr>
          <w:sz w:val="20"/>
        </w:rPr>
        <w:sectPr>
          <w:footerReference w:type="default" r:id="rId37"/>
          <w:pgSz w:w="16840" w:h="11910" w:orient="landscape"/>
          <w:pgMar w:footer="1269" w:header="0" w:top="1100" w:bottom="1460" w:left="300" w:right="320"/>
        </w:sectPr>
      </w:pPr>
    </w:p>
    <w:p>
      <w:pPr>
        <w:pStyle w:val="BodyText"/>
        <w:rPr>
          <w:rFonts w:ascii="Times New Roman"/>
          <w:sz w:val="20"/>
        </w:rPr>
      </w:pPr>
    </w:p>
    <w:p>
      <w:pPr>
        <w:pStyle w:val="BodyText"/>
        <w:spacing w:before="5"/>
        <w:rPr>
          <w:rFonts w:ascii="Times New Roman"/>
          <w:sz w:val="17"/>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3"/>
        <w:gridCol w:w="1724"/>
        <w:gridCol w:w="1145"/>
        <w:gridCol w:w="991"/>
        <w:gridCol w:w="2696"/>
        <w:gridCol w:w="1132"/>
        <w:gridCol w:w="994"/>
        <w:gridCol w:w="1277"/>
        <w:gridCol w:w="1556"/>
        <w:gridCol w:w="2351"/>
      </w:tblGrid>
      <w:tr>
        <w:trPr>
          <w:trHeight w:val="1475" w:hRule="exact"/>
        </w:trPr>
        <w:tc>
          <w:tcPr>
            <w:tcW w:w="2123" w:type="dxa"/>
          </w:tcPr>
          <w:p>
            <w:pPr>
              <w:pStyle w:val="TableParagraph"/>
              <w:ind w:left="463" w:right="291" w:hanging="360"/>
              <w:rPr>
                <w:sz w:val="20"/>
              </w:rPr>
            </w:pPr>
            <w:r>
              <w:rPr>
                <w:sz w:val="20"/>
              </w:rPr>
              <w:t>24. Managing pain safely, Naloxone toolkit</w:t>
            </w:r>
          </w:p>
        </w:tc>
        <w:tc>
          <w:tcPr>
            <w:tcW w:w="1724" w:type="dxa"/>
          </w:tcPr>
          <w:p>
            <w:pPr>
              <w:pStyle w:val="TableParagraph"/>
              <w:ind w:right="665"/>
              <w:jc w:val="both"/>
              <w:rPr>
                <w:sz w:val="20"/>
              </w:rPr>
            </w:pPr>
            <w:r>
              <w:rPr>
                <w:sz w:val="20"/>
              </w:rPr>
              <w:t>Partnership Health Plan California</w:t>
            </w:r>
          </w:p>
        </w:tc>
        <w:tc>
          <w:tcPr>
            <w:tcW w:w="1145" w:type="dxa"/>
          </w:tcPr>
          <w:p>
            <w:pPr>
              <w:pStyle w:val="TableParagraph"/>
              <w:spacing w:line="243" w:lineRule="exact"/>
              <w:rPr>
                <w:sz w:val="20"/>
              </w:rPr>
            </w:pPr>
            <w:r>
              <w:rPr>
                <w:sz w:val="20"/>
              </w:rPr>
              <w:t>n.d.</w:t>
            </w:r>
          </w:p>
        </w:tc>
        <w:tc>
          <w:tcPr>
            <w:tcW w:w="991" w:type="dxa"/>
          </w:tcPr>
          <w:p>
            <w:pPr>
              <w:pStyle w:val="TableParagraph"/>
              <w:ind w:right="177"/>
              <w:rPr>
                <w:sz w:val="20"/>
              </w:rPr>
            </w:pPr>
            <w:r>
              <w:rPr>
                <w:sz w:val="20"/>
              </w:rPr>
              <w:t>Californi a, USA</w:t>
            </w:r>
          </w:p>
        </w:tc>
        <w:tc>
          <w:tcPr>
            <w:tcW w:w="2696" w:type="dxa"/>
          </w:tcPr>
          <w:p>
            <w:pPr>
              <w:pStyle w:val="TableParagraph"/>
              <w:ind w:right="168"/>
              <w:jc w:val="both"/>
              <w:rPr>
                <w:sz w:val="20"/>
              </w:rPr>
            </w:pPr>
            <w:hyperlink r:id="rId41">
              <w:r>
                <w:rPr>
                  <w:color w:val="0000FF"/>
                  <w:sz w:val="20"/>
                  <w:u w:val="single" w:color="0000FF"/>
                </w:rPr>
                <w:t>http://www.partnershiphp.or</w:t>
              </w:r>
            </w:hyperlink>
            <w:r>
              <w:rPr>
                <w:color w:val="0000FF"/>
                <w:sz w:val="20"/>
                <w:u w:val="single" w:color="0000FF"/>
              </w:rPr>
              <w:t> g/Providers/HealthServices/D ocuments/Managing%20Pain</w:t>
            </w:r>
          </w:p>
          <w:p>
            <w:pPr>
              <w:pStyle w:val="TableParagraph"/>
              <w:ind w:right="147"/>
              <w:jc w:val="both"/>
              <w:rPr>
                <w:sz w:val="20"/>
              </w:rPr>
            </w:pPr>
            <w:r>
              <w:rPr>
                <w:color w:val="0000FF"/>
                <w:sz w:val="20"/>
                <w:u w:val="single" w:color="0000FF"/>
              </w:rPr>
              <w:t>%20Safely/Naloxone%20Kit_F inal.pdf</w:t>
            </w:r>
          </w:p>
        </w:tc>
        <w:tc>
          <w:tcPr>
            <w:tcW w:w="1132" w:type="dxa"/>
          </w:tcPr>
          <w:p>
            <w:pPr>
              <w:pStyle w:val="TableParagraph"/>
              <w:spacing w:line="243" w:lineRule="exact"/>
              <w:rPr>
                <w:sz w:val="20"/>
              </w:rPr>
            </w:pPr>
            <w:r>
              <w:rPr>
                <w:sz w:val="20"/>
              </w:rPr>
              <w:t>09/09/19</w:t>
            </w:r>
          </w:p>
        </w:tc>
        <w:tc>
          <w:tcPr>
            <w:tcW w:w="994" w:type="dxa"/>
          </w:tcPr>
          <w:p>
            <w:pPr>
              <w:pStyle w:val="TableParagraph"/>
              <w:spacing w:line="243" w:lineRule="exact"/>
              <w:rPr>
                <w:sz w:val="20"/>
              </w:rPr>
            </w:pPr>
            <w:r>
              <w:rPr>
                <w:sz w:val="20"/>
              </w:rPr>
              <w:t>42</w:t>
            </w:r>
          </w:p>
        </w:tc>
        <w:tc>
          <w:tcPr>
            <w:tcW w:w="1277" w:type="dxa"/>
          </w:tcPr>
          <w:p>
            <w:pPr>
              <w:pStyle w:val="TableParagraph"/>
              <w:spacing w:line="243" w:lineRule="exact"/>
              <w:rPr>
                <w:sz w:val="20"/>
              </w:rPr>
            </w:pPr>
            <w:r>
              <w:rPr>
                <w:w w:val="100"/>
                <w:sz w:val="20"/>
              </w:rPr>
              <w:t>1</w:t>
            </w:r>
          </w:p>
        </w:tc>
        <w:tc>
          <w:tcPr>
            <w:tcW w:w="1556" w:type="dxa"/>
          </w:tcPr>
          <w:p>
            <w:pPr>
              <w:pStyle w:val="TableParagraph"/>
              <w:spacing w:line="243" w:lineRule="exact"/>
              <w:rPr>
                <w:sz w:val="20"/>
              </w:rPr>
            </w:pPr>
            <w:r>
              <w:rPr>
                <w:w w:val="100"/>
                <w:sz w:val="20"/>
              </w:rPr>
              <w:t>3</w:t>
            </w:r>
          </w:p>
        </w:tc>
        <w:tc>
          <w:tcPr>
            <w:tcW w:w="2351" w:type="dxa"/>
          </w:tcPr>
          <w:p>
            <w:pPr>
              <w:pStyle w:val="TableParagraph"/>
              <w:spacing w:line="243" w:lineRule="exact"/>
              <w:rPr>
                <w:sz w:val="20"/>
              </w:rPr>
            </w:pPr>
            <w:r>
              <w:rPr>
                <w:sz w:val="20"/>
              </w:rPr>
              <w:t>1, 2, 3, 4, 5</w:t>
            </w:r>
          </w:p>
        </w:tc>
      </w:tr>
      <w:tr>
        <w:trPr>
          <w:trHeight w:val="1720" w:hRule="exact"/>
        </w:trPr>
        <w:tc>
          <w:tcPr>
            <w:tcW w:w="2123" w:type="dxa"/>
          </w:tcPr>
          <w:p>
            <w:pPr>
              <w:pStyle w:val="TableParagraph"/>
              <w:ind w:left="463" w:right="264" w:hanging="360"/>
              <w:rPr>
                <w:sz w:val="20"/>
              </w:rPr>
            </w:pPr>
            <w:r>
              <w:rPr>
                <w:sz w:val="20"/>
              </w:rPr>
              <w:t>25. Pharmacists as Champions for Opioid Overdose Prevention and Naloxone Counseling</w:t>
            </w:r>
          </w:p>
        </w:tc>
        <w:tc>
          <w:tcPr>
            <w:tcW w:w="1724" w:type="dxa"/>
          </w:tcPr>
          <w:p>
            <w:pPr>
              <w:pStyle w:val="TableParagraph"/>
              <w:ind w:right="261"/>
              <w:rPr>
                <w:sz w:val="20"/>
              </w:rPr>
            </w:pPr>
            <w:r>
              <w:rPr>
                <w:sz w:val="20"/>
              </w:rPr>
              <w:t>Jeffrey Fundin &amp; Abigail Brooks</w:t>
            </w:r>
          </w:p>
        </w:tc>
        <w:tc>
          <w:tcPr>
            <w:tcW w:w="1145" w:type="dxa"/>
          </w:tcPr>
          <w:p>
            <w:pPr>
              <w:pStyle w:val="TableParagraph"/>
              <w:spacing w:line="243" w:lineRule="exact"/>
              <w:rPr>
                <w:sz w:val="20"/>
              </w:rPr>
            </w:pPr>
            <w:r>
              <w:rPr>
                <w:sz w:val="20"/>
              </w:rPr>
              <w:t>2014</w:t>
            </w:r>
          </w:p>
        </w:tc>
        <w:tc>
          <w:tcPr>
            <w:tcW w:w="991" w:type="dxa"/>
          </w:tcPr>
          <w:p>
            <w:pPr>
              <w:pStyle w:val="TableParagraph"/>
              <w:spacing w:line="243" w:lineRule="exact"/>
              <w:rPr>
                <w:sz w:val="20"/>
              </w:rPr>
            </w:pPr>
            <w:r>
              <w:rPr>
                <w:sz w:val="20"/>
              </w:rPr>
              <w:t>USA</w:t>
            </w:r>
          </w:p>
        </w:tc>
        <w:tc>
          <w:tcPr>
            <w:tcW w:w="2696" w:type="dxa"/>
          </w:tcPr>
          <w:p>
            <w:pPr>
              <w:pStyle w:val="TableParagraph"/>
              <w:ind w:right="165"/>
              <w:rPr>
                <w:sz w:val="20"/>
              </w:rPr>
            </w:pPr>
            <w:r>
              <w:rPr>
                <w:color w:val="0562C1"/>
                <w:sz w:val="20"/>
                <w:u w:val="single" w:color="0562C1"/>
              </w:rPr>
              <w:t>https://www.pharmacytimes. com/contributor/jeffrey- fudin/2014/10/pharmacists- as-champions-for-opioid- overdose-prevention-and- naloxone-counseling</w:t>
            </w:r>
          </w:p>
        </w:tc>
        <w:tc>
          <w:tcPr>
            <w:tcW w:w="1132" w:type="dxa"/>
          </w:tcPr>
          <w:p>
            <w:pPr>
              <w:pStyle w:val="TableParagraph"/>
              <w:spacing w:line="243" w:lineRule="exact"/>
              <w:rPr>
                <w:sz w:val="20"/>
              </w:rPr>
            </w:pPr>
            <w:r>
              <w:rPr>
                <w:sz w:val="20"/>
              </w:rPr>
              <w:t>10/09/19</w:t>
            </w:r>
          </w:p>
        </w:tc>
        <w:tc>
          <w:tcPr>
            <w:tcW w:w="994" w:type="dxa"/>
          </w:tcPr>
          <w:p>
            <w:pPr>
              <w:pStyle w:val="TableParagraph"/>
              <w:spacing w:line="243" w:lineRule="exact"/>
              <w:rPr>
                <w:sz w:val="20"/>
              </w:rPr>
            </w:pPr>
            <w:r>
              <w:rPr>
                <w:sz w:val="20"/>
              </w:rPr>
              <w:t>n/a</w:t>
            </w:r>
          </w:p>
        </w:tc>
        <w:tc>
          <w:tcPr>
            <w:tcW w:w="1277" w:type="dxa"/>
          </w:tcPr>
          <w:p>
            <w:pPr>
              <w:pStyle w:val="TableParagraph"/>
              <w:spacing w:line="243" w:lineRule="exact"/>
              <w:rPr>
                <w:sz w:val="20"/>
              </w:rPr>
            </w:pPr>
            <w:r>
              <w:rPr>
                <w:w w:val="100"/>
                <w:sz w:val="20"/>
              </w:rPr>
              <w:t>3</w:t>
            </w:r>
          </w:p>
        </w:tc>
        <w:tc>
          <w:tcPr>
            <w:tcW w:w="1556" w:type="dxa"/>
          </w:tcPr>
          <w:p>
            <w:pPr>
              <w:pStyle w:val="TableParagraph"/>
              <w:spacing w:line="243" w:lineRule="exact"/>
              <w:rPr>
                <w:sz w:val="20"/>
              </w:rPr>
            </w:pPr>
            <w:r>
              <w:rPr>
                <w:w w:val="100"/>
                <w:sz w:val="20"/>
              </w:rPr>
              <w:t>1</w:t>
            </w:r>
          </w:p>
        </w:tc>
        <w:tc>
          <w:tcPr>
            <w:tcW w:w="2351" w:type="dxa"/>
          </w:tcPr>
          <w:p>
            <w:pPr>
              <w:pStyle w:val="TableParagraph"/>
              <w:spacing w:line="243" w:lineRule="exact"/>
              <w:rPr>
                <w:sz w:val="20"/>
              </w:rPr>
            </w:pPr>
            <w:r>
              <w:rPr>
                <w:sz w:val="20"/>
              </w:rPr>
              <w:t>1, 2, 3</w:t>
            </w:r>
          </w:p>
        </w:tc>
      </w:tr>
    </w:tbl>
    <w:p>
      <w:pPr>
        <w:spacing w:after="0" w:line="243" w:lineRule="exact"/>
        <w:rPr>
          <w:sz w:val="20"/>
        </w:rPr>
        <w:sectPr>
          <w:footerReference w:type="default" r:id="rId40"/>
          <w:pgSz w:w="16840" w:h="11910" w:orient="landscape"/>
          <w:pgMar w:footer="1269" w:header="0" w:top="1100" w:bottom="1460" w:left="300" w:right="320"/>
        </w:sectPr>
      </w:pPr>
    </w:p>
    <w:p>
      <w:pPr>
        <w:pStyle w:val="BodyText"/>
        <w:rPr>
          <w:rFonts w:ascii="Times New Roman"/>
          <w:sz w:val="20"/>
        </w:rPr>
      </w:pPr>
    </w:p>
    <w:p>
      <w:pPr>
        <w:pStyle w:val="Heading1"/>
        <w:spacing w:before="188"/>
        <w:jc w:val="left"/>
      </w:pPr>
      <w:bookmarkStart w:name="Appendix 2: Pharmacist poster" w:id="24"/>
      <w:bookmarkEnd w:id="24"/>
      <w:r>
        <w:rPr>
          <w:b w:val="0"/>
        </w:rPr>
      </w:r>
      <w:bookmarkStart w:name="_bookmark9" w:id="25"/>
      <w:bookmarkEnd w:id="25"/>
      <w:r>
        <w:rPr>
          <w:b w:val="0"/>
        </w:rPr>
      </w:r>
      <w:r>
        <w:rPr>
          <w:color w:val="6C1C6C"/>
        </w:rPr>
        <w:t>Appendix 2: Pharmacist poster</w:t>
      </w:r>
    </w:p>
    <w:p>
      <w:pPr>
        <w:pStyle w:val="BodyText"/>
        <w:ind w:left="831"/>
        <w:rPr>
          <w:sz w:val="20"/>
        </w:rPr>
      </w:pPr>
      <w:r>
        <w:rPr>
          <w:sz w:val="20"/>
        </w:rPr>
        <w:drawing>
          <wp:inline distT="0" distB="0" distL="0" distR="0">
            <wp:extent cx="5677430" cy="8034147"/>
            <wp:effectExtent l="0" t="0" r="0" b="0"/>
            <wp:docPr id="11" name="image9.jpeg" descr=""/>
            <wp:cNvGraphicFramePr>
              <a:graphicFrameLocks noChangeAspect="1"/>
            </wp:cNvGraphicFramePr>
            <a:graphic>
              <a:graphicData uri="http://schemas.openxmlformats.org/drawingml/2006/picture">
                <pic:pic>
                  <pic:nvPicPr>
                    <pic:cNvPr id="12" name="image9.jpeg"/>
                    <pic:cNvPicPr/>
                  </pic:nvPicPr>
                  <pic:blipFill>
                    <a:blip r:embed="rId43" cstate="print"/>
                    <a:stretch>
                      <a:fillRect/>
                    </a:stretch>
                  </pic:blipFill>
                  <pic:spPr>
                    <a:xfrm>
                      <a:off x="0" y="0"/>
                      <a:ext cx="5677430" cy="8034147"/>
                    </a:xfrm>
                    <a:prstGeom prst="rect">
                      <a:avLst/>
                    </a:prstGeom>
                  </pic:spPr>
                </pic:pic>
              </a:graphicData>
            </a:graphic>
          </wp:inline>
        </w:drawing>
      </w:r>
      <w:r>
        <w:rPr>
          <w:sz w:val="20"/>
        </w:rPr>
      </w:r>
    </w:p>
    <w:p>
      <w:pPr>
        <w:spacing w:after="0"/>
        <w:rPr>
          <w:sz w:val="20"/>
        </w:rPr>
        <w:sectPr>
          <w:footerReference w:type="default" r:id="rId42"/>
          <w:pgSz w:w="11910" w:h="16840"/>
          <w:pgMar w:footer="1269" w:header="0" w:top="1580" w:bottom="1460" w:left="620" w:right="620"/>
          <w:pgNumType w:start="32"/>
        </w:sectPr>
      </w:pPr>
    </w:p>
    <w:p>
      <w:pPr>
        <w:pStyle w:val="Heading1"/>
        <w:spacing w:before="18"/>
        <w:jc w:val="left"/>
      </w:pPr>
      <w:bookmarkStart w:name="Appendix 3: Patient leaflet (double-side" w:id="26"/>
      <w:bookmarkEnd w:id="26"/>
      <w:r>
        <w:rPr>
          <w:b w:val="0"/>
        </w:rPr>
      </w:r>
      <w:bookmarkStart w:name="_bookmark10" w:id="27"/>
      <w:bookmarkEnd w:id="27"/>
      <w:r>
        <w:rPr>
          <w:b w:val="0"/>
        </w:rPr>
      </w:r>
      <w:r>
        <w:rPr>
          <w:color w:val="6C1C6C"/>
        </w:rPr>
        <w:t>Appendix 3: Patient leaflet (double-sided)</w:t>
      </w:r>
    </w:p>
    <w:p>
      <w:pPr>
        <w:pStyle w:val="BodyText"/>
        <w:spacing w:before="9"/>
        <w:rPr>
          <w:b/>
          <w:sz w:val="18"/>
        </w:rPr>
      </w:pPr>
      <w:r>
        <w:rPr/>
        <w:drawing>
          <wp:anchor distT="0" distB="0" distL="0" distR="0" allowOverlap="1" layoutInCell="1" locked="0" behindDoc="0" simplePos="0" relativeHeight="1192">
            <wp:simplePos x="0" y="0"/>
            <wp:positionH relativeFrom="page">
              <wp:posOffset>884555</wp:posOffset>
            </wp:positionH>
            <wp:positionV relativeFrom="paragraph">
              <wp:posOffset>170107</wp:posOffset>
            </wp:positionV>
            <wp:extent cx="5779647" cy="8177688"/>
            <wp:effectExtent l="0" t="0" r="0" b="0"/>
            <wp:wrapTopAndBottom/>
            <wp:docPr id="13" name="image10.jpeg" descr=""/>
            <wp:cNvGraphicFramePr>
              <a:graphicFrameLocks noChangeAspect="1"/>
            </wp:cNvGraphicFramePr>
            <a:graphic>
              <a:graphicData uri="http://schemas.openxmlformats.org/drawingml/2006/picture">
                <pic:pic>
                  <pic:nvPicPr>
                    <pic:cNvPr id="14" name="image10.jpeg"/>
                    <pic:cNvPicPr/>
                  </pic:nvPicPr>
                  <pic:blipFill>
                    <a:blip r:embed="rId44" cstate="print"/>
                    <a:stretch>
                      <a:fillRect/>
                    </a:stretch>
                  </pic:blipFill>
                  <pic:spPr>
                    <a:xfrm>
                      <a:off x="0" y="0"/>
                      <a:ext cx="5779647" cy="8177688"/>
                    </a:xfrm>
                    <a:prstGeom prst="rect">
                      <a:avLst/>
                    </a:prstGeom>
                  </pic:spPr>
                </pic:pic>
              </a:graphicData>
            </a:graphic>
          </wp:anchor>
        </w:drawing>
      </w:r>
    </w:p>
    <w:p>
      <w:pPr>
        <w:spacing w:after="0"/>
        <w:rPr>
          <w:sz w:val="18"/>
        </w:rPr>
        <w:sectPr>
          <w:pgSz w:w="11910" w:h="16840"/>
          <w:pgMar w:header="0" w:footer="1269" w:top="1500" w:bottom="1520" w:left="620" w:right="620"/>
        </w:sectPr>
      </w:pPr>
    </w:p>
    <w:p>
      <w:pPr>
        <w:pStyle w:val="BodyText"/>
        <w:rPr>
          <w:rFonts w:ascii="Times New Roman"/>
          <w:sz w:val="18"/>
        </w:rPr>
      </w:pPr>
    </w:p>
    <w:p>
      <w:pPr>
        <w:pStyle w:val="BodyText"/>
        <w:ind w:left="102"/>
        <w:rPr>
          <w:rFonts w:ascii="Times New Roman"/>
          <w:sz w:val="20"/>
        </w:rPr>
      </w:pPr>
      <w:r>
        <w:rPr>
          <w:rFonts w:ascii="Times New Roman"/>
          <w:sz w:val="20"/>
        </w:rPr>
        <w:drawing>
          <wp:inline distT="0" distB="0" distL="0" distR="0">
            <wp:extent cx="5816184" cy="8241601"/>
            <wp:effectExtent l="0" t="0" r="0" b="0"/>
            <wp:docPr id="15" name="image11.jpeg" descr=""/>
            <wp:cNvGraphicFramePr>
              <a:graphicFrameLocks noChangeAspect="1"/>
            </wp:cNvGraphicFramePr>
            <a:graphic>
              <a:graphicData uri="http://schemas.openxmlformats.org/drawingml/2006/picture">
                <pic:pic>
                  <pic:nvPicPr>
                    <pic:cNvPr id="16" name="image11.jpeg"/>
                    <pic:cNvPicPr/>
                  </pic:nvPicPr>
                  <pic:blipFill>
                    <a:blip r:embed="rId45" cstate="print"/>
                    <a:stretch>
                      <a:fillRect/>
                    </a:stretch>
                  </pic:blipFill>
                  <pic:spPr>
                    <a:xfrm>
                      <a:off x="0" y="0"/>
                      <a:ext cx="5816184" cy="8241601"/>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0" w:footer="1269" w:top="1580" w:bottom="1460" w:left="1240" w:right="6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1"/>
        <w:spacing w:before="220"/>
        <w:jc w:val="left"/>
      </w:pPr>
      <w:bookmarkStart w:name="Appendix 4: Pharmacist training animatio" w:id="28"/>
      <w:bookmarkEnd w:id="28"/>
      <w:r>
        <w:rPr>
          <w:b w:val="0"/>
        </w:rPr>
      </w:r>
      <w:bookmarkStart w:name="_bookmark11" w:id="29"/>
      <w:bookmarkEnd w:id="29"/>
      <w:r>
        <w:rPr>
          <w:b w:val="0"/>
        </w:rPr>
      </w:r>
      <w:r>
        <w:rPr>
          <w:color w:val="6C1C6C"/>
        </w:rPr>
        <w:t>Appendix 4: Pharmacist training animation: illustration example</w:t>
      </w:r>
    </w:p>
    <w:p>
      <w:pPr>
        <w:pStyle w:val="BodyText"/>
        <w:rPr>
          <w:b/>
          <w:sz w:val="20"/>
        </w:rPr>
      </w:pPr>
    </w:p>
    <w:p>
      <w:pPr>
        <w:pStyle w:val="BodyText"/>
        <w:rPr>
          <w:b/>
          <w:sz w:val="20"/>
        </w:rPr>
      </w:pPr>
    </w:p>
    <w:p>
      <w:pPr>
        <w:pStyle w:val="BodyText"/>
        <w:rPr>
          <w:b/>
          <w:sz w:val="20"/>
        </w:rPr>
      </w:pPr>
    </w:p>
    <w:p>
      <w:pPr>
        <w:pStyle w:val="BodyText"/>
        <w:rPr>
          <w:b/>
          <w:sz w:val="20"/>
        </w:rPr>
      </w:pPr>
      <w:r>
        <w:rPr/>
        <w:drawing>
          <wp:anchor distT="0" distB="0" distL="0" distR="0" allowOverlap="1" layoutInCell="1" locked="0" behindDoc="0" simplePos="0" relativeHeight="1216">
            <wp:simplePos x="0" y="0"/>
            <wp:positionH relativeFrom="page">
              <wp:posOffset>2023110</wp:posOffset>
            </wp:positionH>
            <wp:positionV relativeFrom="paragraph">
              <wp:posOffset>180318</wp:posOffset>
            </wp:positionV>
            <wp:extent cx="6638051" cy="3733800"/>
            <wp:effectExtent l="0" t="0" r="0" b="0"/>
            <wp:wrapTopAndBottom/>
            <wp:docPr id="17" name="image12.jpeg" descr=""/>
            <wp:cNvGraphicFramePr>
              <a:graphicFrameLocks noChangeAspect="1"/>
            </wp:cNvGraphicFramePr>
            <a:graphic>
              <a:graphicData uri="http://schemas.openxmlformats.org/drawingml/2006/picture">
                <pic:pic>
                  <pic:nvPicPr>
                    <pic:cNvPr id="18" name="image12.jpeg"/>
                    <pic:cNvPicPr/>
                  </pic:nvPicPr>
                  <pic:blipFill>
                    <a:blip r:embed="rId47" cstate="print"/>
                    <a:stretch>
                      <a:fillRect/>
                    </a:stretch>
                  </pic:blipFill>
                  <pic:spPr>
                    <a:xfrm>
                      <a:off x="0" y="0"/>
                      <a:ext cx="6638051" cy="3733800"/>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spacing w:before="3"/>
        <w:rPr>
          <w:b/>
          <w:sz w:val="21"/>
        </w:rPr>
      </w:pPr>
    </w:p>
    <w:p>
      <w:pPr>
        <w:pStyle w:val="BodyText"/>
        <w:spacing w:before="93"/>
        <w:ind w:right="119"/>
        <w:jc w:val="right"/>
        <w:rPr>
          <w:rFonts w:ascii="Arial"/>
        </w:rPr>
      </w:pPr>
      <w:r>
        <w:rPr>
          <w:rFonts w:ascii="Arial"/>
        </w:rPr>
        <w:t>35</w:t>
      </w:r>
    </w:p>
    <w:sectPr>
      <w:footerReference w:type="default" r:id="rId46"/>
      <w:pgSz w:w="16840" w:h="11910" w:orient="landscape"/>
      <w:pgMar w:footer="0" w:header="0" w:top="1100" w:bottom="280" w:left="62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Calibri">
    <w:altName w:val="Calibri"/>
    <w:charset w:val="0"/>
    <w:family w:val="swiss"/>
    <w:pitch w:val="variable"/>
  </w:font>
  <w:font w:name="Arial">
    <w:altName w:val="Arial"/>
    <w:charset w:val="0"/>
    <w:family w:val="swiss"/>
    <w:pitch w:val="variable"/>
  </w:font>
  <w:font w:name="Webdings">
    <w:altName w:val="Webdings"/>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659973pt;margin-top:764.536682pt;width:10.7pt;height:15.45pt;mso-position-horizontal-relative:page;mso-position-vertical-relative:page;z-index:-88888" type="#_x0000_t202" filled="false" stroked="false">
          <v:textbox inset="0,0,0,0">
            <w:txbxContent>
              <w:p>
                <w:pPr>
                  <w:pStyle w:val="BodyText"/>
                  <w:spacing w:before="12"/>
                  <w:ind w:left="40"/>
                  <w:rPr>
                    <w:rFonts w:ascii="Arial"/>
                  </w:rPr>
                </w:pPr>
                <w:r>
                  <w:rPr/>
                  <w:fldChar w:fldCharType="begin"/>
                </w:r>
                <w:r>
                  <w:rPr>
                    <w:rFonts w:ascii="Arial"/>
                  </w:rPr>
                  <w:instrText> PAGE </w:instrText>
                </w:r>
                <w:r>
                  <w:rPr/>
                  <w:fldChar w:fldCharType="separate"/>
                </w:r>
                <w:r>
                  <w:rPr/>
                  <w:t>9</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91.599976pt;margin-top:517.876709pt;width:15.35pt;height:15.45pt;mso-position-horizontal-relative:page;mso-position-vertical-relative:page;z-index:-88696" type="#_x0000_t202" filled="false" stroked="false">
          <v:textbox inset="0,0,0,0">
            <w:txbxContent>
              <w:p>
                <w:pPr>
                  <w:pStyle w:val="BodyText"/>
                  <w:spacing w:before="12"/>
                  <w:ind w:left="20"/>
                  <w:rPr>
                    <w:rFonts w:ascii="Arial"/>
                  </w:rPr>
                </w:pPr>
                <w:r>
                  <w:rPr>
                    <w:rFonts w:ascii="Arial"/>
                  </w:rPr>
                  <w:t>31</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pt;margin-top:764.476685pt;width:17.350pt;height:15.45pt;mso-position-horizontal-relative:page;mso-position-vertical-relative:page;z-index:-88672" type="#_x0000_t202" filled="false" stroked="false">
          <v:textbox inset="0,0,0,0">
            <w:txbxContent>
              <w:p>
                <w:pPr>
                  <w:pStyle w:val="BodyText"/>
                  <w:spacing w:before="12"/>
                  <w:ind w:left="40"/>
                  <w:rPr>
                    <w:rFonts w:ascii="Arial"/>
                  </w:rPr>
                </w:pPr>
                <w:r>
                  <w:rPr/>
                  <w:fldChar w:fldCharType="begin"/>
                </w:r>
                <w:r>
                  <w:rPr>
                    <w:rFonts w:ascii="Arial"/>
                  </w:rPr>
                  <w:instrText> PAGE </w:instrText>
                </w:r>
                <w:r>
                  <w:rPr/>
                  <w:fldChar w:fldCharType="separate"/>
                </w:r>
                <w:r>
                  <w:rPr/>
                  <w:t>34</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pt;margin-top:764.536682pt;width:15.35pt;height:15.45pt;mso-position-horizontal-relative:page;mso-position-vertical-relative:page;z-index:-88864" type="#_x0000_t202" filled="false" stroked="false">
          <v:textbox inset="0,0,0,0">
            <w:txbxContent>
              <w:p>
                <w:pPr>
                  <w:pStyle w:val="BodyText"/>
                  <w:spacing w:before="12"/>
                  <w:ind w:left="20"/>
                  <w:rPr>
                    <w:rFonts w:ascii="Arial"/>
                  </w:rPr>
                </w:pPr>
                <w:r>
                  <w:rPr>
                    <w:rFonts w:ascii="Arial"/>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pt;margin-top:764.536682pt;width:17.350pt;height:15.45pt;mso-position-horizontal-relative:page;mso-position-vertical-relative:page;z-index:-88840" type="#_x0000_t202" filled="false" stroked="false">
          <v:textbox inset="0,0,0,0">
            <w:txbxContent>
              <w:p>
                <w:pPr>
                  <w:pStyle w:val="BodyText"/>
                  <w:spacing w:before="12"/>
                  <w:ind w:left="40"/>
                  <w:rPr>
                    <w:rFonts w:ascii="Arial"/>
                  </w:rPr>
                </w:pPr>
                <w:r>
                  <w:rPr/>
                  <w:fldChar w:fldCharType="begin"/>
                </w:r>
                <w:r>
                  <w:rPr>
                    <w:rFonts w:ascii="Arial"/>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pt;margin-top:764.536682pt;width:17.350pt;height:15.45pt;mso-position-horizontal-relative:page;mso-position-vertical-relative:page;z-index:-88816" type="#_x0000_t202" filled="false" stroked="false">
          <v:textbox inset="0,0,0,0">
            <w:txbxContent>
              <w:p>
                <w:pPr>
                  <w:pStyle w:val="BodyText"/>
                  <w:spacing w:before="12"/>
                  <w:ind w:left="40"/>
                  <w:rPr>
                    <w:rFonts w:ascii="Arial"/>
                  </w:rPr>
                </w:pPr>
                <w:r>
                  <w:rPr/>
                  <w:fldChar w:fldCharType="begin"/>
                </w:r>
                <w:r>
                  <w:rPr>
                    <w:rFonts w:ascii="Arial"/>
                  </w:rPr>
                  <w:instrText> PAGE </w:instrText>
                </w:r>
                <w:r>
                  <w:rPr/>
                  <w:fldChar w:fldCharType="separate"/>
                </w:r>
                <w:r>
                  <w:rPr/>
                  <w:t>18</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4.599976pt;margin-top:517.936707pt;width:17.350pt;height:15.45pt;mso-position-horizontal-relative:page;mso-position-vertical-relative:page;z-index:-88792" type="#_x0000_t202" filled="false" stroked="false">
          <v:textbox inset="0,0,0,0">
            <w:txbxContent>
              <w:p>
                <w:pPr>
                  <w:pStyle w:val="BodyText"/>
                  <w:spacing w:before="12"/>
                  <w:ind w:left="40"/>
                  <w:rPr>
                    <w:rFonts w:ascii="Arial"/>
                  </w:rPr>
                </w:pPr>
                <w:r>
                  <w:rPr/>
                  <w:fldChar w:fldCharType="begin"/>
                </w:r>
                <w:r>
                  <w:rPr>
                    <w:rFonts w:ascii="Arial"/>
                  </w:rPr>
                  <w:instrText> PAGE </w:instrText>
                </w:r>
                <w:r>
                  <w:rPr/>
                  <w:fldChar w:fldCharType="separate"/>
                </w:r>
                <w:r>
                  <w:rPr/>
                  <w:t>20</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pt;margin-top:764.536682pt;width:17.350pt;height:15.45pt;mso-position-horizontal-relative:page;mso-position-vertical-relative:page;z-index:-88768" type="#_x0000_t202" filled="false" stroked="false">
          <v:textbox inset="0,0,0,0">
            <w:txbxContent>
              <w:p>
                <w:pPr>
                  <w:pStyle w:val="BodyText"/>
                  <w:spacing w:before="12"/>
                  <w:ind w:left="40"/>
                  <w:rPr>
                    <w:rFonts w:ascii="Arial"/>
                  </w:rPr>
                </w:pPr>
                <w:r>
                  <w:rPr/>
                  <w:fldChar w:fldCharType="begin"/>
                </w:r>
                <w:r>
                  <w:rPr>
                    <w:rFonts w:ascii="Arial"/>
                  </w:rPr>
                  <w:instrText> PAGE </w:instrText>
                </w:r>
                <w:r>
                  <w:rPr/>
                  <w:fldChar w:fldCharType="separate"/>
                </w:r>
                <w:r>
                  <w:rPr/>
                  <w:t>22</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90.599976pt;margin-top:517.876709pt;width:17.350pt;height:15.45pt;mso-position-horizontal-relative:page;mso-position-vertical-relative:page;z-index:-88744" type="#_x0000_t202" filled="false" stroked="false">
          <v:textbox inset="0,0,0,0">
            <w:txbxContent>
              <w:p>
                <w:pPr>
                  <w:pStyle w:val="BodyText"/>
                  <w:spacing w:before="12"/>
                  <w:ind w:left="40"/>
                  <w:rPr>
                    <w:rFonts w:ascii="Arial"/>
                  </w:rPr>
                </w:pPr>
                <w:r>
                  <w:rPr/>
                  <w:fldChar w:fldCharType="begin"/>
                </w:r>
                <w:r>
                  <w:rPr>
                    <w:rFonts w:ascii="Arial"/>
                  </w:rPr>
                  <w:instrText> PAGE </w:instrText>
                </w:r>
                <w:r>
                  <w:rPr/>
                  <w:fldChar w:fldCharType="separate"/>
                </w:r>
                <w:r>
                  <w:rPr/>
                  <w:t>26</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91.599976pt;margin-top:517.876709pt;width:15.35pt;height:15.45pt;mso-position-horizontal-relative:page;mso-position-vertical-relative:page;z-index:-88720" type="#_x0000_t202" filled="false" stroked="false">
          <v:textbox inset="0,0,0,0">
            <w:txbxContent>
              <w:p>
                <w:pPr>
                  <w:pStyle w:val="BodyText"/>
                  <w:spacing w:before="12"/>
                  <w:ind w:left="20"/>
                  <w:rPr>
                    <w:rFonts w:ascii="Arial"/>
                  </w:rPr>
                </w:pPr>
                <w:r>
                  <w:rPr>
                    <w:rFonts w:ascii="Arial"/>
                  </w:rPr>
                  <w:t>30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1"/>
      <w:numFmt w:val="decimal"/>
      <w:lvlText w:val="%1."/>
      <w:lvlJc w:val="left"/>
      <w:pPr>
        <w:ind w:left="693" w:hanging="360"/>
        <w:jc w:val="right"/>
      </w:pPr>
      <w:rPr>
        <w:rFonts w:hint="default" w:ascii="Calibri" w:hAnsi="Calibri" w:eastAsia="Calibri" w:cs="Calibri"/>
        <w:w w:val="100"/>
        <w:sz w:val="20"/>
        <w:szCs w:val="20"/>
      </w:rPr>
    </w:lvl>
    <w:lvl w:ilvl="1">
      <w:start w:val="0"/>
      <w:numFmt w:val="bullet"/>
      <w:lvlText w:val="•"/>
      <w:lvlJc w:val="left"/>
      <w:pPr>
        <w:ind w:left="864" w:hanging="360"/>
      </w:pPr>
      <w:rPr>
        <w:rFonts w:hint="default"/>
      </w:rPr>
    </w:lvl>
    <w:lvl w:ilvl="2">
      <w:start w:val="0"/>
      <w:numFmt w:val="bullet"/>
      <w:lvlText w:val="•"/>
      <w:lvlJc w:val="left"/>
      <w:pPr>
        <w:ind w:left="1028" w:hanging="360"/>
      </w:pPr>
      <w:rPr>
        <w:rFonts w:hint="default"/>
      </w:rPr>
    </w:lvl>
    <w:lvl w:ilvl="3">
      <w:start w:val="0"/>
      <w:numFmt w:val="bullet"/>
      <w:lvlText w:val="•"/>
      <w:lvlJc w:val="left"/>
      <w:pPr>
        <w:ind w:left="1192" w:hanging="360"/>
      </w:pPr>
      <w:rPr>
        <w:rFonts w:hint="default"/>
      </w:rPr>
    </w:lvl>
    <w:lvl w:ilvl="4">
      <w:start w:val="0"/>
      <w:numFmt w:val="bullet"/>
      <w:lvlText w:val="•"/>
      <w:lvlJc w:val="left"/>
      <w:pPr>
        <w:ind w:left="1356" w:hanging="360"/>
      </w:pPr>
      <w:rPr>
        <w:rFonts w:hint="default"/>
      </w:rPr>
    </w:lvl>
    <w:lvl w:ilvl="5">
      <w:start w:val="0"/>
      <w:numFmt w:val="bullet"/>
      <w:lvlText w:val="•"/>
      <w:lvlJc w:val="left"/>
      <w:pPr>
        <w:ind w:left="1520" w:hanging="360"/>
      </w:pPr>
      <w:rPr>
        <w:rFonts w:hint="default"/>
      </w:rPr>
    </w:lvl>
    <w:lvl w:ilvl="6">
      <w:start w:val="0"/>
      <w:numFmt w:val="bullet"/>
      <w:lvlText w:val="•"/>
      <w:lvlJc w:val="left"/>
      <w:pPr>
        <w:ind w:left="1684" w:hanging="360"/>
      </w:pPr>
      <w:rPr>
        <w:rFonts w:hint="default"/>
      </w:rPr>
    </w:lvl>
    <w:lvl w:ilvl="7">
      <w:start w:val="0"/>
      <w:numFmt w:val="bullet"/>
      <w:lvlText w:val="•"/>
      <w:lvlJc w:val="left"/>
      <w:pPr>
        <w:ind w:left="1848" w:hanging="360"/>
      </w:pPr>
      <w:rPr>
        <w:rFonts w:hint="default"/>
      </w:rPr>
    </w:lvl>
    <w:lvl w:ilvl="8">
      <w:start w:val="0"/>
      <w:numFmt w:val="bullet"/>
      <w:lvlText w:val="•"/>
      <w:lvlJc w:val="left"/>
      <w:pPr>
        <w:ind w:left="2012" w:hanging="360"/>
      </w:pPr>
      <w:rPr>
        <w:rFonts w:hint="default"/>
      </w:rPr>
    </w:lvl>
  </w:abstractNum>
  <w:abstractNum w:abstractNumId="9">
    <w:multiLevelType w:val="hybridMultilevel"/>
    <w:lvl w:ilvl="0">
      <w:start w:val="1"/>
      <w:numFmt w:val="decimal"/>
      <w:lvlText w:val="%1."/>
      <w:lvlJc w:val="left"/>
      <w:pPr>
        <w:ind w:left="249" w:hanging="198"/>
        <w:jc w:val="right"/>
      </w:pPr>
      <w:rPr>
        <w:rFonts w:hint="default" w:ascii="Calibri" w:hAnsi="Calibri" w:eastAsia="Calibri" w:cs="Calibri"/>
        <w:w w:val="100"/>
        <w:sz w:val="20"/>
        <w:szCs w:val="20"/>
      </w:rPr>
    </w:lvl>
    <w:lvl w:ilvl="1">
      <w:start w:val="0"/>
      <w:numFmt w:val="bullet"/>
      <w:lvlText w:val="•"/>
      <w:lvlJc w:val="left"/>
      <w:pPr>
        <w:ind w:left="370" w:hanging="198"/>
      </w:pPr>
      <w:rPr>
        <w:rFonts w:hint="default"/>
      </w:rPr>
    </w:lvl>
    <w:lvl w:ilvl="2">
      <w:start w:val="0"/>
      <w:numFmt w:val="bullet"/>
      <w:lvlText w:val="•"/>
      <w:lvlJc w:val="left"/>
      <w:pPr>
        <w:ind w:left="501" w:hanging="198"/>
      </w:pPr>
      <w:rPr>
        <w:rFonts w:hint="default"/>
      </w:rPr>
    </w:lvl>
    <w:lvl w:ilvl="3">
      <w:start w:val="0"/>
      <w:numFmt w:val="bullet"/>
      <w:lvlText w:val="•"/>
      <w:lvlJc w:val="left"/>
      <w:pPr>
        <w:ind w:left="632" w:hanging="198"/>
      </w:pPr>
      <w:rPr>
        <w:rFonts w:hint="default"/>
      </w:rPr>
    </w:lvl>
    <w:lvl w:ilvl="4">
      <w:start w:val="0"/>
      <w:numFmt w:val="bullet"/>
      <w:lvlText w:val="•"/>
      <w:lvlJc w:val="left"/>
      <w:pPr>
        <w:ind w:left="762" w:hanging="198"/>
      </w:pPr>
      <w:rPr>
        <w:rFonts w:hint="default"/>
      </w:rPr>
    </w:lvl>
    <w:lvl w:ilvl="5">
      <w:start w:val="0"/>
      <w:numFmt w:val="bullet"/>
      <w:lvlText w:val="•"/>
      <w:lvlJc w:val="left"/>
      <w:pPr>
        <w:ind w:left="893" w:hanging="198"/>
      </w:pPr>
      <w:rPr>
        <w:rFonts w:hint="default"/>
      </w:rPr>
    </w:lvl>
    <w:lvl w:ilvl="6">
      <w:start w:val="0"/>
      <w:numFmt w:val="bullet"/>
      <w:lvlText w:val="•"/>
      <w:lvlJc w:val="left"/>
      <w:pPr>
        <w:ind w:left="1024" w:hanging="198"/>
      </w:pPr>
      <w:rPr>
        <w:rFonts w:hint="default"/>
      </w:rPr>
    </w:lvl>
    <w:lvl w:ilvl="7">
      <w:start w:val="0"/>
      <w:numFmt w:val="bullet"/>
      <w:lvlText w:val="•"/>
      <w:lvlJc w:val="left"/>
      <w:pPr>
        <w:ind w:left="1154" w:hanging="198"/>
      </w:pPr>
      <w:rPr>
        <w:rFonts w:hint="default"/>
      </w:rPr>
    </w:lvl>
    <w:lvl w:ilvl="8">
      <w:start w:val="0"/>
      <w:numFmt w:val="bullet"/>
      <w:lvlText w:val="•"/>
      <w:lvlJc w:val="left"/>
      <w:pPr>
        <w:ind w:left="1285" w:hanging="198"/>
      </w:pPr>
      <w:rPr>
        <w:rFonts w:hint="default"/>
      </w:rPr>
    </w:lvl>
  </w:abstractNum>
  <w:abstractNum w:abstractNumId="8">
    <w:multiLevelType w:val="hybridMultilevel"/>
    <w:lvl w:ilvl="0">
      <w:start w:val="4"/>
      <w:numFmt w:val="decimal"/>
      <w:lvlText w:val="%1."/>
      <w:lvlJc w:val="left"/>
      <w:pPr>
        <w:ind w:left="312" w:hanging="197"/>
        <w:jc w:val="left"/>
      </w:pPr>
      <w:rPr>
        <w:rFonts w:hint="default" w:ascii="Calibri" w:hAnsi="Calibri" w:eastAsia="Calibri" w:cs="Calibri"/>
        <w:w w:val="100"/>
        <w:sz w:val="20"/>
        <w:szCs w:val="20"/>
      </w:rPr>
    </w:lvl>
    <w:lvl w:ilvl="1">
      <w:start w:val="0"/>
      <w:numFmt w:val="bullet"/>
      <w:lvlText w:val="•"/>
      <w:lvlJc w:val="left"/>
      <w:pPr>
        <w:ind w:left="414" w:hanging="197"/>
      </w:pPr>
      <w:rPr>
        <w:rFonts w:hint="default"/>
      </w:rPr>
    </w:lvl>
    <w:lvl w:ilvl="2">
      <w:start w:val="0"/>
      <w:numFmt w:val="bullet"/>
      <w:lvlText w:val="•"/>
      <w:lvlJc w:val="left"/>
      <w:pPr>
        <w:ind w:left="509" w:hanging="197"/>
      </w:pPr>
      <w:rPr>
        <w:rFonts w:hint="default"/>
      </w:rPr>
    </w:lvl>
    <w:lvl w:ilvl="3">
      <w:start w:val="0"/>
      <w:numFmt w:val="bullet"/>
      <w:lvlText w:val="•"/>
      <w:lvlJc w:val="left"/>
      <w:pPr>
        <w:ind w:left="604" w:hanging="197"/>
      </w:pPr>
      <w:rPr>
        <w:rFonts w:hint="default"/>
      </w:rPr>
    </w:lvl>
    <w:lvl w:ilvl="4">
      <w:start w:val="0"/>
      <w:numFmt w:val="bullet"/>
      <w:lvlText w:val="•"/>
      <w:lvlJc w:val="left"/>
      <w:pPr>
        <w:ind w:left="698" w:hanging="197"/>
      </w:pPr>
      <w:rPr>
        <w:rFonts w:hint="default"/>
      </w:rPr>
    </w:lvl>
    <w:lvl w:ilvl="5">
      <w:start w:val="0"/>
      <w:numFmt w:val="bullet"/>
      <w:lvlText w:val="•"/>
      <w:lvlJc w:val="left"/>
      <w:pPr>
        <w:ind w:left="793" w:hanging="197"/>
      </w:pPr>
      <w:rPr>
        <w:rFonts w:hint="default"/>
      </w:rPr>
    </w:lvl>
    <w:lvl w:ilvl="6">
      <w:start w:val="0"/>
      <w:numFmt w:val="bullet"/>
      <w:lvlText w:val="•"/>
      <w:lvlJc w:val="left"/>
      <w:pPr>
        <w:ind w:left="888" w:hanging="197"/>
      </w:pPr>
      <w:rPr>
        <w:rFonts w:hint="default"/>
      </w:rPr>
    </w:lvl>
    <w:lvl w:ilvl="7">
      <w:start w:val="0"/>
      <w:numFmt w:val="bullet"/>
      <w:lvlText w:val="•"/>
      <w:lvlJc w:val="left"/>
      <w:pPr>
        <w:ind w:left="983" w:hanging="197"/>
      </w:pPr>
      <w:rPr>
        <w:rFonts w:hint="default"/>
      </w:rPr>
    </w:lvl>
    <w:lvl w:ilvl="8">
      <w:start w:val="0"/>
      <w:numFmt w:val="bullet"/>
      <w:lvlText w:val="•"/>
      <w:lvlJc w:val="left"/>
      <w:pPr>
        <w:ind w:left="1077" w:hanging="197"/>
      </w:pPr>
      <w:rPr>
        <w:rFonts w:hint="default"/>
      </w:rPr>
    </w:lvl>
  </w:abstractNum>
  <w:abstractNum w:abstractNumId="7">
    <w:multiLevelType w:val="hybridMultilevel"/>
    <w:lvl w:ilvl="0">
      <w:start w:val="1"/>
      <w:numFmt w:val="decimal"/>
      <w:lvlText w:val="%1."/>
      <w:lvlJc w:val="left"/>
      <w:pPr>
        <w:ind w:left="220" w:hanging="197"/>
        <w:jc w:val="left"/>
      </w:pPr>
      <w:rPr>
        <w:rFonts w:hint="default" w:ascii="Calibri" w:hAnsi="Calibri" w:eastAsia="Calibri" w:cs="Calibri"/>
        <w:w w:val="100"/>
        <w:sz w:val="20"/>
        <w:szCs w:val="20"/>
      </w:rPr>
    </w:lvl>
    <w:lvl w:ilvl="1">
      <w:start w:val="0"/>
      <w:numFmt w:val="bullet"/>
      <w:lvlText w:val="•"/>
      <w:lvlJc w:val="left"/>
      <w:pPr>
        <w:ind w:left="324" w:hanging="197"/>
      </w:pPr>
      <w:rPr>
        <w:rFonts w:hint="default"/>
      </w:rPr>
    </w:lvl>
    <w:lvl w:ilvl="2">
      <w:start w:val="0"/>
      <w:numFmt w:val="bullet"/>
      <w:lvlText w:val="•"/>
      <w:lvlJc w:val="left"/>
      <w:pPr>
        <w:ind w:left="429" w:hanging="197"/>
      </w:pPr>
      <w:rPr>
        <w:rFonts w:hint="default"/>
      </w:rPr>
    </w:lvl>
    <w:lvl w:ilvl="3">
      <w:start w:val="0"/>
      <w:numFmt w:val="bullet"/>
      <w:lvlText w:val="•"/>
      <w:lvlJc w:val="left"/>
      <w:pPr>
        <w:ind w:left="534" w:hanging="197"/>
      </w:pPr>
      <w:rPr>
        <w:rFonts w:hint="default"/>
      </w:rPr>
    </w:lvl>
    <w:lvl w:ilvl="4">
      <w:start w:val="0"/>
      <w:numFmt w:val="bullet"/>
      <w:lvlText w:val="•"/>
      <w:lvlJc w:val="left"/>
      <w:pPr>
        <w:ind w:left="638" w:hanging="197"/>
      </w:pPr>
      <w:rPr>
        <w:rFonts w:hint="default"/>
      </w:rPr>
    </w:lvl>
    <w:lvl w:ilvl="5">
      <w:start w:val="0"/>
      <w:numFmt w:val="bullet"/>
      <w:lvlText w:val="•"/>
      <w:lvlJc w:val="left"/>
      <w:pPr>
        <w:ind w:left="743" w:hanging="197"/>
      </w:pPr>
      <w:rPr>
        <w:rFonts w:hint="default"/>
      </w:rPr>
    </w:lvl>
    <w:lvl w:ilvl="6">
      <w:start w:val="0"/>
      <w:numFmt w:val="bullet"/>
      <w:lvlText w:val="•"/>
      <w:lvlJc w:val="left"/>
      <w:pPr>
        <w:ind w:left="848" w:hanging="197"/>
      </w:pPr>
      <w:rPr>
        <w:rFonts w:hint="default"/>
      </w:rPr>
    </w:lvl>
    <w:lvl w:ilvl="7">
      <w:start w:val="0"/>
      <w:numFmt w:val="bullet"/>
      <w:lvlText w:val="•"/>
      <w:lvlJc w:val="left"/>
      <w:pPr>
        <w:ind w:left="953" w:hanging="197"/>
      </w:pPr>
      <w:rPr>
        <w:rFonts w:hint="default"/>
      </w:rPr>
    </w:lvl>
    <w:lvl w:ilvl="8">
      <w:start w:val="0"/>
      <w:numFmt w:val="bullet"/>
      <w:lvlText w:val="•"/>
      <w:lvlJc w:val="left"/>
      <w:pPr>
        <w:ind w:left="1057" w:hanging="197"/>
      </w:pPr>
      <w:rPr>
        <w:rFonts w:hint="default"/>
      </w:rPr>
    </w:lvl>
  </w:abstractNum>
  <w:abstractNum w:abstractNumId="6">
    <w:multiLevelType w:val="hybridMultilevel"/>
    <w:lvl w:ilvl="0">
      <w:start w:val="1"/>
      <w:numFmt w:val="decimal"/>
      <w:lvlText w:val="%1."/>
      <w:lvlJc w:val="left"/>
      <w:pPr>
        <w:ind w:left="248" w:hanging="216"/>
        <w:jc w:val="right"/>
      </w:pPr>
      <w:rPr>
        <w:rFonts w:hint="default"/>
        <w:w w:val="99"/>
      </w:rPr>
    </w:lvl>
    <w:lvl w:ilvl="1">
      <w:start w:val="1"/>
      <w:numFmt w:val="decimal"/>
      <w:lvlText w:val="%2."/>
      <w:lvlJc w:val="left"/>
      <w:pPr>
        <w:ind w:left="820" w:hanging="360"/>
        <w:jc w:val="left"/>
      </w:pPr>
      <w:rPr>
        <w:rFonts w:hint="default"/>
        <w:spacing w:val="-2"/>
        <w:w w:val="100"/>
      </w:rPr>
    </w:lvl>
    <w:lvl w:ilvl="2">
      <w:start w:val="0"/>
      <w:numFmt w:val="bullet"/>
      <w:lvlText w:val="•"/>
      <w:lvlJc w:val="left"/>
      <w:pPr>
        <w:ind w:left="1754" w:hanging="360"/>
      </w:pPr>
      <w:rPr>
        <w:rFonts w:hint="default"/>
      </w:rPr>
    </w:lvl>
    <w:lvl w:ilvl="3">
      <w:start w:val="0"/>
      <w:numFmt w:val="bullet"/>
      <w:lvlText w:val="•"/>
      <w:lvlJc w:val="left"/>
      <w:pPr>
        <w:ind w:left="2688" w:hanging="360"/>
      </w:pPr>
      <w:rPr>
        <w:rFonts w:hint="default"/>
      </w:rPr>
    </w:lvl>
    <w:lvl w:ilvl="4">
      <w:start w:val="0"/>
      <w:numFmt w:val="bullet"/>
      <w:lvlText w:val="•"/>
      <w:lvlJc w:val="left"/>
      <w:pPr>
        <w:ind w:left="3622" w:hanging="360"/>
      </w:pPr>
      <w:rPr>
        <w:rFonts w:hint="default"/>
      </w:rPr>
    </w:lvl>
    <w:lvl w:ilvl="5">
      <w:start w:val="0"/>
      <w:numFmt w:val="bullet"/>
      <w:lvlText w:val="•"/>
      <w:lvlJc w:val="left"/>
      <w:pPr>
        <w:ind w:left="4556" w:hanging="360"/>
      </w:pPr>
      <w:rPr>
        <w:rFonts w:hint="default"/>
      </w:rPr>
    </w:lvl>
    <w:lvl w:ilvl="6">
      <w:start w:val="0"/>
      <w:numFmt w:val="bullet"/>
      <w:lvlText w:val="•"/>
      <w:lvlJc w:val="left"/>
      <w:pPr>
        <w:ind w:left="5490" w:hanging="360"/>
      </w:pPr>
      <w:rPr>
        <w:rFonts w:hint="default"/>
      </w:rPr>
    </w:lvl>
    <w:lvl w:ilvl="7">
      <w:start w:val="0"/>
      <w:numFmt w:val="bullet"/>
      <w:lvlText w:val="•"/>
      <w:lvlJc w:val="left"/>
      <w:pPr>
        <w:ind w:left="6424" w:hanging="360"/>
      </w:pPr>
      <w:rPr>
        <w:rFonts w:hint="default"/>
      </w:rPr>
    </w:lvl>
    <w:lvl w:ilvl="8">
      <w:start w:val="0"/>
      <w:numFmt w:val="bullet"/>
      <w:lvlText w:val="•"/>
      <w:lvlJc w:val="left"/>
      <w:pPr>
        <w:ind w:left="7358" w:hanging="360"/>
      </w:pPr>
      <w:rPr>
        <w:rFonts w:hint="default"/>
      </w:rPr>
    </w:lvl>
  </w:abstractNum>
  <w:abstractNum w:abstractNumId="5">
    <w:multiLevelType w:val="hybridMultilevel"/>
    <w:lvl w:ilvl="0">
      <w:start w:val="1"/>
      <w:numFmt w:val="decimal"/>
      <w:lvlText w:val="%1."/>
      <w:lvlJc w:val="left"/>
      <w:pPr>
        <w:ind w:left="465" w:hanging="360"/>
        <w:jc w:val="left"/>
      </w:pPr>
      <w:rPr>
        <w:rFonts w:hint="default" w:ascii="Calibri" w:hAnsi="Calibri" w:eastAsia="Calibri" w:cs="Calibri"/>
        <w:color w:val="7C467C"/>
        <w:w w:val="99"/>
        <w:sz w:val="22"/>
        <w:szCs w:val="22"/>
      </w:rPr>
    </w:lvl>
    <w:lvl w:ilvl="1">
      <w:start w:val="0"/>
      <w:numFmt w:val="bullet"/>
      <w:lvlText w:val="•"/>
      <w:lvlJc w:val="left"/>
      <w:pPr>
        <w:ind w:left="1993" w:hanging="360"/>
      </w:pPr>
      <w:rPr>
        <w:rFonts w:hint="default"/>
      </w:rPr>
    </w:lvl>
    <w:lvl w:ilvl="2">
      <w:start w:val="0"/>
      <w:numFmt w:val="bullet"/>
      <w:lvlText w:val="•"/>
      <w:lvlJc w:val="left"/>
      <w:pPr>
        <w:ind w:left="3527" w:hanging="360"/>
      </w:pPr>
      <w:rPr>
        <w:rFonts w:hint="default"/>
      </w:rPr>
    </w:lvl>
    <w:lvl w:ilvl="3">
      <w:start w:val="0"/>
      <w:numFmt w:val="bullet"/>
      <w:lvlText w:val="•"/>
      <w:lvlJc w:val="left"/>
      <w:pPr>
        <w:ind w:left="5061" w:hanging="360"/>
      </w:pPr>
      <w:rPr>
        <w:rFonts w:hint="default"/>
      </w:rPr>
    </w:lvl>
    <w:lvl w:ilvl="4">
      <w:start w:val="0"/>
      <w:numFmt w:val="bullet"/>
      <w:lvlText w:val="•"/>
      <w:lvlJc w:val="left"/>
      <w:pPr>
        <w:ind w:left="6595" w:hanging="360"/>
      </w:pPr>
      <w:rPr>
        <w:rFonts w:hint="default"/>
      </w:rPr>
    </w:lvl>
    <w:lvl w:ilvl="5">
      <w:start w:val="0"/>
      <w:numFmt w:val="bullet"/>
      <w:lvlText w:val="•"/>
      <w:lvlJc w:val="left"/>
      <w:pPr>
        <w:ind w:left="8129" w:hanging="360"/>
      </w:pPr>
      <w:rPr>
        <w:rFonts w:hint="default"/>
      </w:rPr>
    </w:lvl>
    <w:lvl w:ilvl="6">
      <w:start w:val="0"/>
      <w:numFmt w:val="bullet"/>
      <w:lvlText w:val="•"/>
      <w:lvlJc w:val="left"/>
      <w:pPr>
        <w:ind w:left="9663" w:hanging="360"/>
      </w:pPr>
      <w:rPr>
        <w:rFonts w:hint="default"/>
      </w:rPr>
    </w:lvl>
    <w:lvl w:ilvl="7">
      <w:start w:val="0"/>
      <w:numFmt w:val="bullet"/>
      <w:lvlText w:val="•"/>
      <w:lvlJc w:val="left"/>
      <w:pPr>
        <w:ind w:left="11196" w:hanging="360"/>
      </w:pPr>
      <w:rPr>
        <w:rFonts w:hint="default"/>
      </w:rPr>
    </w:lvl>
    <w:lvl w:ilvl="8">
      <w:start w:val="0"/>
      <w:numFmt w:val="bullet"/>
      <w:lvlText w:val="•"/>
      <w:lvlJc w:val="left"/>
      <w:pPr>
        <w:ind w:left="12730" w:hanging="360"/>
      </w:pPr>
      <w:rPr>
        <w:rFonts w:hint="default"/>
      </w:rPr>
    </w:lvl>
  </w:abstractNum>
  <w:abstractNum w:abstractNumId="4">
    <w:multiLevelType w:val="hybridMultilevel"/>
    <w:lvl w:ilvl="0">
      <w:start w:val="3"/>
      <w:numFmt w:val="decimal"/>
      <w:lvlText w:val="%1."/>
      <w:lvlJc w:val="left"/>
      <w:pPr>
        <w:ind w:left="379" w:hanging="280"/>
        <w:jc w:val="left"/>
      </w:pPr>
      <w:rPr>
        <w:rFonts w:hint="default" w:ascii="Calibri" w:hAnsi="Calibri" w:eastAsia="Calibri" w:cs="Calibri"/>
        <w:b/>
        <w:bCs/>
        <w:color w:val="6C1D6C"/>
        <w:spacing w:val="-1"/>
        <w:w w:val="99"/>
        <w:sz w:val="28"/>
        <w:szCs w:val="28"/>
      </w:rPr>
    </w:lvl>
    <w:lvl w:ilvl="1">
      <w:start w:val="3"/>
      <w:numFmt w:val="decimal"/>
      <w:lvlText w:val="%2."/>
      <w:lvlJc w:val="left"/>
      <w:pPr>
        <w:ind w:left="679" w:hanging="280"/>
        <w:jc w:val="right"/>
      </w:pPr>
      <w:rPr>
        <w:rFonts w:hint="default" w:ascii="Calibri" w:hAnsi="Calibri" w:eastAsia="Calibri" w:cs="Calibri"/>
        <w:b/>
        <w:bCs/>
        <w:color w:val="6C1D6C"/>
        <w:spacing w:val="-1"/>
        <w:w w:val="99"/>
        <w:sz w:val="28"/>
        <w:szCs w:val="28"/>
      </w:rPr>
    </w:lvl>
    <w:lvl w:ilvl="2">
      <w:start w:val="0"/>
      <w:numFmt w:val="bullet"/>
      <w:lvlText w:val="•"/>
      <w:lvlJc w:val="left"/>
      <w:pPr>
        <w:ind w:left="1631" w:hanging="280"/>
      </w:pPr>
      <w:rPr>
        <w:rFonts w:hint="default"/>
      </w:rPr>
    </w:lvl>
    <w:lvl w:ilvl="3">
      <w:start w:val="0"/>
      <w:numFmt w:val="bullet"/>
      <w:lvlText w:val="•"/>
      <w:lvlJc w:val="left"/>
      <w:pPr>
        <w:ind w:left="2583" w:hanging="280"/>
      </w:pPr>
      <w:rPr>
        <w:rFonts w:hint="default"/>
      </w:rPr>
    </w:lvl>
    <w:lvl w:ilvl="4">
      <w:start w:val="0"/>
      <w:numFmt w:val="bullet"/>
      <w:lvlText w:val="•"/>
      <w:lvlJc w:val="left"/>
      <w:pPr>
        <w:ind w:left="3535" w:hanging="280"/>
      </w:pPr>
      <w:rPr>
        <w:rFonts w:hint="default"/>
      </w:rPr>
    </w:lvl>
    <w:lvl w:ilvl="5">
      <w:start w:val="0"/>
      <w:numFmt w:val="bullet"/>
      <w:lvlText w:val="•"/>
      <w:lvlJc w:val="left"/>
      <w:pPr>
        <w:ind w:left="4487" w:hanging="280"/>
      </w:pPr>
      <w:rPr>
        <w:rFonts w:hint="default"/>
      </w:rPr>
    </w:lvl>
    <w:lvl w:ilvl="6">
      <w:start w:val="0"/>
      <w:numFmt w:val="bullet"/>
      <w:lvlText w:val="•"/>
      <w:lvlJc w:val="left"/>
      <w:pPr>
        <w:ind w:left="5439" w:hanging="280"/>
      </w:pPr>
      <w:rPr>
        <w:rFonts w:hint="default"/>
      </w:rPr>
    </w:lvl>
    <w:lvl w:ilvl="7">
      <w:start w:val="0"/>
      <w:numFmt w:val="bullet"/>
      <w:lvlText w:val="•"/>
      <w:lvlJc w:val="left"/>
      <w:pPr>
        <w:ind w:left="6390" w:hanging="280"/>
      </w:pPr>
      <w:rPr>
        <w:rFonts w:hint="default"/>
      </w:rPr>
    </w:lvl>
    <w:lvl w:ilvl="8">
      <w:start w:val="0"/>
      <w:numFmt w:val="bullet"/>
      <w:lvlText w:val="•"/>
      <w:lvlJc w:val="left"/>
      <w:pPr>
        <w:ind w:left="7342" w:hanging="280"/>
      </w:pPr>
      <w:rPr>
        <w:rFonts w:hint="default"/>
      </w:rPr>
    </w:lvl>
  </w:abstractNum>
  <w:abstractNum w:abstractNumId="3">
    <w:multiLevelType w:val="hybridMultilevel"/>
    <w:lvl w:ilvl="0">
      <w:start w:val="1"/>
      <w:numFmt w:val="decimal"/>
      <w:lvlText w:val="%1."/>
      <w:lvlJc w:val="left"/>
      <w:pPr>
        <w:ind w:left="298" w:hanging="198"/>
        <w:jc w:val="left"/>
      </w:pPr>
      <w:rPr>
        <w:rFonts w:hint="default" w:ascii="Calibri" w:hAnsi="Calibri" w:eastAsia="Calibri" w:cs="Calibri"/>
        <w:i/>
        <w:w w:val="100"/>
        <w:sz w:val="20"/>
        <w:szCs w:val="20"/>
      </w:rPr>
    </w:lvl>
    <w:lvl w:ilvl="1">
      <w:start w:val="0"/>
      <w:numFmt w:val="bullet"/>
      <w:lvlText w:val="•"/>
      <w:lvlJc w:val="left"/>
      <w:pPr>
        <w:ind w:left="1194" w:hanging="198"/>
      </w:pPr>
      <w:rPr>
        <w:rFonts w:hint="default"/>
      </w:rPr>
    </w:lvl>
    <w:lvl w:ilvl="2">
      <w:start w:val="0"/>
      <w:numFmt w:val="bullet"/>
      <w:lvlText w:val="•"/>
      <w:lvlJc w:val="left"/>
      <w:pPr>
        <w:ind w:left="2089" w:hanging="198"/>
      </w:pPr>
      <w:rPr>
        <w:rFonts w:hint="default"/>
      </w:rPr>
    </w:lvl>
    <w:lvl w:ilvl="3">
      <w:start w:val="0"/>
      <w:numFmt w:val="bullet"/>
      <w:lvlText w:val="•"/>
      <w:lvlJc w:val="left"/>
      <w:pPr>
        <w:ind w:left="2983" w:hanging="198"/>
      </w:pPr>
      <w:rPr>
        <w:rFonts w:hint="default"/>
      </w:rPr>
    </w:lvl>
    <w:lvl w:ilvl="4">
      <w:start w:val="0"/>
      <w:numFmt w:val="bullet"/>
      <w:lvlText w:val="•"/>
      <w:lvlJc w:val="left"/>
      <w:pPr>
        <w:ind w:left="3878" w:hanging="198"/>
      </w:pPr>
      <w:rPr>
        <w:rFonts w:hint="default"/>
      </w:rPr>
    </w:lvl>
    <w:lvl w:ilvl="5">
      <w:start w:val="0"/>
      <w:numFmt w:val="bullet"/>
      <w:lvlText w:val="•"/>
      <w:lvlJc w:val="left"/>
      <w:pPr>
        <w:ind w:left="4773" w:hanging="198"/>
      </w:pPr>
      <w:rPr>
        <w:rFonts w:hint="default"/>
      </w:rPr>
    </w:lvl>
    <w:lvl w:ilvl="6">
      <w:start w:val="0"/>
      <w:numFmt w:val="bullet"/>
      <w:lvlText w:val="•"/>
      <w:lvlJc w:val="left"/>
      <w:pPr>
        <w:ind w:left="5667" w:hanging="198"/>
      </w:pPr>
      <w:rPr>
        <w:rFonts w:hint="default"/>
      </w:rPr>
    </w:lvl>
    <w:lvl w:ilvl="7">
      <w:start w:val="0"/>
      <w:numFmt w:val="bullet"/>
      <w:lvlText w:val="•"/>
      <w:lvlJc w:val="left"/>
      <w:pPr>
        <w:ind w:left="6562" w:hanging="198"/>
      </w:pPr>
      <w:rPr>
        <w:rFonts w:hint="default"/>
      </w:rPr>
    </w:lvl>
    <w:lvl w:ilvl="8">
      <w:start w:val="0"/>
      <w:numFmt w:val="bullet"/>
      <w:lvlText w:val="•"/>
      <w:lvlJc w:val="left"/>
      <w:pPr>
        <w:ind w:left="7457" w:hanging="198"/>
      </w:pPr>
      <w:rPr>
        <w:rFonts w:hint="default"/>
      </w:rPr>
    </w:lvl>
  </w:abstractNum>
  <w:abstractNum w:abstractNumId="2">
    <w:multiLevelType w:val="hybridMultilevel"/>
    <w:lvl w:ilvl="0">
      <w:start w:val="1"/>
      <w:numFmt w:val="decimal"/>
      <w:lvlText w:val="%1."/>
      <w:lvlJc w:val="left"/>
      <w:pPr>
        <w:ind w:left="379" w:hanging="280"/>
        <w:jc w:val="left"/>
      </w:pPr>
      <w:rPr>
        <w:rFonts w:hint="default" w:ascii="Calibri" w:hAnsi="Calibri" w:eastAsia="Calibri" w:cs="Calibri"/>
        <w:b/>
        <w:bCs/>
        <w:color w:val="6C1D6C"/>
        <w:spacing w:val="-1"/>
        <w:w w:val="99"/>
        <w:sz w:val="28"/>
        <w:szCs w:val="28"/>
      </w:rPr>
    </w:lvl>
    <w:lvl w:ilvl="1">
      <w:start w:val="0"/>
      <w:numFmt w:val="bullet"/>
      <w:lvlText w:val=""/>
      <w:lvlJc w:val="left"/>
      <w:pPr>
        <w:ind w:left="820" w:hanging="360"/>
      </w:pPr>
      <w:rPr>
        <w:rFonts w:hint="default" w:ascii="Symbol" w:hAnsi="Symbol" w:eastAsia="Symbol" w:cs="Symbol"/>
        <w:w w:val="100"/>
        <w:sz w:val="24"/>
        <w:szCs w:val="24"/>
      </w:rPr>
    </w:lvl>
    <w:lvl w:ilvl="2">
      <w:start w:val="0"/>
      <w:numFmt w:val="bullet"/>
      <w:lvlText w:val="•"/>
      <w:lvlJc w:val="left"/>
      <w:pPr>
        <w:ind w:left="1756" w:hanging="360"/>
      </w:pPr>
      <w:rPr>
        <w:rFonts w:hint="default"/>
      </w:rPr>
    </w:lvl>
    <w:lvl w:ilvl="3">
      <w:start w:val="0"/>
      <w:numFmt w:val="bullet"/>
      <w:lvlText w:val="•"/>
      <w:lvlJc w:val="left"/>
      <w:pPr>
        <w:ind w:left="2692" w:hanging="360"/>
      </w:pPr>
      <w:rPr>
        <w:rFonts w:hint="default"/>
      </w:rPr>
    </w:lvl>
    <w:lvl w:ilvl="4">
      <w:start w:val="0"/>
      <w:numFmt w:val="bullet"/>
      <w:lvlText w:val="•"/>
      <w:lvlJc w:val="left"/>
      <w:pPr>
        <w:ind w:left="3628" w:hanging="360"/>
      </w:pPr>
      <w:rPr>
        <w:rFonts w:hint="default"/>
      </w:rPr>
    </w:lvl>
    <w:lvl w:ilvl="5">
      <w:start w:val="0"/>
      <w:numFmt w:val="bullet"/>
      <w:lvlText w:val="•"/>
      <w:lvlJc w:val="left"/>
      <w:pPr>
        <w:ind w:left="4565" w:hanging="360"/>
      </w:pPr>
      <w:rPr>
        <w:rFonts w:hint="default"/>
      </w:rPr>
    </w:lvl>
    <w:lvl w:ilvl="6">
      <w:start w:val="0"/>
      <w:numFmt w:val="bullet"/>
      <w:lvlText w:val="•"/>
      <w:lvlJc w:val="left"/>
      <w:pPr>
        <w:ind w:left="5501" w:hanging="360"/>
      </w:pPr>
      <w:rPr>
        <w:rFonts w:hint="default"/>
      </w:rPr>
    </w:lvl>
    <w:lvl w:ilvl="7">
      <w:start w:val="0"/>
      <w:numFmt w:val="bullet"/>
      <w:lvlText w:val="•"/>
      <w:lvlJc w:val="left"/>
      <w:pPr>
        <w:ind w:left="6437" w:hanging="360"/>
      </w:pPr>
      <w:rPr>
        <w:rFonts w:hint="default"/>
      </w:rPr>
    </w:lvl>
    <w:lvl w:ilvl="8">
      <w:start w:val="0"/>
      <w:numFmt w:val="bullet"/>
      <w:lvlText w:val="•"/>
      <w:lvlJc w:val="left"/>
      <w:pPr>
        <w:ind w:left="7373" w:hanging="360"/>
      </w:pPr>
      <w:rPr>
        <w:rFonts w:hint="default"/>
      </w:rPr>
    </w:lvl>
  </w:abstractNum>
  <w:abstractNum w:abstractNumId="1">
    <w:multiLevelType w:val="hybridMultilevel"/>
    <w:lvl w:ilvl="0">
      <w:start w:val="3"/>
      <w:numFmt w:val="decimal"/>
      <w:lvlText w:val="%1."/>
      <w:lvlJc w:val="left"/>
      <w:pPr>
        <w:ind w:left="335" w:hanging="236"/>
        <w:jc w:val="left"/>
      </w:pPr>
      <w:rPr>
        <w:rFonts w:hint="default" w:ascii="Calibri" w:hAnsi="Calibri" w:eastAsia="Calibri" w:cs="Calibri"/>
        <w:spacing w:val="-1"/>
        <w:w w:val="100"/>
        <w:sz w:val="24"/>
        <w:szCs w:val="24"/>
      </w:rPr>
    </w:lvl>
    <w:lvl w:ilvl="1">
      <w:start w:val="0"/>
      <w:numFmt w:val="bullet"/>
      <w:lvlText w:val=""/>
      <w:lvlJc w:val="left"/>
      <w:pPr>
        <w:ind w:left="840" w:hanging="360"/>
      </w:pPr>
      <w:rPr>
        <w:rFonts w:hint="default" w:ascii="Symbol" w:hAnsi="Symbol" w:eastAsia="Symbol" w:cs="Symbol"/>
        <w:w w:val="100"/>
        <w:sz w:val="24"/>
        <w:szCs w:val="24"/>
      </w:rPr>
    </w:lvl>
    <w:lvl w:ilvl="2">
      <w:start w:val="0"/>
      <w:numFmt w:val="bullet"/>
      <w:lvlText w:val="•"/>
      <w:lvlJc w:val="left"/>
      <w:pPr>
        <w:ind w:left="1771" w:hanging="360"/>
      </w:pPr>
      <w:rPr>
        <w:rFonts w:hint="default"/>
      </w:rPr>
    </w:lvl>
    <w:lvl w:ilvl="3">
      <w:start w:val="0"/>
      <w:numFmt w:val="bullet"/>
      <w:lvlText w:val="•"/>
      <w:lvlJc w:val="left"/>
      <w:pPr>
        <w:ind w:left="2703" w:hanging="360"/>
      </w:pPr>
      <w:rPr>
        <w:rFonts w:hint="default"/>
      </w:rPr>
    </w:lvl>
    <w:lvl w:ilvl="4">
      <w:start w:val="0"/>
      <w:numFmt w:val="bullet"/>
      <w:lvlText w:val="•"/>
      <w:lvlJc w:val="left"/>
      <w:pPr>
        <w:ind w:left="3635" w:hanging="360"/>
      </w:pPr>
      <w:rPr>
        <w:rFonts w:hint="default"/>
      </w:rPr>
    </w:lvl>
    <w:lvl w:ilvl="5">
      <w:start w:val="0"/>
      <w:numFmt w:val="bullet"/>
      <w:lvlText w:val="•"/>
      <w:lvlJc w:val="left"/>
      <w:pPr>
        <w:ind w:left="4567" w:hanging="360"/>
      </w:pPr>
      <w:rPr>
        <w:rFonts w:hint="default"/>
      </w:rPr>
    </w:lvl>
    <w:lvl w:ilvl="6">
      <w:start w:val="0"/>
      <w:numFmt w:val="bullet"/>
      <w:lvlText w:val="•"/>
      <w:lvlJc w:val="left"/>
      <w:pPr>
        <w:ind w:left="5499" w:hanging="360"/>
      </w:pPr>
      <w:rPr>
        <w:rFonts w:hint="default"/>
      </w:rPr>
    </w:lvl>
    <w:lvl w:ilvl="7">
      <w:start w:val="0"/>
      <w:numFmt w:val="bullet"/>
      <w:lvlText w:val="•"/>
      <w:lvlJc w:val="left"/>
      <w:pPr>
        <w:ind w:left="6430" w:hanging="360"/>
      </w:pPr>
      <w:rPr>
        <w:rFonts w:hint="default"/>
      </w:rPr>
    </w:lvl>
    <w:lvl w:ilvl="8">
      <w:start w:val="0"/>
      <w:numFmt w:val="bullet"/>
      <w:lvlText w:val="•"/>
      <w:lvlJc w:val="left"/>
      <w:pPr>
        <w:ind w:left="7362" w:hanging="360"/>
      </w:pPr>
      <w:rPr>
        <w:rFonts w:hint="default"/>
      </w:rPr>
    </w:lvl>
  </w:abstractNum>
  <w:abstractNum w:abstractNumId="0">
    <w:multiLevelType w:val="hybridMultilevel"/>
    <w:lvl w:ilvl="0">
      <w:start w:val="1"/>
      <w:numFmt w:val="decimal"/>
      <w:lvlText w:val="%1."/>
      <w:lvlJc w:val="left"/>
      <w:pPr>
        <w:ind w:left="335" w:hanging="236"/>
        <w:jc w:val="left"/>
      </w:pPr>
      <w:rPr>
        <w:rFonts w:hint="default" w:ascii="Calibri" w:hAnsi="Calibri" w:eastAsia="Calibri" w:cs="Calibri"/>
        <w:spacing w:val="-1"/>
        <w:w w:val="100"/>
        <w:sz w:val="24"/>
        <w:szCs w:val="24"/>
      </w:rPr>
    </w:lvl>
    <w:lvl w:ilvl="1">
      <w:start w:val="0"/>
      <w:numFmt w:val="bullet"/>
      <w:lvlText w:val="•"/>
      <w:lvlJc w:val="left"/>
      <w:pPr>
        <w:ind w:left="1228" w:hanging="236"/>
      </w:pPr>
      <w:rPr>
        <w:rFonts w:hint="default"/>
      </w:rPr>
    </w:lvl>
    <w:lvl w:ilvl="2">
      <w:start w:val="0"/>
      <w:numFmt w:val="bullet"/>
      <w:lvlText w:val="•"/>
      <w:lvlJc w:val="left"/>
      <w:pPr>
        <w:ind w:left="2117" w:hanging="236"/>
      </w:pPr>
      <w:rPr>
        <w:rFonts w:hint="default"/>
      </w:rPr>
    </w:lvl>
    <w:lvl w:ilvl="3">
      <w:start w:val="0"/>
      <w:numFmt w:val="bullet"/>
      <w:lvlText w:val="•"/>
      <w:lvlJc w:val="left"/>
      <w:pPr>
        <w:ind w:left="3005" w:hanging="236"/>
      </w:pPr>
      <w:rPr>
        <w:rFonts w:hint="default"/>
      </w:rPr>
    </w:lvl>
    <w:lvl w:ilvl="4">
      <w:start w:val="0"/>
      <w:numFmt w:val="bullet"/>
      <w:lvlText w:val="•"/>
      <w:lvlJc w:val="left"/>
      <w:pPr>
        <w:ind w:left="3894" w:hanging="236"/>
      </w:pPr>
      <w:rPr>
        <w:rFonts w:hint="default"/>
      </w:rPr>
    </w:lvl>
    <w:lvl w:ilvl="5">
      <w:start w:val="0"/>
      <w:numFmt w:val="bullet"/>
      <w:lvlText w:val="•"/>
      <w:lvlJc w:val="left"/>
      <w:pPr>
        <w:ind w:left="4783" w:hanging="236"/>
      </w:pPr>
      <w:rPr>
        <w:rFonts w:hint="default"/>
      </w:rPr>
    </w:lvl>
    <w:lvl w:ilvl="6">
      <w:start w:val="0"/>
      <w:numFmt w:val="bullet"/>
      <w:lvlText w:val="•"/>
      <w:lvlJc w:val="left"/>
      <w:pPr>
        <w:ind w:left="5671" w:hanging="236"/>
      </w:pPr>
      <w:rPr>
        <w:rFonts w:hint="default"/>
      </w:rPr>
    </w:lvl>
    <w:lvl w:ilvl="7">
      <w:start w:val="0"/>
      <w:numFmt w:val="bullet"/>
      <w:lvlText w:val="•"/>
      <w:lvlJc w:val="left"/>
      <w:pPr>
        <w:ind w:left="6560" w:hanging="236"/>
      </w:pPr>
      <w:rPr>
        <w:rFonts w:hint="default"/>
      </w:rPr>
    </w:lvl>
    <w:lvl w:ilvl="8">
      <w:start w:val="0"/>
      <w:numFmt w:val="bullet"/>
      <w:lvlText w:val="•"/>
      <w:lvlJc w:val="left"/>
      <w:pPr>
        <w:ind w:left="7449" w:hanging="236"/>
      </w:pPr>
      <w:rPr>
        <w:rFonts w:hint="default"/>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before="100"/>
      <w:ind w:left="100" w:hanging="235"/>
    </w:pPr>
    <w:rPr>
      <w:rFonts w:ascii="Calibri" w:hAnsi="Calibri" w:eastAsia="Calibri" w:cs="Calibri"/>
      <w:sz w:val="24"/>
      <w:szCs w:val="24"/>
    </w:rPr>
  </w:style>
  <w:style w:styleId="BodyText" w:type="paragraph">
    <w:name w:val="Body Text"/>
    <w:basedOn w:val="Normal"/>
    <w:uiPriority w:val="1"/>
    <w:qFormat/>
    <w:pPr/>
    <w:rPr>
      <w:rFonts w:ascii="Calibri" w:hAnsi="Calibri" w:eastAsia="Calibri" w:cs="Calibri"/>
      <w:sz w:val="24"/>
      <w:szCs w:val="24"/>
    </w:rPr>
  </w:style>
  <w:style w:styleId="Heading1" w:type="paragraph">
    <w:name w:val="Heading 1"/>
    <w:basedOn w:val="Normal"/>
    <w:uiPriority w:val="1"/>
    <w:qFormat/>
    <w:pPr>
      <w:spacing w:before="17"/>
      <w:ind w:left="100"/>
      <w:jc w:val="both"/>
      <w:outlineLvl w:val="1"/>
    </w:pPr>
    <w:rPr>
      <w:rFonts w:ascii="Calibri" w:hAnsi="Calibri" w:eastAsia="Calibri" w:cs="Calibri"/>
      <w:b/>
      <w:bCs/>
      <w:sz w:val="28"/>
      <w:szCs w:val="28"/>
    </w:rPr>
  </w:style>
  <w:style w:styleId="Heading2" w:type="paragraph">
    <w:name w:val="Heading 2"/>
    <w:basedOn w:val="Normal"/>
    <w:uiPriority w:val="1"/>
    <w:qFormat/>
    <w:pPr>
      <w:ind w:left="119"/>
      <w:jc w:val="both"/>
      <w:outlineLvl w:val="2"/>
    </w:pPr>
    <w:rPr>
      <w:rFonts w:ascii="Calibri" w:hAnsi="Calibri" w:eastAsia="Calibri" w:cs="Calibri"/>
      <w:b/>
      <w:bCs/>
      <w:sz w:val="24"/>
      <w:szCs w:val="24"/>
    </w:rPr>
  </w:style>
  <w:style w:styleId="ListParagraph" w:type="paragraph">
    <w:name w:val="List Paragraph"/>
    <w:basedOn w:val="Normal"/>
    <w:uiPriority w:val="1"/>
    <w:qFormat/>
    <w:pPr>
      <w:ind w:left="820" w:hanging="360"/>
    </w:pPr>
    <w:rPr>
      <w:rFonts w:ascii="Calibri" w:hAnsi="Calibri" w:eastAsia="Calibri" w:cs="Calibri"/>
    </w:rPr>
  </w:style>
  <w:style w:styleId="TableParagraph" w:type="paragraph">
    <w:name w:val="Table Paragraph"/>
    <w:basedOn w:val="Normal"/>
    <w:uiPriority w:val="1"/>
    <w:qFormat/>
    <w:pPr>
      <w:ind w:left="103"/>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footer" Target="footer1.xml"/><Relationship Id="rId9" Type="http://schemas.openxmlformats.org/officeDocument/2006/relationships/image" Target="media/image4.jpeg"/><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footer" Target="footer7.xml"/><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hyperlink" Target="https://www.aihw.gov.au/reports/illicit-use-of-drugs/opioid-harm-in-australia/contents/table-of-contents" TargetMode="External"/><Relationship Id="rId21" Type="http://schemas.openxmlformats.org/officeDocument/2006/relationships/hyperlink" Target="https://ajp.com.au/columns/clinical-tips/clinical-tips-naloxone/" TargetMode="External"/><Relationship Id="rId22" Type="http://schemas.openxmlformats.org/officeDocument/2006/relationships/hyperlink" Target="https://my.psa.org.au/s/article/Naloxone-S3-guidance-document" TargetMode="External"/><Relationship Id="rId23" Type="http://schemas.openxmlformats.org/officeDocument/2006/relationships/hyperlink" Target="https://www1.health.nsw.gov.au/pds/ActivePDSDocuments/PD2019_036.pdf" TargetMode="External"/><Relationship Id="rId24" Type="http://schemas.openxmlformats.org/officeDocument/2006/relationships/hyperlink" Target="http://www.penington.org.au/wp-content/uploads/2019/08/TalkingToPatientsAboutNaloxone.pdf" TargetMode="External"/><Relationship Id="rId25" Type="http://schemas.openxmlformats.org/officeDocument/2006/relationships/hyperlink" Target="https://www.sahealth.sa.gov.au/wps/wcm/connect/45c8c7004cb4faf4965c9eb8c791be56/Naloxone%2B-%2BBrief%2Badvice%2B-%2BGuide%2Bfor%2Bworkers%2Brevised%2B10%2BJanuary%2B2019%2BFINAL%2Bapproved.pdf?MOD=AJPERES&amp;amp;amp%3BCACHEID=ROOTWORKSPACE-45c8c7004cb4faf4965c9eb8c791be56-mN5HmHz" TargetMode="External"/><Relationship Id="rId26" Type="http://schemas.openxmlformats.org/officeDocument/2006/relationships/hyperlink" Target="https://www.nps.org.au/professionals/opioids-chronic-pain" TargetMode="External"/><Relationship Id="rId27" Type="http://schemas.openxmlformats.org/officeDocument/2006/relationships/footer" Target="footer8.xml"/><Relationship Id="rId28" Type="http://schemas.openxmlformats.org/officeDocument/2006/relationships/hyperlink" Target="http://www.penington.org.au/" TargetMode="External"/><Relationship Id="rId29" Type="http://schemas.openxmlformats.org/officeDocument/2006/relationships/hyperlink" Target="http://www.in.gov/isdh/files" TargetMode="External"/><Relationship Id="rId30" Type="http://schemas.openxmlformats.org/officeDocument/2006/relationships/hyperlink" Target="http://www.opatoday.com/" TargetMode="External"/><Relationship Id="rId31" Type="http://schemas.openxmlformats.org/officeDocument/2006/relationships/hyperlink" Target="http://www.pharmacist.com/" TargetMode="External"/><Relationship Id="rId32" Type="http://schemas.openxmlformats.org/officeDocument/2006/relationships/hyperlink" Target="http://www.sahealth.sa.gov/" TargetMode="External"/><Relationship Id="rId33" Type="http://schemas.openxmlformats.org/officeDocument/2006/relationships/hyperlink" Target="http://www.naloxoneinfo.org/" TargetMode="External"/><Relationship Id="rId34" Type="http://schemas.openxmlformats.org/officeDocument/2006/relationships/hyperlink" Target="http://www.youtube.com/w" TargetMode="External"/><Relationship Id="rId35" Type="http://schemas.openxmlformats.org/officeDocument/2006/relationships/hyperlink" Target="http://www.alliantquality.or/" TargetMode="External"/><Relationship Id="rId36" Type="http://schemas.openxmlformats.org/officeDocument/2006/relationships/hyperlink" Target="http://www.oregon.gov/oha" TargetMode="External"/><Relationship Id="rId37" Type="http://schemas.openxmlformats.org/officeDocument/2006/relationships/footer" Target="footer9.xml"/><Relationship Id="rId38" Type="http://schemas.openxmlformats.org/officeDocument/2006/relationships/hyperlink" Target="http://prescribetoprevent.org/" TargetMode="External"/><Relationship Id="rId39" Type="http://schemas.openxmlformats.org/officeDocument/2006/relationships/hyperlink" Target="http://www.pharmacy.umn/" TargetMode="External"/><Relationship Id="rId40" Type="http://schemas.openxmlformats.org/officeDocument/2006/relationships/footer" Target="footer10.xml"/><Relationship Id="rId41" Type="http://schemas.openxmlformats.org/officeDocument/2006/relationships/hyperlink" Target="http://www.partnershiphp.or/" TargetMode="External"/><Relationship Id="rId42" Type="http://schemas.openxmlformats.org/officeDocument/2006/relationships/footer" Target="footer11.xml"/><Relationship Id="rId43" Type="http://schemas.openxmlformats.org/officeDocument/2006/relationships/image" Target="media/image9.jpeg"/><Relationship Id="rId44" Type="http://schemas.openxmlformats.org/officeDocument/2006/relationships/image" Target="media/image10.jpeg"/><Relationship Id="rId45" Type="http://schemas.openxmlformats.org/officeDocument/2006/relationships/image" Target="media/image11.jpeg"/><Relationship Id="rId46" Type="http://schemas.openxmlformats.org/officeDocument/2006/relationships/footer" Target="footer12.xml"/><Relationship Id="rId47" Type="http://schemas.openxmlformats.org/officeDocument/2006/relationships/image" Target="media/image12.jpeg"/><Relationship Id="rId4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michaels</dc:creator>
  <dcterms:created xsi:type="dcterms:W3CDTF">2020-08-27T16:17:47Z</dcterms:created>
  <dcterms:modified xsi:type="dcterms:W3CDTF">2020-08-27T16:17:47Z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2020-06-30T00:00:00Z</vt:filetime>
  </property>
  <property fmtid="{D5CDD505-2E9C-101B-9397-08002B2CF9AE}" pid="3" name="Creator">
    <vt:lpwstr>Acrobat PDFMaker 20 for Word</vt:lpwstr>
  </property>
  <property fmtid="{D5CDD505-2E9C-101B-9397-08002B2CF9AE}" pid="4" name="LastSaved">
    <vt:filetime>2020-08-27T00:00:00Z</vt:filetime>
  </property>
</Properties>
</file>