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6FC" w:rsidRDefault="006836FC">
      <w:pPr>
        <w:spacing w:after="120" w:line="240" w:lineRule="auto"/>
        <w:ind w:left="1191" w:hanging="1134"/>
        <w:jc w:val="both"/>
        <w:rPr>
          <w:b/>
          <w:color w:val="FFFFFF"/>
          <w:lang w:val="en-GB"/>
        </w:rPr>
      </w:pPr>
      <w:r w:rsidRPr="006836FC">
        <w:rPr>
          <w:b/>
          <w:noProof/>
          <w:color w:val="FFFFFF"/>
          <w:lang w:eastAsia="en-AU"/>
        </w:rPr>
        <w:drawing>
          <wp:inline distT="0" distB="0" distL="0" distR="0" wp14:anchorId="562AF351" wp14:editId="48C53B93">
            <wp:extent cx="7557422" cy="10687050"/>
            <wp:effectExtent l="0" t="0" r="5715" b="0"/>
            <wp:docPr id="9" name="Picture 8" descr="A STUDY OF PATIENT PATHWAYS IN ALCOHOL AND OTHER DRUG TREATMENT TITLE PAGE " title="A STUDY OF PATIENT PATHWAYS IN ALCOHOL AND OTHER DRUG TREATMENT TITLE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MP2901_FactSheet_v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60922" cy="10691999"/>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5="http://schemas.microsoft.com/office/word/2012/wordml" xmlns:ve="http://schemas.openxmlformats.org/markup-compatibility/2006"/>
                      </a:ext>
                    </a:extLst>
                  </pic:spPr>
                </pic:pic>
              </a:graphicData>
            </a:graphic>
          </wp:inline>
        </w:drawing>
      </w:r>
    </w:p>
    <w:p w:rsidR="006836FC" w:rsidRDefault="006836FC">
      <w:pPr>
        <w:spacing w:after="120" w:line="240" w:lineRule="auto"/>
        <w:ind w:left="1191" w:hanging="1134"/>
        <w:jc w:val="both"/>
        <w:rPr>
          <w:b/>
          <w:color w:val="FFFFFF"/>
          <w:lang w:val="en-GB"/>
        </w:rPr>
        <w:sectPr w:rsidR="006836FC" w:rsidSect="006836FC">
          <w:footerReference w:type="default" r:id="rId10"/>
          <w:pgSz w:w="11906" w:h="16838"/>
          <w:pgMar w:top="1440" w:right="1440" w:bottom="1440" w:left="1440" w:header="708" w:footer="708" w:gutter="0"/>
          <w:pgNumType w:fmt="upperRoman" w:start="1"/>
          <w:cols w:space="708"/>
          <w:titlePg/>
          <w:docGrid w:linePitch="360"/>
        </w:sect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Monash Unviersity, ADCA and NDRI logos "/>
        <w:tblDescription w:val="Monash University, ADCA and NDRI logos "/>
      </w:tblPr>
      <w:tblGrid>
        <w:gridCol w:w="2507"/>
        <w:gridCol w:w="2846"/>
        <w:gridCol w:w="2268"/>
        <w:gridCol w:w="2364"/>
      </w:tblGrid>
      <w:tr w:rsidR="008B55FD" w:rsidTr="00046CCA">
        <w:trPr>
          <w:trHeight w:val="1445"/>
          <w:tblHeader/>
        </w:trPr>
        <w:tc>
          <w:tcPr>
            <w:tcW w:w="2507" w:type="dxa"/>
          </w:tcPr>
          <w:p w:rsidR="008B55FD" w:rsidRDefault="008B55FD" w:rsidP="008B55FD">
            <w:pPr>
              <w:jc w:val="both"/>
              <w:rPr>
                <w:noProof/>
              </w:rPr>
            </w:pPr>
            <w:r>
              <w:rPr>
                <w:b/>
                <w:noProof/>
                <w:color w:val="FFFFFF"/>
              </w:rPr>
              <w:lastRenderedPageBreak/>
              <w:drawing>
                <wp:inline distT="0" distB="0" distL="0" distR="0">
                  <wp:extent cx="2311400" cy="711200"/>
                  <wp:effectExtent l="0" t="0" r="0" b="0"/>
                  <wp:docPr id="11" name="Picture 1" descr="Turning Point logo" title="Turning Poin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PLogo_RGB.jpg"/>
                          <pic:cNvPicPr/>
                        </pic:nvPicPr>
                        <pic:blipFill>
                          <a:blip r:embed="rId11">
                            <a:extLst>
                              <a:ext uri="{28A0092B-C50C-407E-A947-70E740481C1C}">
                                <a14:useLocalDpi xmlns:a14="http://schemas.microsoft.com/office/drawing/2010/main" val="0"/>
                              </a:ext>
                            </a:extLst>
                          </a:blip>
                          <a:stretch>
                            <a:fillRect/>
                          </a:stretch>
                        </pic:blipFill>
                        <pic:spPr>
                          <a:xfrm>
                            <a:off x="0" y="0"/>
                            <a:ext cx="2311400" cy="711200"/>
                          </a:xfrm>
                          <a:prstGeom prst="rect">
                            <a:avLst/>
                          </a:prstGeom>
                        </pic:spPr>
                      </pic:pic>
                    </a:graphicData>
                  </a:graphic>
                </wp:inline>
              </w:drawing>
            </w:r>
          </w:p>
        </w:tc>
        <w:tc>
          <w:tcPr>
            <w:tcW w:w="2846" w:type="dxa"/>
          </w:tcPr>
          <w:p w:rsidR="008B55FD" w:rsidRDefault="008B55FD" w:rsidP="008B55FD">
            <w:pPr>
              <w:jc w:val="both"/>
              <w:rPr>
                <w:noProof/>
              </w:rPr>
            </w:pPr>
            <w:r w:rsidRPr="00602DA2">
              <w:rPr>
                <w:noProof/>
              </w:rPr>
              <w:drawing>
                <wp:inline distT="0" distB="0" distL="0" distR="0" wp14:anchorId="5FBB9CF1" wp14:editId="3B80A32A">
                  <wp:extent cx="1765300" cy="584200"/>
                  <wp:effectExtent l="0" t="0" r="6350" b="6350"/>
                  <wp:docPr id="20" name="Picture 18" descr="Monash University logo " title="Monash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srcRect/>
                          <a:stretch>
                            <a:fillRect/>
                          </a:stretch>
                        </pic:blipFill>
                        <pic:spPr bwMode="auto">
                          <a:xfrm>
                            <a:off x="0" y="0"/>
                            <a:ext cx="1790704" cy="592607"/>
                          </a:xfrm>
                          <a:prstGeom prst="rect">
                            <a:avLst/>
                          </a:prstGeom>
                          <a:noFill/>
                          <a:ln w="9525">
                            <a:noFill/>
                            <a:miter lim="800000"/>
                            <a:headEnd/>
                            <a:tailEnd/>
                          </a:ln>
                        </pic:spPr>
                      </pic:pic>
                    </a:graphicData>
                  </a:graphic>
                </wp:inline>
              </w:drawing>
            </w:r>
          </w:p>
        </w:tc>
        <w:tc>
          <w:tcPr>
            <w:tcW w:w="2268" w:type="dxa"/>
          </w:tcPr>
          <w:p w:rsidR="008B55FD" w:rsidRDefault="008B55FD" w:rsidP="008B55FD">
            <w:pPr>
              <w:jc w:val="both"/>
              <w:rPr>
                <w:noProof/>
              </w:rPr>
            </w:pPr>
            <w:r>
              <w:rPr>
                <w:noProof/>
              </w:rPr>
              <w:drawing>
                <wp:inline distT="0" distB="0" distL="0" distR="0" wp14:anchorId="51006563" wp14:editId="173E6CB8">
                  <wp:extent cx="1301750" cy="583141"/>
                  <wp:effectExtent l="0" t="0" r="0" b="7620"/>
                  <wp:docPr id="21" name="Picture 7" descr="ADCA logo" title="AD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306257" cy="585160"/>
                          </a:xfrm>
                          <a:prstGeom prst="rect">
                            <a:avLst/>
                          </a:prstGeom>
                          <a:noFill/>
                          <a:ln w="9525">
                            <a:noFill/>
                            <a:miter lim="800000"/>
                            <a:headEnd/>
                            <a:tailEnd/>
                          </a:ln>
                        </pic:spPr>
                      </pic:pic>
                    </a:graphicData>
                  </a:graphic>
                </wp:inline>
              </w:drawing>
            </w:r>
          </w:p>
        </w:tc>
        <w:tc>
          <w:tcPr>
            <w:tcW w:w="2364" w:type="dxa"/>
          </w:tcPr>
          <w:p w:rsidR="008B55FD" w:rsidRDefault="00B249AF" w:rsidP="007F2E2E">
            <w:pPr>
              <w:jc w:val="both"/>
              <w:rPr>
                <w:noProof/>
              </w:rPr>
            </w:pPr>
            <w:r w:rsidRPr="00B249AF">
              <w:rPr>
                <w:noProof/>
              </w:rPr>
              <w:drawing>
                <wp:inline distT="0" distB="0" distL="0" distR="0" wp14:anchorId="50DD9BF2" wp14:editId="60B4693B">
                  <wp:extent cx="1223753" cy="539750"/>
                  <wp:effectExtent l="0" t="0" r="0" b="0"/>
                  <wp:docPr id="5" name="Picture 4" descr="NDRI logo" title="NDR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1227236" cy="541286"/>
                          </a:xfrm>
                          <a:prstGeom prst="rect">
                            <a:avLst/>
                          </a:prstGeom>
                          <a:noFill/>
                          <a:ln w="9525">
                            <a:noFill/>
                            <a:miter lim="800000"/>
                            <a:headEnd/>
                            <a:tailEnd/>
                          </a:ln>
                        </pic:spPr>
                      </pic:pic>
                    </a:graphicData>
                  </a:graphic>
                </wp:inline>
              </w:drawing>
            </w:r>
            <w:r w:rsidR="008B55FD">
              <w:rPr>
                <w:noProof/>
              </w:rPr>
              <w:t xml:space="preserve"> </w:t>
            </w:r>
          </w:p>
        </w:tc>
      </w:tr>
    </w:tbl>
    <w:p w:rsidR="00AA605A" w:rsidRDefault="00A215B6" w:rsidP="00850BEC">
      <w:pPr>
        <w:pStyle w:val="CoverPageText"/>
        <w:spacing w:after="200" w:line="276" w:lineRule="auto"/>
        <w:rPr>
          <w:b/>
          <w:color w:val="FFFFFF"/>
          <w:lang w:val="en-GB"/>
        </w:rPr>
      </w:pPr>
      <w:r>
        <w:rPr>
          <w:b/>
          <w:noProof/>
          <w:color w:val="FFFFFF"/>
          <w:lang w:val="en-AU" w:eastAsia="en-AU"/>
        </w:rPr>
        <mc:AlternateContent>
          <mc:Choice Requires="wps">
            <w:drawing>
              <wp:inline distT="0" distB="0" distL="0" distR="0" wp14:anchorId="050D7645" wp14:editId="707EEE16">
                <wp:extent cx="6192520" cy="3733800"/>
                <wp:effectExtent l="0" t="0" r="17780" b="0"/>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92520" cy="3733800"/>
                        </a:xfrm>
                        <a:prstGeom prst="rect">
                          <a:avLst/>
                        </a:prstGeom>
                        <a:noFill/>
                        <a:ln>
                          <a:noFill/>
                        </a:ln>
                        <a:effectLst/>
                        <a:extLst/>
                      </wps:spPr>
                      <wps:style>
                        <a:lnRef idx="0">
                          <a:schemeClr val="accent1"/>
                        </a:lnRef>
                        <a:fillRef idx="0">
                          <a:schemeClr val="accent1"/>
                        </a:fillRef>
                        <a:effectRef idx="0">
                          <a:schemeClr val="accent1"/>
                        </a:effectRef>
                        <a:fontRef idx="minor">
                          <a:schemeClr val="dk1"/>
                        </a:fontRef>
                      </wps:style>
                      <wps:txbx>
                        <w:txbxContent>
                          <w:p w:rsidR="007F2E2E" w:rsidRPr="00AA605A" w:rsidRDefault="007F2E2E" w:rsidP="00AA605A">
                            <w:pPr>
                              <w:pStyle w:val="Title"/>
                              <w:jc w:val="center"/>
                              <w:rPr>
                                <w:rFonts w:asciiTheme="minorHAnsi" w:hAnsiTheme="minorHAnsi"/>
                                <w:color w:val="auto"/>
                                <w:sz w:val="48"/>
                                <w:szCs w:val="48"/>
                                <w:lang w:eastAsia="ja-JP"/>
                              </w:rPr>
                            </w:pPr>
                            <w:r w:rsidRPr="00AA605A">
                              <w:rPr>
                                <w:rFonts w:asciiTheme="minorHAnsi" w:hAnsiTheme="minorHAnsi"/>
                                <w:color w:val="auto"/>
                                <w:sz w:val="48"/>
                                <w:szCs w:val="48"/>
                                <w:lang w:eastAsia="ja-JP"/>
                              </w:rPr>
                              <w:t xml:space="preserve">A Study </w:t>
                            </w:r>
                            <w:r>
                              <w:rPr>
                                <w:rFonts w:asciiTheme="minorHAnsi" w:hAnsiTheme="minorHAnsi"/>
                                <w:color w:val="auto"/>
                                <w:sz w:val="48"/>
                                <w:szCs w:val="48"/>
                                <w:lang w:eastAsia="ja-JP"/>
                              </w:rPr>
                              <w:t>OF</w:t>
                            </w:r>
                            <w:r w:rsidRPr="00AA605A">
                              <w:rPr>
                                <w:rFonts w:asciiTheme="minorHAnsi" w:hAnsiTheme="minorHAnsi"/>
                                <w:color w:val="auto"/>
                                <w:sz w:val="48"/>
                                <w:szCs w:val="48"/>
                                <w:lang w:eastAsia="ja-JP"/>
                              </w:rPr>
                              <w:t xml:space="preserve"> Patient Pathways in alcohol</w:t>
                            </w:r>
                            <w:r>
                              <w:rPr>
                                <w:rFonts w:asciiTheme="minorHAnsi" w:hAnsiTheme="minorHAnsi"/>
                                <w:color w:val="auto"/>
                                <w:sz w:val="48"/>
                                <w:szCs w:val="48"/>
                                <w:lang w:eastAsia="ja-JP"/>
                              </w:rPr>
                              <w:t xml:space="preserve"> and other drug</w:t>
                            </w:r>
                            <w:r w:rsidRPr="00AA605A">
                              <w:rPr>
                                <w:rFonts w:asciiTheme="minorHAnsi" w:hAnsiTheme="minorHAnsi"/>
                                <w:color w:val="auto"/>
                                <w:sz w:val="48"/>
                                <w:szCs w:val="48"/>
                                <w:lang w:eastAsia="ja-JP"/>
                              </w:rPr>
                              <w:t xml:space="preserve"> treatment</w:t>
                            </w:r>
                          </w:p>
                          <w:p w:rsidR="007F2E2E" w:rsidRPr="00AA605A" w:rsidRDefault="007F2E2E" w:rsidP="00AA605A">
                            <w:pPr>
                              <w:pStyle w:val="Title"/>
                              <w:jc w:val="center"/>
                              <w:rPr>
                                <w:rFonts w:asciiTheme="minorHAnsi" w:hAnsiTheme="minorHAnsi"/>
                                <w:color w:val="auto"/>
                                <w:lang w:eastAsia="ja-JP"/>
                              </w:rPr>
                            </w:pPr>
                          </w:p>
                          <w:p w:rsidR="007F2E2E" w:rsidRPr="00C85B93" w:rsidRDefault="007F2E2E" w:rsidP="00AA605A">
                            <w:pPr>
                              <w:pStyle w:val="Subtitle"/>
                              <w:jc w:val="center"/>
                              <w:rPr>
                                <w:rFonts w:asciiTheme="minorHAnsi" w:hAnsiTheme="minorHAnsi"/>
                                <w:color w:val="auto"/>
                                <w:sz w:val="40"/>
                                <w:szCs w:val="40"/>
                              </w:rPr>
                            </w:pPr>
                            <w:r w:rsidRPr="00C85B93">
                              <w:rPr>
                                <w:rFonts w:asciiTheme="minorHAnsi" w:hAnsiTheme="minorHAnsi"/>
                                <w:color w:val="auto"/>
                                <w:sz w:val="40"/>
                                <w:szCs w:val="40"/>
                              </w:rPr>
                              <w:t>Patient Pathways National Project</w:t>
                            </w:r>
                          </w:p>
                          <w:p w:rsidR="007F2E2E" w:rsidRPr="00AA605A" w:rsidRDefault="007F2E2E" w:rsidP="00AA605A">
                            <w:pPr>
                              <w:pStyle w:val="Subtitle"/>
                              <w:jc w:val="center"/>
                              <w:rPr>
                                <w:rFonts w:asciiTheme="minorHAnsi" w:hAnsiTheme="minorHAnsi"/>
                                <w:color w:val="auto"/>
                              </w:rPr>
                            </w:pPr>
                          </w:p>
                          <w:p w:rsidR="007F2E2E" w:rsidRPr="00AA605A" w:rsidRDefault="007F2E2E" w:rsidP="00AA605A">
                            <w:pPr>
                              <w:pStyle w:val="Covertextnormal"/>
                              <w:jc w:val="center"/>
                              <w:rPr>
                                <w:rFonts w:asciiTheme="minorHAnsi" w:hAnsiTheme="minorHAnsi"/>
                                <w:color w:val="auto"/>
                              </w:rPr>
                            </w:pPr>
                          </w:p>
                          <w:p w:rsidR="007F2E2E" w:rsidRPr="00AA605A" w:rsidRDefault="007F2E2E" w:rsidP="00AA605A">
                            <w:pPr>
                              <w:pStyle w:val="Covertextnormal"/>
                              <w:jc w:val="center"/>
                              <w:rPr>
                                <w:rFonts w:asciiTheme="minorHAnsi" w:hAnsiTheme="minorHAnsi"/>
                                <w:color w:val="auto"/>
                                <w:sz w:val="28"/>
                                <w:szCs w:val="28"/>
                              </w:rPr>
                            </w:pPr>
                            <w:proofErr w:type="spellStart"/>
                            <w:r w:rsidRPr="00AA605A">
                              <w:rPr>
                                <w:rFonts w:asciiTheme="minorHAnsi" w:hAnsiTheme="minorHAnsi"/>
                                <w:color w:val="auto"/>
                                <w:sz w:val="28"/>
                                <w:szCs w:val="28"/>
                              </w:rPr>
                              <w:t>Lubman</w:t>
                            </w:r>
                            <w:proofErr w:type="spellEnd"/>
                            <w:r w:rsidRPr="00AA605A">
                              <w:rPr>
                                <w:rFonts w:asciiTheme="minorHAnsi" w:hAnsiTheme="minorHAnsi"/>
                                <w:color w:val="auto"/>
                                <w:sz w:val="28"/>
                                <w:szCs w:val="28"/>
                              </w:rPr>
                              <w:t xml:space="preserve">, D., Manning, V., Best, D., </w:t>
                            </w:r>
                            <w:proofErr w:type="spellStart"/>
                            <w:r>
                              <w:rPr>
                                <w:rFonts w:asciiTheme="minorHAnsi" w:hAnsiTheme="minorHAnsi"/>
                                <w:color w:val="auto"/>
                                <w:sz w:val="28"/>
                                <w:szCs w:val="28"/>
                              </w:rPr>
                              <w:t>Berends</w:t>
                            </w:r>
                            <w:proofErr w:type="spellEnd"/>
                            <w:r>
                              <w:rPr>
                                <w:rFonts w:asciiTheme="minorHAnsi" w:hAnsiTheme="minorHAnsi"/>
                                <w:color w:val="auto"/>
                                <w:sz w:val="28"/>
                                <w:szCs w:val="28"/>
                              </w:rPr>
                              <w:t xml:space="preserve">, L., </w:t>
                            </w:r>
                            <w:proofErr w:type="spellStart"/>
                            <w:r w:rsidRPr="00AA605A">
                              <w:rPr>
                                <w:rFonts w:asciiTheme="minorHAnsi" w:hAnsiTheme="minorHAnsi"/>
                                <w:color w:val="auto"/>
                                <w:sz w:val="28"/>
                                <w:szCs w:val="28"/>
                              </w:rPr>
                              <w:t>Mugavin</w:t>
                            </w:r>
                            <w:proofErr w:type="spellEnd"/>
                            <w:r w:rsidRPr="00AA605A">
                              <w:rPr>
                                <w:rFonts w:asciiTheme="minorHAnsi" w:hAnsiTheme="minorHAnsi"/>
                                <w:color w:val="auto"/>
                                <w:sz w:val="28"/>
                                <w:szCs w:val="28"/>
                              </w:rPr>
                              <w:t xml:space="preserve">, J., Lloyd, B., </w:t>
                            </w:r>
                            <w:r>
                              <w:rPr>
                                <w:rFonts w:asciiTheme="minorHAnsi" w:hAnsiTheme="minorHAnsi"/>
                                <w:color w:val="auto"/>
                                <w:sz w:val="28"/>
                                <w:szCs w:val="28"/>
                              </w:rPr>
                              <w:t xml:space="preserve">Lam, T., </w:t>
                            </w:r>
                            <w:r w:rsidRPr="00AA605A">
                              <w:rPr>
                                <w:rFonts w:asciiTheme="minorHAnsi" w:hAnsiTheme="minorHAnsi"/>
                                <w:color w:val="auto"/>
                                <w:sz w:val="28"/>
                                <w:szCs w:val="28"/>
                              </w:rPr>
                              <w:t xml:space="preserve">Garfield, J., </w:t>
                            </w:r>
                            <w:proofErr w:type="spellStart"/>
                            <w:r w:rsidRPr="00AA605A">
                              <w:rPr>
                                <w:rFonts w:asciiTheme="minorHAnsi" w:hAnsiTheme="minorHAnsi"/>
                                <w:color w:val="auto"/>
                                <w:sz w:val="28"/>
                                <w:szCs w:val="28"/>
                              </w:rPr>
                              <w:t>Buykx</w:t>
                            </w:r>
                            <w:proofErr w:type="spellEnd"/>
                            <w:r w:rsidRPr="00AA605A">
                              <w:rPr>
                                <w:rFonts w:asciiTheme="minorHAnsi" w:hAnsiTheme="minorHAnsi"/>
                                <w:color w:val="auto"/>
                                <w:sz w:val="28"/>
                                <w:szCs w:val="28"/>
                              </w:rPr>
                              <w:t>, P., Matthews</w:t>
                            </w:r>
                            <w:r>
                              <w:rPr>
                                <w:rFonts w:asciiTheme="minorHAnsi" w:hAnsiTheme="minorHAnsi"/>
                                <w:color w:val="auto"/>
                                <w:sz w:val="28"/>
                                <w:szCs w:val="28"/>
                              </w:rPr>
                              <w:t xml:space="preserve">, S., </w:t>
                            </w:r>
                            <w:proofErr w:type="spellStart"/>
                            <w:r>
                              <w:rPr>
                                <w:rFonts w:asciiTheme="minorHAnsi" w:hAnsiTheme="minorHAnsi"/>
                                <w:color w:val="auto"/>
                                <w:sz w:val="28"/>
                                <w:szCs w:val="28"/>
                              </w:rPr>
                              <w:t>Larner</w:t>
                            </w:r>
                            <w:proofErr w:type="spellEnd"/>
                            <w:r>
                              <w:rPr>
                                <w:rFonts w:asciiTheme="minorHAnsi" w:hAnsiTheme="minorHAnsi"/>
                                <w:color w:val="auto"/>
                                <w:sz w:val="28"/>
                                <w:szCs w:val="28"/>
                              </w:rPr>
                              <w:t>, A.,</w:t>
                            </w:r>
                            <w:r w:rsidRPr="00AA605A">
                              <w:rPr>
                                <w:rFonts w:asciiTheme="minorHAnsi" w:hAnsiTheme="minorHAnsi"/>
                                <w:color w:val="auto"/>
                                <w:sz w:val="28"/>
                                <w:szCs w:val="28"/>
                              </w:rPr>
                              <w:t xml:space="preserve"> </w:t>
                            </w:r>
                            <w:proofErr w:type="gramStart"/>
                            <w:r w:rsidRPr="00AA605A">
                              <w:rPr>
                                <w:rFonts w:asciiTheme="minorHAnsi" w:hAnsiTheme="minorHAnsi"/>
                                <w:color w:val="auto"/>
                                <w:sz w:val="28"/>
                                <w:szCs w:val="28"/>
                              </w:rPr>
                              <w:t>Gao</w:t>
                            </w:r>
                            <w:proofErr w:type="gramEnd"/>
                            <w:r w:rsidRPr="00AA605A">
                              <w:rPr>
                                <w:rFonts w:asciiTheme="minorHAnsi" w:hAnsiTheme="minorHAnsi"/>
                                <w:color w:val="auto"/>
                                <w:sz w:val="28"/>
                                <w:szCs w:val="28"/>
                              </w:rPr>
                              <w:t xml:space="preserve">, C., </w:t>
                            </w:r>
                            <w:proofErr w:type="spellStart"/>
                            <w:r w:rsidRPr="00AA605A">
                              <w:rPr>
                                <w:rFonts w:asciiTheme="minorHAnsi" w:hAnsiTheme="minorHAnsi"/>
                                <w:color w:val="auto"/>
                                <w:sz w:val="28"/>
                                <w:szCs w:val="28"/>
                              </w:rPr>
                              <w:t>Allsop</w:t>
                            </w:r>
                            <w:proofErr w:type="spellEnd"/>
                            <w:r w:rsidRPr="00AA605A">
                              <w:rPr>
                                <w:rFonts w:asciiTheme="minorHAnsi" w:hAnsiTheme="minorHAnsi"/>
                                <w:color w:val="auto"/>
                                <w:sz w:val="28"/>
                                <w:szCs w:val="28"/>
                              </w:rPr>
                              <w:t>, S., Room, R.</w:t>
                            </w:r>
                          </w:p>
                          <w:p w:rsidR="007F2E2E" w:rsidRPr="00AA605A" w:rsidRDefault="007F2E2E" w:rsidP="00AA605A">
                            <w:pPr>
                              <w:pStyle w:val="Covertextnormal"/>
                              <w:jc w:val="center"/>
                              <w:rPr>
                                <w:rFonts w:asciiTheme="minorHAnsi" w:hAnsiTheme="minorHAnsi"/>
                                <w:color w:val="auto"/>
                              </w:rPr>
                            </w:pPr>
                          </w:p>
                          <w:p w:rsidR="007F2E2E" w:rsidRPr="00AA605A" w:rsidRDefault="007F2E2E" w:rsidP="00AA605A">
                            <w:pPr>
                              <w:pStyle w:val="Covertextnormal"/>
                              <w:jc w:val="center"/>
                              <w:rPr>
                                <w:rFonts w:asciiTheme="minorHAnsi" w:hAnsiTheme="minorHAnsi"/>
                                <w:color w:val="auto"/>
                                <w:sz w:val="28"/>
                                <w:szCs w:val="28"/>
                              </w:rPr>
                            </w:pPr>
                            <w:r>
                              <w:rPr>
                                <w:rFonts w:asciiTheme="minorHAnsi" w:hAnsiTheme="minorHAnsi"/>
                                <w:color w:val="auto"/>
                                <w:sz w:val="28"/>
                                <w:szCs w:val="28"/>
                              </w:rPr>
                              <w:t>FINAL</w:t>
                            </w:r>
                            <w:r w:rsidRPr="00AA605A">
                              <w:rPr>
                                <w:rFonts w:asciiTheme="minorHAnsi" w:hAnsiTheme="minorHAnsi"/>
                                <w:color w:val="auto"/>
                                <w:sz w:val="28"/>
                                <w:szCs w:val="28"/>
                              </w:rPr>
                              <w:t xml:space="preserve"> REPORT</w:t>
                            </w:r>
                          </w:p>
                          <w:p w:rsidR="007F2E2E" w:rsidRPr="00AA605A" w:rsidRDefault="007F2E2E" w:rsidP="006720BC">
                            <w:pPr>
                              <w:pStyle w:val="Covertextnormal"/>
                              <w:spacing w:after="2400"/>
                              <w:jc w:val="center"/>
                              <w:rPr>
                                <w:rFonts w:asciiTheme="minorHAnsi" w:hAnsiTheme="minorHAnsi"/>
                                <w:color w:val="auto"/>
                                <w:sz w:val="28"/>
                                <w:szCs w:val="28"/>
                              </w:rPr>
                            </w:pPr>
                            <w:r>
                              <w:rPr>
                                <w:rFonts w:asciiTheme="minorHAnsi" w:hAnsiTheme="minorHAnsi"/>
                                <w:color w:val="auto"/>
                                <w:sz w:val="28"/>
                                <w:szCs w:val="28"/>
                              </w:rPr>
                              <w:t>June</w:t>
                            </w:r>
                            <w:r w:rsidRPr="00AA605A">
                              <w:rPr>
                                <w:rFonts w:asciiTheme="minorHAnsi" w:hAnsiTheme="minorHAnsi"/>
                                <w:color w:val="auto"/>
                                <w:sz w:val="28"/>
                                <w:szCs w:val="28"/>
                              </w:rPr>
                              <w:t xml:space="preserve"> 2014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487.6pt;height:2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" filled="f" stroked="f">
                <v:path arrowok="t"/>
                <v:textbox inset="0,0,0,0">
                  <w:txbxContent>
                    <w:p w:rsidR="007F2E2E" w:rsidRPr="00AA605A" w:rsidRDefault="007F2E2E" w:rsidP="00AA605A">
                      <w:pPr>
                        <w:pStyle w:val="Title"/>
                        <w:jc w:val="center"/>
                        <w:rPr>
                          <w:rFonts w:asciiTheme="minorHAnsi" w:hAnsiTheme="minorHAnsi"/>
                          <w:color w:val="auto"/>
                          <w:sz w:val="48"/>
                          <w:szCs w:val="48"/>
                          <w:lang w:eastAsia="ja-JP"/>
                        </w:rPr>
                      </w:pPr>
                      <w:r w:rsidRPr="00AA605A">
                        <w:rPr>
                          <w:rFonts w:asciiTheme="minorHAnsi" w:hAnsiTheme="minorHAnsi"/>
                          <w:color w:val="auto"/>
                          <w:sz w:val="48"/>
                          <w:szCs w:val="48"/>
                          <w:lang w:eastAsia="ja-JP"/>
                        </w:rPr>
                        <w:t xml:space="preserve">A Study </w:t>
                      </w:r>
                      <w:r>
                        <w:rPr>
                          <w:rFonts w:asciiTheme="minorHAnsi" w:hAnsiTheme="minorHAnsi"/>
                          <w:color w:val="auto"/>
                          <w:sz w:val="48"/>
                          <w:szCs w:val="48"/>
                          <w:lang w:eastAsia="ja-JP"/>
                        </w:rPr>
                        <w:t>OF</w:t>
                      </w:r>
                      <w:r w:rsidRPr="00AA605A">
                        <w:rPr>
                          <w:rFonts w:asciiTheme="minorHAnsi" w:hAnsiTheme="minorHAnsi"/>
                          <w:color w:val="auto"/>
                          <w:sz w:val="48"/>
                          <w:szCs w:val="48"/>
                          <w:lang w:eastAsia="ja-JP"/>
                        </w:rPr>
                        <w:t xml:space="preserve"> Patient Pathways in alcohol</w:t>
                      </w:r>
                      <w:r>
                        <w:rPr>
                          <w:rFonts w:asciiTheme="minorHAnsi" w:hAnsiTheme="minorHAnsi"/>
                          <w:color w:val="auto"/>
                          <w:sz w:val="48"/>
                          <w:szCs w:val="48"/>
                          <w:lang w:eastAsia="ja-JP"/>
                        </w:rPr>
                        <w:t xml:space="preserve"> and other drug</w:t>
                      </w:r>
                      <w:r w:rsidRPr="00AA605A">
                        <w:rPr>
                          <w:rFonts w:asciiTheme="minorHAnsi" w:hAnsiTheme="minorHAnsi"/>
                          <w:color w:val="auto"/>
                          <w:sz w:val="48"/>
                          <w:szCs w:val="48"/>
                          <w:lang w:eastAsia="ja-JP"/>
                        </w:rPr>
                        <w:t xml:space="preserve"> treatment</w:t>
                      </w:r>
                    </w:p>
                    <w:p w:rsidR="007F2E2E" w:rsidRPr="00AA605A" w:rsidRDefault="007F2E2E" w:rsidP="00AA605A">
                      <w:pPr>
                        <w:pStyle w:val="Title"/>
                        <w:jc w:val="center"/>
                        <w:rPr>
                          <w:rFonts w:asciiTheme="minorHAnsi" w:hAnsiTheme="minorHAnsi"/>
                          <w:color w:val="auto"/>
                          <w:lang w:eastAsia="ja-JP"/>
                        </w:rPr>
                      </w:pPr>
                    </w:p>
                    <w:p w:rsidR="007F2E2E" w:rsidRPr="00C85B93" w:rsidRDefault="007F2E2E" w:rsidP="00AA605A">
                      <w:pPr>
                        <w:pStyle w:val="Subtitle"/>
                        <w:jc w:val="center"/>
                        <w:rPr>
                          <w:rFonts w:asciiTheme="minorHAnsi" w:hAnsiTheme="minorHAnsi"/>
                          <w:color w:val="auto"/>
                          <w:sz w:val="40"/>
                          <w:szCs w:val="40"/>
                        </w:rPr>
                      </w:pPr>
                      <w:r w:rsidRPr="00C85B93">
                        <w:rPr>
                          <w:rFonts w:asciiTheme="minorHAnsi" w:hAnsiTheme="minorHAnsi"/>
                          <w:color w:val="auto"/>
                          <w:sz w:val="40"/>
                          <w:szCs w:val="40"/>
                        </w:rPr>
                        <w:t>Patient Pathways National Project</w:t>
                      </w:r>
                    </w:p>
                    <w:p w:rsidR="007F2E2E" w:rsidRPr="00AA605A" w:rsidRDefault="007F2E2E" w:rsidP="00AA605A">
                      <w:pPr>
                        <w:pStyle w:val="Subtitle"/>
                        <w:jc w:val="center"/>
                        <w:rPr>
                          <w:rFonts w:asciiTheme="minorHAnsi" w:hAnsiTheme="minorHAnsi"/>
                          <w:color w:val="auto"/>
                        </w:rPr>
                      </w:pPr>
                    </w:p>
                    <w:p w:rsidR="007F2E2E" w:rsidRPr="00AA605A" w:rsidRDefault="007F2E2E" w:rsidP="00AA605A">
                      <w:pPr>
                        <w:pStyle w:val="Covertextnormal"/>
                        <w:jc w:val="center"/>
                        <w:rPr>
                          <w:rFonts w:asciiTheme="minorHAnsi" w:hAnsiTheme="minorHAnsi"/>
                          <w:color w:val="auto"/>
                        </w:rPr>
                      </w:pPr>
                    </w:p>
                    <w:p w:rsidR="007F2E2E" w:rsidRPr="00AA605A" w:rsidRDefault="007F2E2E" w:rsidP="00AA605A">
                      <w:pPr>
                        <w:pStyle w:val="Covertextnormal"/>
                        <w:jc w:val="center"/>
                        <w:rPr>
                          <w:rFonts w:asciiTheme="minorHAnsi" w:hAnsiTheme="minorHAnsi"/>
                          <w:color w:val="auto"/>
                          <w:sz w:val="28"/>
                          <w:szCs w:val="28"/>
                        </w:rPr>
                      </w:pPr>
                      <w:proofErr w:type="spellStart"/>
                      <w:r w:rsidRPr="00AA605A">
                        <w:rPr>
                          <w:rFonts w:asciiTheme="minorHAnsi" w:hAnsiTheme="minorHAnsi"/>
                          <w:color w:val="auto"/>
                          <w:sz w:val="28"/>
                          <w:szCs w:val="28"/>
                        </w:rPr>
                        <w:t>Lubman</w:t>
                      </w:r>
                      <w:proofErr w:type="spellEnd"/>
                      <w:r w:rsidRPr="00AA605A">
                        <w:rPr>
                          <w:rFonts w:asciiTheme="minorHAnsi" w:hAnsiTheme="minorHAnsi"/>
                          <w:color w:val="auto"/>
                          <w:sz w:val="28"/>
                          <w:szCs w:val="28"/>
                        </w:rPr>
                        <w:t xml:space="preserve">, D., Manning, V., Best, D., </w:t>
                      </w:r>
                      <w:proofErr w:type="spellStart"/>
                      <w:r>
                        <w:rPr>
                          <w:rFonts w:asciiTheme="minorHAnsi" w:hAnsiTheme="minorHAnsi"/>
                          <w:color w:val="auto"/>
                          <w:sz w:val="28"/>
                          <w:szCs w:val="28"/>
                        </w:rPr>
                        <w:t>Berends</w:t>
                      </w:r>
                      <w:proofErr w:type="spellEnd"/>
                      <w:r>
                        <w:rPr>
                          <w:rFonts w:asciiTheme="minorHAnsi" w:hAnsiTheme="minorHAnsi"/>
                          <w:color w:val="auto"/>
                          <w:sz w:val="28"/>
                          <w:szCs w:val="28"/>
                        </w:rPr>
                        <w:t xml:space="preserve">, L., </w:t>
                      </w:r>
                      <w:proofErr w:type="spellStart"/>
                      <w:r w:rsidRPr="00AA605A">
                        <w:rPr>
                          <w:rFonts w:asciiTheme="minorHAnsi" w:hAnsiTheme="minorHAnsi"/>
                          <w:color w:val="auto"/>
                          <w:sz w:val="28"/>
                          <w:szCs w:val="28"/>
                        </w:rPr>
                        <w:t>Mugavin</w:t>
                      </w:r>
                      <w:proofErr w:type="spellEnd"/>
                      <w:r w:rsidRPr="00AA605A">
                        <w:rPr>
                          <w:rFonts w:asciiTheme="minorHAnsi" w:hAnsiTheme="minorHAnsi"/>
                          <w:color w:val="auto"/>
                          <w:sz w:val="28"/>
                          <w:szCs w:val="28"/>
                        </w:rPr>
                        <w:t xml:space="preserve">, J., Lloyd, B., </w:t>
                      </w:r>
                      <w:r>
                        <w:rPr>
                          <w:rFonts w:asciiTheme="minorHAnsi" w:hAnsiTheme="minorHAnsi"/>
                          <w:color w:val="auto"/>
                          <w:sz w:val="28"/>
                          <w:szCs w:val="28"/>
                        </w:rPr>
                        <w:t xml:space="preserve">Lam, T., </w:t>
                      </w:r>
                      <w:r w:rsidRPr="00AA605A">
                        <w:rPr>
                          <w:rFonts w:asciiTheme="minorHAnsi" w:hAnsiTheme="minorHAnsi"/>
                          <w:color w:val="auto"/>
                          <w:sz w:val="28"/>
                          <w:szCs w:val="28"/>
                        </w:rPr>
                        <w:t xml:space="preserve">Garfield, J., </w:t>
                      </w:r>
                      <w:proofErr w:type="spellStart"/>
                      <w:r w:rsidRPr="00AA605A">
                        <w:rPr>
                          <w:rFonts w:asciiTheme="minorHAnsi" w:hAnsiTheme="minorHAnsi"/>
                          <w:color w:val="auto"/>
                          <w:sz w:val="28"/>
                          <w:szCs w:val="28"/>
                        </w:rPr>
                        <w:t>Buykx</w:t>
                      </w:r>
                      <w:proofErr w:type="spellEnd"/>
                      <w:r w:rsidRPr="00AA605A">
                        <w:rPr>
                          <w:rFonts w:asciiTheme="minorHAnsi" w:hAnsiTheme="minorHAnsi"/>
                          <w:color w:val="auto"/>
                          <w:sz w:val="28"/>
                          <w:szCs w:val="28"/>
                        </w:rPr>
                        <w:t>, P., Matthews</w:t>
                      </w:r>
                      <w:r>
                        <w:rPr>
                          <w:rFonts w:asciiTheme="minorHAnsi" w:hAnsiTheme="minorHAnsi"/>
                          <w:color w:val="auto"/>
                          <w:sz w:val="28"/>
                          <w:szCs w:val="28"/>
                        </w:rPr>
                        <w:t xml:space="preserve">, S., </w:t>
                      </w:r>
                      <w:proofErr w:type="spellStart"/>
                      <w:r>
                        <w:rPr>
                          <w:rFonts w:asciiTheme="minorHAnsi" w:hAnsiTheme="minorHAnsi"/>
                          <w:color w:val="auto"/>
                          <w:sz w:val="28"/>
                          <w:szCs w:val="28"/>
                        </w:rPr>
                        <w:t>Larner</w:t>
                      </w:r>
                      <w:proofErr w:type="spellEnd"/>
                      <w:r>
                        <w:rPr>
                          <w:rFonts w:asciiTheme="minorHAnsi" w:hAnsiTheme="minorHAnsi"/>
                          <w:color w:val="auto"/>
                          <w:sz w:val="28"/>
                          <w:szCs w:val="28"/>
                        </w:rPr>
                        <w:t>, A.,</w:t>
                      </w:r>
                      <w:r w:rsidRPr="00AA605A">
                        <w:rPr>
                          <w:rFonts w:asciiTheme="minorHAnsi" w:hAnsiTheme="minorHAnsi"/>
                          <w:color w:val="auto"/>
                          <w:sz w:val="28"/>
                          <w:szCs w:val="28"/>
                        </w:rPr>
                        <w:t xml:space="preserve"> </w:t>
                      </w:r>
                      <w:proofErr w:type="gramStart"/>
                      <w:r w:rsidRPr="00AA605A">
                        <w:rPr>
                          <w:rFonts w:asciiTheme="minorHAnsi" w:hAnsiTheme="minorHAnsi"/>
                          <w:color w:val="auto"/>
                          <w:sz w:val="28"/>
                          <w:szCs w:val="28"/>
                        </w:rPr>
                        <w:t>Gao</w:t>
                      </w:r>
                      <w:proofErr w:type="gramEnd"/>
                      <w:r w:rsidRPr="00AA605A">
                        <w:rPr>
                          <w:rFonts w:asciiTheme="minorHAnsi" w:hAnsiTheme="minorHAnsi"/>
                          <w:color w:val="auto"/>
                          <w:sz w:val="28"/>
                          <w:szCs w:val="28"/>
                        </w:rPr>
                        <w:t xml:space="preserve">, C., </w:t>
                      </w:r>
                      <w:proofErr w:type="spellStart"/>
                      <w:r w:rsidRPr="00AA605A">
                        <w:rPr>
                          <w:rFonts w:asciiTheme="minorHAnsi" w:hAnsiTheme="minorHAnsi"/>
                          <w:color w:val="auto"/>
                          <w:sz w:val="28"/>
                          <w:szCs w:val="28"/>
                        </w:rPr>
                        <w:t>Allsop</w:t>
                      </w:r>
                      <w:proofErr w:type="spellEnd"/>
                      <w:r w:rsidRPr="00AA605A">
                        <w:rPr>
                          <w:rFonts w:asciiTheme="minorHAnsi" w:hAnsiTheme="minorHAnsi"/>
                          <w:color w:val="auto"/>
                          <w:sz w:val="28"/>
                          <w:szCs w:val="28"/>
                        </w:rPr>
                        <w:t>, S., Room, R.</w:t>
                      </w:r>
                    </w:p>
                    <w:p w:rsidR="007F2E2E" w:rsidRPr="00AA605A" w:rsidRDefault="007F2E2E" w:rsidP="00AA605A">
                      <w:pPr>
                        <w:pStyle w:val="Covertextnormal"/>
                        <w:jc w:val="center"/>
                        <w:rPr>
                          <w:rFonts w:asciiTheme="minorHAnsi" w:hAnsiTheme="minorHAnsi"/>
                          <w:color w:val="auto"/>
                        </w:rPr>
                      </w:pPr>
                    </w:p>
                    <w:p w:rsidR="007F2E2E" w:rsidRPr="00AA605A" w:rsidRDefault="007F2E2E" w:rsidP="00AA605A">
                      <w:pPr>
                        <w:pStyle w:val="Covertextnormal"/>
                        <w:jc w:val="center"/>
                        <w:rPr>
                          <w:rFonts w:asciiTheme="minorHAnsi" w:hAnsiTheme="minorHAnsi"/>
                          <w:color w:val="auto"/>
                          <w:sz w:val="28"/>
                          <w:szCs w:val="28"/>
                        </w:rPr>
                      </w:pPr>
                      <w:r>
                        <w:rPr>
                          <w:rFonts w:asciiTheme="minorHAnsi" w:hAnsiTheme="minorHAnsi"/>
                          <w:color w:val="auto"/>
                          <w:sz w:val="28"/>
                          <w:szCs w:val="28"/>
                        </w:rPr>
                        <w:t>FINAL</w:t>
                      </w:r>
                      <w:r w:rsidRPr="00AA605A">
                        <w:rPr>
                          <w:rFonts w:asciiTheme="minorHAnsi" w:hAnsiTheme="minorHAnsi"/>
                          <w:color w:val="auto"/>
                          <w:sz w:val="28"/>
                          <w:szCs w:val="28"/>
                        </w:rPr>
                        <w:t xml:space="preserve"> REPORT</w:t>
                      </w:r>
                    </w:p>
                    <w:p w:rsidR="007F2E2E" w:rsidRPr="00AA605A" w:rsidRDefault="007F2E2E" w:rsidP="006720BC">
                      <w:pPr>
                        <w:pStyle w:val="Covertextnormal"/>
                        <w:spacing w:after="2400"/>
                        <w:jc w:val="center"/>
                        <w:rPr>
                          <w:rFonts w:asciiTheme="minorHAnsi" w:hAnsiTheme="minorHAnsi"/>
                          <w:color w:val="auto"/>
                          <w:sz w:val="28"/>
                          <w:szCs w:val="28"/>
                        </w:rPr>
                      </w:pPr>
                      <w:r>
                        <w:rPr>
                          <w:rFonts w:asciiTheme="minorHAnsi" w:hAnsiTheme="minorHAnsi"/>
                          <w:color w:val="auto"/>
                          <w:sz w:val="28"/>
                          <w:szCs w:val="28"/>
                        </w:rPr>
                        <w:t>June</w:t>
                      </w:r>
                      <w:r w:rsidRPr="00AA605A">
                        <w:rPr>
                          <w:rFonts w:asciiTheme="minorHAnsi" w:hAnsiTheme="minorHAnsi"/>
                          <w:color w:val="auto"/>
                          <w:sz w:val="28"/>
                          <w:szCs w:val="28"/>
                        </w:rPr>
                        <w:t xml:space="preserve"> 2014</w:t>
                      </w:r>
                    </w:p>
                  </w:txbxContent>
                </v:textbox>
                <w10:anchorlock/>
              </v:shape>
            </w:pict>
          </mc:Fallback>
        </mc:AlternateContent>
      </w:r>
      <w:r w:rsidR="00B249AF" w:rsidRPr="00B249AF">
        <w:rPr>
          <w:b/>
          <w:noProof/>
          <w:color w:val="FFFFFF"/>
          <w:lang w:val="en-AU" w:eastAsia="en-AU"/>
        </w:rPr>
        <w:drawing>
          <wp:anchor distT="0" distB="0" distL="114300" distR="114300" simplePos="0" relativeHeight="251658240" behindDoc="0" locked="0" layoutInCell="1" allowOverlap="1">
            <wp:simplePos x="5327650" y="5571490"/>
            <wp:positionH relativeFrom="margin">
              <wp:align>right</wp:align>
            </wp:positionH>
            <wp:positionV relativeFrom="margin">
              <wp:align>bottom</wp:align>
            </wp:positionV>
            <wp:extent cx="1314450" cy="756285"/>
            <wp:effectExtent l="0" t="0" r="0" b="5715"/>
            <wp:wrapSquare wrapText="bothSides"/>
            <wp:docPr id="6" name="Picture 4" title="Eastern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rtofEH_RGB_smal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756285"/>
                    </a:xfrm>
                    <a:prstGeom prst="rect">
                      <a:avLst/>
                    </a:prstGeom>
                    <a:noFill/>
                    <a:ln w="9525">
                      <a:noFill/>
                      <a:miter lim="800000"/>
                      <a:headEnd/>
                      <a:tailEnd/>
                    </a:ln>
                  </pic:spPr>
                </pic:pic>
              </a:graphicData>
            </a:graphic>
          </wp:anchor>
        </w:drawing>
      </w:r>
    </w:p>
    <w:p w:rsidR="00AA605A" w:rsidRDefault="00AA605A" w:rsidP="00850BEC">
      <w:pPr>
        <w:pStyle w:val="CoverPageText"/>
        <w:spacing w:after="200" w:line="276" w:lineRule="auto"/>
        <w:rPr>
          <w:b/>
          <w:color w:val="FFFFFF"/>
          <w:lang w:val="en-GB"/>
        </w:rPr>
      </w:pPr>
    </w:p>
    <w:p w:rsidR="00883963" w:rsidRPr="00754BDC" w:rsidRDefault="00754BDC" w:rsidP="00754BDC">
      <w:pPr>
        <w:spacing w:after="120" w:line="240" w:lineRule="auto"/>
        <w:jc w:val="both"/>
        <w:rPr>
          <w:rFonts w:ascii="Arial" w:eastAsia="Cambria" w:hAnsi="Arial" w:cs="Arial"/>
          <w:sz w:val="20"/>
          <w:lang w:eastAsia="en-AU"/>
        </w:rPr>
      </w:pPr>
      <w:bookmarkStart w:id="0" w:name="_Toc345932869"/>
      <w:bookmarkStart w:id="1" w:name="_Toc350884488"/>
      <w:bookmarkStart w:id="2" w:name="_Toc351536574"/>
      <w:bookmarkStart w:id="3" w:name="_Toc351622811"/>
      <w:bookmarkStart w:id="4" w:name="_Toc351622882"/>
      <w:bookmarkStart w:id="5" w:name="_Toc352002266"/>
      <w:bookmarkStart w:id="6" w:name="_Toc352168064"/>
      <w:bookmarkStart w:id="7" w:name="_Toc352844009"/>
      <w:bookmarkStart w:id="8" w:name="_Toc354593030"/>
      <w:bookmarkStart w:id="9" w:name="_Toc354732281"/>
      <w:bookmarkStart w:id="10" w:name="_Toc354734003"/>
      <w:bookmarkStart w:id="11" w:name="_Toc354734169"/>
      <w:bookmarkStart w:id="12" w:name="_Toc354734779"/>
      <w:r>
        <w:rPr>
          <w:rFonts w:cs="Arial"/>
          <w:sz w:val="20"/>
        </w:rPr>
        <w:br w:type="page"/>
      </w:r>
    </w:p>
    <w:p w:rsidR="002646C4" w:rsidRDefault="00883963" w:rsidP="006720BC">
      <w:pPr>
        <w:pStyle w:val="AAAuthor"/>
        <w:numPr>
          <w:ilvl w:val="0"/>
          <w:numId w:val="0"/>
        </w:numPr>
        <w:spacing w:before="2160"/>
        <w:jc w:val="left"/>
        <w:rPr>
          <w:rFonts w:cs="Arial"/>
          <w:sz w:val="20"/>
        </w:rPr>
      </w:pPr>
      <w:r w:rsidRPr="003F036E">
        <w:rPr>
          <w:rFonts w:cs="Arial"/>
          <w:sz w:val="20"/>
        </w:rPr>
        <w:lastRenderedPageBreak/>
        <w:t>© 201</w:t>
      </w:r>
      <w:r>
        <w:rPr>
          <w:rFonts w:cs="Arial"/>
          <w:sz w:val="20"/>
        </w:rPr>
        <w:t>4 Commonwealth of Australia</w:t>
      </w:r>
      <w:r w:rsidR="002646C4">
        <w:rPr>
          <w:rFonts w:cs="Arial"/>
          <w:sz w:val="20"/>
        </w:rPr>
        <w:t xml:space="preserve"> </w:t>
      </w:r>
    </w:p>
    <w:p w:rsidR="00883963" w:rsidRPr="003F036E" w:rsidRDefault="00883963" w:rsidP="00883963">
      <w:pPr>
        <w:pStyle w:val="AAAuthor"/>
        <w:numPr>
          <w:ilvl w:val="0"/>
          <w:numId w:val="0"/>
        </w:numPr>
        <w:jc w:val="left"/>
        <w:rPr>
          <w:rFonts w:cs="Arial"/>
          <w:sz w:val="20"/>
        </w:rPr>
      </w:pPr>
      <w:proofErr w:type="gramStart"/>
      <w:r w:rsidRPr="003F036E">
        <w:rPr>
          <w:rFonts w:cs="Arial"/>
          <w:sz w:val="20"/>
        </w:rPr>
        <w:t xml:space="preserve">Reproduced with permission of the </w:t>
      </w:r>
      <w:r w:rsidR="001302FA">
        <w:rPr>
          <w:rFonts w:cs="Arial"/>
          <w:sz w:val="20"/>
        </w:rPr>
        <w:t>Commonwealth of Australia</w:t>
      </w:r>
      <w:r w:rsidRPr="003F036E">
        <w:rPr>
          <w:rFonts w:cs="Arial"/>
          <w:sz w:val="20"/>
        </w:rPr>
        <w:t>.</w:t>
      </w:r>
      <w:proofErr w:type="gramEnd"/>
      <w:r w:rsidRPr="003F036E">
        <w:rPr>
          <w:rFonts w:cs="Arial"/>
          <w:sz w:val="20"/>
        </w:rPr>
        <w:t xml:space="preserve"> Unauthorised reproduction and other uses comprised in the copyright are prohibited without permission.</w:t>
      </w:r>
    </w:p>
    <w:p w:rsidR="00883963" w:rsidRPr="003F036E" w:rsidRDefault="00883963" w:rsidP="00883963">
      <w:pPr>
        <w:pStyle w:val="AAAuthor"/>
        <w:numPr>
          <w:ilvl w:val="0"/>
          <w:numId w:val="0"/>
        </w:numPr>
        <w:jc w:val="left"/>
        <w:rPr>
          <w:rFonts w:cs="Arial"/>
          <w:sz w:val="20"/>
        </w:rPr>
      </w:pPr>
    </w:p>
    <w:p w:rsidR="00883963" w:rsidRPr="003F036E" w:rsidRDefault="00883963" w:rsidP="00883963">
      <w:pPr>
        <w:pStyle w:val="AAAuthor"/>
        <w:numPr>
          <w:ilvl w:val="0"/>
          <w:numId w:val="0"/>
        </w:numPr>
        <w:jc w:val="left"/>
        <w:rPr>
          <w:rFonts w:cs="Arial"/>
          <w:sz w:val="20"/>
        </w:rPr>
      </w:pPr>
      <w:r w:rsidRPr="003F036E">
        <w:rPr>
          <w:rFonts w:cs="Arial"/>
          <w:sz w:val="20"/>
        </w:rPr>
        <w:t xml:space="preserve">Copyright enquiries can be made to the lead author, at Turning Point, 54-62 Gertrude Street, Fitzroy, Victoria 3065, </w:t>
      </w:r>
      <w:proofErr w:type="gramStart"/>
      <w:r w:rsidRPr="003F036E">
        <w:rPr>
          <w:rFonts w:cs="Arial"/>
          <w:sz w:val="20"/>
        </w:rPr>
        <w:t>Australia</w:t>
      </w:r>
      <w:proofErr w:type="gramEnd"/>
      <w:r w:rsidRPr="003F036E">
        <w:rPr>
          <w:rFonts w:cs="Arial"/>
          <w:sz w:val="20"/>
        </w:rPr>
        <w:t>.</w:t>
      </w:r>
    </w:p>
    <w:p w:rsidR="00883963" w:rsidRPr="003F036E" w:rsidRDefault="00883963" w:rsidP="00883963">
      <w:pPr>
        <w:pStyle w:val="AAAuthor"/>
        <w:numPr>
          <w:ilvl w:val="0"/>
          <w:numId w:val="0"/>
        </w:numPr>
        <w:jc w:val="left"/>
        <w:rPr>
          <w:rFonts w:cs="Arial"/>
          <w:sz w:val="20"/>
        </w:rPr>
      </w:pPr>
    </w:p>
    <w:p w:rsidR="00883963" w:rsidRPr="003F036E" w:rsidRDefault="00883963" w:rsidP="00883963">
      <w:pPr>
        <w:pStyle w:val="AAAuthor"/>
        <w:numPr>
          <w:ilvl w:val="0"/>
          <w:numId w:val="0"/>
        </w:numPr>
        <w:jc w:val="left"/>
        <w:rPr>
          <w:rFonts w:cs="Arial"/>
          <w:sz w:val="20"/>
        </w:rPr>
      </w:pPr>
      <w:r w:rsidRPr="003F036E">
        <w:rPr>
          <w:rFonts w:cs="Arial"/>
          <w:sz w:val="20"/>
        </w:rPr>
        <w:t xml:space="preserve">Published by Turning Point, which is a part of Eastern Health. </w:t>
      </w:r>
    </w:p>
    <w:p w:rsidR="00883963" w:rsidRPr="003F036E" w:rsidRDefault="00883963" w:rsidP="00883963">
      <w:pPr>
        <w:pStyle w:val="AAAuthor"/>
        <w:numPr>
          <w:ilvl w:val="0"/>
          <w:numId w:val="0"/>
        </w:numPr>
        <w:jc w:val="left"/>
        <w:rPr>
          <w:rFonts w:cs="Arial"/>
          <w:sz w:val="20"/>
        </w:rPr>
      </w:pPr>
    </w:p>
    <w:p w:rsidR="00883963" w:rsidRPr="003F036E" w:rsidRDefault="00883963" w:rsidP="00883963">
      <w:pPr>
        <w:pStyle w:val="AAAuthor"/>
        <w:numPr>
          <w:ilvl w:val="0"/>
          <w:numId w:val="0"/>
        </w:numPr>
        <w:jc w:val="left"/>
        <w:rPr>
          <w:rFonts w:cs="Arial"/>
          <w:sz w:val="20"/>
        </w:rPr>
      </w:pPr>
      <w:r w:rsidRPr="003F036E">
        <w:rPr>
          <w:rFonts w:cs="Arial"/>
          <w:sz w:val="20"/>
        </w:rPr>
        <w:t xml:space="preserve">This project was funded by </w:t>
      </w:r>
      <w:r>
        <w:rPr>
          <w:rFonts w:cs="Arial"/>
          <w:sz w:val="20"/>
        </w:rPr>
        <w:t xml:space="preserve">the </w:t>
      </w:r>
      <w:r w:rsidR="001302FA">
        <w:rPr>
          <w:rFonts w:cs="Arial"/>
          <w:sz w:val="20"/>
        </w:rPr>
        <w:t>Commonwealth of Australia</w:t>
      </w:r>
      <w:r w:rsidRPr="003F036E">
        <w:rPr>
          <w:rFonts w:cs="Arial"/>
          <w:sz w:val="20"/>
        </w:rPr>
        <w:t xml:space="preserve">. </w:t>
      </w:r>
    </w:p>
    <w:p w:rsidR="00883963" w:rsidRPr="003F036E" w:rsidRDefault="00883963" w:rsidP="00883963">
      <w:pPr>
        <w:pStyle w:val="AAAuthor"/>
        <w:numPr>
          <w:ilvl w:val="0"/>
          <w:numId w:val="0"/>
        </w:numPr>
        <w:jc w:val="left"/>
        <w:rPr>
          <w:rFonts w:cs="Arial"/>
          <w:sz w:val="20"/>
        </w:rPr>
      </w:pPr>
    </w:p>
    <w:p w:rsidR="00883963" w:rsidRPr="003F036E" w:rsidRDefault="00883963" w:rsidP="00883963">
      <w:pPr>
        <w:pStyle w:val="AAAuthor"/>
        <w:numPr>
          <w:ilvl w:val="0"/>
          <w:numId w:val="0"/>
        </w:numPr>
        <w:jc w:val="left"/>
        <w:rPr>
          <w:rFonts w:cs="Arial"/>
          <w:sz w:val="20"/>
        </w:rPr>
      </w:pPr>
      <w:r w:rsidRPr="003F036E">
        <w:rPr>
          <w:rFonts w:cs="Arial"/>
          <w:sz w:val="20"/>
        </w:rPr>
        <w:t xml:space="preserve">The responsibility for all statements made in this document lies with the authors. The views of the authors do not necessarily reflect the views and position of </w:t>
      </w:r>
      <w:r>
        <w:rPr>
          <w:rFonts w:cs="Arial"/>
          <w:sz w:val="20"/>
        </w:rPr>
        <w:t xml:space="preserve">the </w:t>
      </w:r>
      <w:r w:rsidR="001302FA">
        <w:rPr>
          <w:rFonts w:cs="Arial"/>
          <w:sz w:val="20"/>
        </w:rPr>
        <w:t>Commonwealth of Australia.</w:t>
      </w:r>
    </w:p>
    <w:p w:rsidR="00883963" w:rsidRPr="003F036E" w:rsidRDefault="00883963" w:rsidP="00883963">
      <w:pPr>
        <w:pStyle w:val="AAAuthor"/>
        <w:numPr>
          <w:ilvl w:val="0"/>
          <w:numId w:val="0"/>
        </w:numPr>
        <w:jc w:val="left"/>
        <w:rPr>
          <w:rFonts w:cs="Arial"/>
          <w:sz w:val="20"/>
        </w:rPr>
      </w:pPr>
    </w:p>
    <w:p w:rsidR="00883963" w:rsidRPr="003F036E" w:rsidRDefault="00883963" w:rsidP="00883963">
      <w:pPr>
        <w:pStyle w:val="AAAuthor"/>
        <w:numPr>
          <w:ilvl w:val="0"/>
          <w:numId w:val="0"/>
        </w:numPr>
        <w:jc w:val="left"/>
        <w:rPr>
          <w:rFonts w:cs="Arial"/>
          <w:sz w:val="20"/>
        </w:rPr>
      </w:pPr>
    </w:p>
    <w:p w:rsidR="00883963" w:rsidRPr="003F036E" w:rsidRDefault="00883963" w:rsidP="00883963">
      <w:pPr>
        <w:pStyle w:val="AAparagraph"/>
        <w:spacing w:line="276" w:lineRule="auto"/>
        <w:rPr>
          <w:rFonts w:cs="Arial"/>
          <w:sz w:val="20"/>
          <w:lang w:eastAsia="en-AU"/>
        </w:rPr>
      </w:pPr>
      <w:r w:rsidRPr="003F036E">
        <w:rPr>
          <w:rFonts w:cs="Arial"/>
          <w:sz w:val="20"/>
          <w:lang w:eastAsia="en-AU"/>
        </w:rPr>
        <w:t xml:space="preserve">The correct citation for this report is: </w:t>
      </w:r>
    </w:p>
    <w:p w:rsidR="00883963" w:rsidRPr="008450ED" w:rsidRDefault="008450ED" w:rsidP="008450ED">
      <w:pPr>
        <w:pStyle w:val="AAAuthor"/>
        <w:numPr>
          <w:ilvl w:val="0"/>
          <w:numId w:val="0"/>
        </w:numPr>
        <w:jc w:val="left"/>
        <w:rPr>
          <w:rFonts w:cs="Arial"/>
          <w:sz w:val="20"/>
          <w:szCs w:val="20"/>
        </w:rPr>
      </w:pPr>
      <w:bookmarkStart w:id="13" w:name="_Toc388371061"/>
      <w:proofErr w:type="spellStart"/>
      <w:r w:rsidRPr="008450ED">
        <w:rPr>
          <w:rFonts w:cs="Arial"/>
          <w:sz w:val="20"/>
          <w:szCs w:val="20"/>
        </w:rPr>
        <w:t>Lubman</w:t>
      </w:r>
      <w:proofErr w:type="spellEnd"/>
      <w:r w:rsidRPr="008450ED">
        <w:rPr>
          <w:rFonts w:cs="Arial"/>
          <w:sz w:val="20"/>
          <w:szCs w:val="20"/>
        </w:rPr>
        <w:t>, D., M</w:t>
      </w:r>
      <w:r w:rsidR="00F9110B">
        <w:rPr>
          <w:rFonts w:cs="Arial"/>
          <w:sz w:val="20"/>
          <w:szCs w:val="20"/>
        </w:rPr>
        <w:t xml:space="preserve">anning, V., Best, D., </w:t>
      </w:r>
      <w:proofErr w:type="spellStart"/>
      <w:r w:rsidR="00F9110B">
        <w:rPr>
          <w:rFonts w:cs="Arial"/>
          <w:sz w:val="20"/>
          <w:szCs w:val="20"/>
        </w:rPr>
        <w:t>Berends</w:t>
      </w:r>
      <w:proofErr w:type="spellEnd"/>
      <w:r w:rsidR="00F9110B">
        <w:rPr>
          <w:rFonts w:cs="Arial"/>
          <w:sz w:val="20"/>
          <w:szCs w:val="20"/>
        </w:rPr>
        <w:t xml:space="preserve">, L., </w:t>
      </w:r>
      <w:proofErr w:type="spellStart"/>
      <w:r w:rsidRPr="008450ED">
        <w:rPr>
          <w:rFonts w:cs="Arial"/>
          <w:sz w:val="20"/>
          <w:szCs w:val="20"/>
        </w:rPr>
        <w:t>Mugavin</w:t>
      </w:r>
      <w:proofErr w:type="spellEnd"/>
      <w:r w:rsidRPr="008450ED">
        <w:rPr>
          <w:rFonts w:cs="Arial"/>
          <w:sz w:val="20"/>
          <w:szCs w:val="20"/>
        </w:rPr>
        <w:t xml:space="preserve">, J., </w:t>
      </w:r>
      <w:r w:rsidR="00F9110B" w:rsidRPr="008450ED">
        <w:rPr>
          <w:rFonts w:cs="Arial"/>
          <w:sz w:val="20"/>
          <w:szCs w:val="20"/>
        </w:rPr>
        <w:t xml:space="preserve">Lloyd, B., </w:t>
      </w:r>
      <w:r w:rsidRPr="008450ED">
        <w:rPr>
          <w:rFonts w:cs="Arial"/>
          <w:sz w:val="20"/>
          <w:szCs w:val="20"/>
        </w:rPr>
        <w:t xml:space="preserve">Lam, T., </w:t>
      </w:r>
      <w:r w:rsidR="00F9110B" w:rsidRPr="008450ED">
        <w:rPr>
          <w:rFonts w:cs="Arial"/>
          <w:sz w:val="20"/>
          <w:szCs w:val="20"/>
        </w:rPr>
        <w:t xml:space="preserve">Garfield, J., </w:t>
      </w:r>
      <w:proofErr w:type="spellStart"/>
      <w:r w:rsidRPr="008450ED">
        <w:rPr>
          <w:rFonts w:cs="Arial"/>
          <w:sz w:val="20"/>
          <w:szCs w:val="20"/>
        </w:rPr>
        <w:t>Buykx</w:t>
      </w:r>
      <w:proofErr w:type="spellEnd"/>
      <w:r w:rsidRPr="008450ED">
        <w:rPr>
          <w:rFonts w:cs="Arial"/>
          <w:sz w:val="20"/>
          <w:szCs w:val="20"/>
        </w:rPr>
        <w:t xml:space="preserve">, P., Matthews, S., </w:t>
      </w:r>
      <w:proofErr w:type="spellStart"/>
      <w:r w:rsidRPr="008450ED">
        <w:rPr>
          <w:rFonts w:cs="Arial"/>
          <w:sz w:val="20"/>
          <w:szCs w:val="20"/>
        </w:rPr>
        <w:t>Larner</w:t>
      </w:r>
      <w:proofErr w:type="spellEnd"/>
      <w:r w:rsidRPr="008450ED">
        <w:rPr>
          <w:rFonts w:cs="Arial"/>
          <w:sz w:val="20"/>
          <w:szCs w:val="20"/>
        </w:rPr>
        <w:t>, A., </w:t>
      </w:r>
      <w:proofErr w:type="gramStart"/>
      <w:r w:rsidRPr="008450ED">
        <w:rPr>
          <w:rFonts w:cs="Arial"/>
          <w:sz w:val="20"/>
          <w:szCs w:val="20"/>
        </w:rPr>
        <w:t>Gao</w:t>
      </w:r>
      <w:proofErr w:type="gramEnd"/>
      <w:r w:rsidRPr="008450ED">
        <w:rPr>
          <w:rFonts w:cs="Arial"/>
          <w:sz w:val="20"/>
          <w:szCs w:val="20"/>
        </w:rPr>
        <w:t xml:space="preserve">, C., </w:t>
      </w:r>
      <w:proofErr w:type="spellStart"/>
      <w:r w:rsidRPr="008450ED">
        <w:rPr>
          <w:rFonts w:cs="Arial"/>
          <w:sz w:val="20"/>
          <w:szCs w:val="20"/>
        </w:rPr>
        <w:t>Allsop</w:t>
      </w:r>
      <w:proofErr w:type="spellEnd"/>
      <w:r w:rsidRPr="008450ED">
        <w:rPr>
          <w:rFonts w:cs="Arial"/>
          <w:sz w:val="20"/>
          <w:szCs w:val="20"/>
        </w:rPr>
        <w:t>, S., Room, R.</w:t>
      </w:r>
      <w:r w:rsidR="0030497C" w:rsidRPr="008450ED">
        <w:rPr>
          <w:sz w:val="20"/>
          <w:szCs w:val="20"/>
        </w:rPr>
        <w:t xml:space="preserve"> </w:t>
      </w:r>
      <w:r w:rsidR="00883963" w:rsidRPr="008450ED">
        <w:rPr>
          <w:sz w:val="20"/>
          <w:szCs w:val="20"/>
        </w:rPr>
        <w:t>(</w:t>
      </w:r>
      <w:r w:rsidR="00285510" w:rsidRPr="008450ED">
        <w:rPr>
          <w:sz w:val="20"/>
          <w:szCs w:val="20"/>
        </w:rPr>
        <w:t>2014</w:t>
      </w:r>
      <w:r w:rsidR="00883963" w:rsidRPr="008450ED">
        <w:rPr>
          <w:sz w:val="20"/>
          <w:szCs w:val="20"/>
        </w:rPr>
        <w:t xml:space="preserve">). </w:t>
      </w:r>
      <w:proofErr w:type="gramStart"/>
      <w:r w:rsidR="00C85B93" w:rsidRPr="008450ED">
        <w:rPr>
          <w:i/>
          <w:sz w:val="20"/>
          <w:szCs w:val="20"/>
        </w:rPr>
        <w:t>A study of p</w:t>
      </w:r>
      <w:r w:rsidR="00883963" w:rsidRPr="008450ED">
        <w:rPr>
          <w:i/>
          <w:sz w:val="20"/>
          <w:szCs w:val="20"/>
        </w:rPr>
        <w:t xml:space="preserve">atient </w:t>
      </w:r>
      <w:r w:rsidR="00C85B93" w:rsidRPr="008450ED">
        <w:rPr>
          <w:i/>
          <w:sz w:val="20"/>
          <w:szCs w:val="20"/>
        </w:rPr>
        <w:t>p</w:t>
      </w:r>
      <w:r w:rsidR="00883963" w:rsidRPr="008450ED">
        <w:rPr>
          <w:i/>
          <w:sz w:val="20"/>
          <w:szCs w:val="20"/>
        </w:rPr>
        <w:t>athways</w:t>
      </w:r>
      <w:r w:rsidR="00C85B93" w:rsidRPr="008450ED">
        <w:rPr>
          <w:i/>
          <w:sz w:val="20"/>
          <w:szCs w:val="20"/>
        </w:rPr>
        <w:t xml:space="preserve"> in alc</w:t>
      </w:r>
      <w:r>
        <w:rPr>
          <w:i/>
          <w:sz w:val="20"/>
          <w:szCs w:val="20"/>
        </w:rPr>
        <w:t>ohol and other drug treatment</w:t>
      </w:r>
      <w:r w:rsidR="00883963" w:rsidRPr="008450ED">
        <w:rPr>
          <w:i/>
          <w:sz w:val="20"/>
          <w:szCs w:val="20"/>
        </w:rPr>
        <w:t>.</w:t>
      </w:r>
      <w:proofErr w:type="gramEnd"/>
      <w:r w:rsidR="00883963" w:rsidRPr="008450ED">
        <w:rPr>
          <w:sz w:val="20"/>
          <w:szCs w:val="20"/>
        </w:rPr>
        <w:t xml:space="preserve"> Turning Point, Fitzroy.</w:t>
      </w:r>
      <w:bookmarkEnd w:id="13"/>
      <w:r w:rsidR="00883963" w:rsidRPr="008450ED">
        <w:rPr>
          <w:sz w:val="20"/>
          <w:szCs w:val="20"/>
        </w:rPr>
        <w:t xml:space="preserve"> </w:t>
      </w:r>
    </w:p>
    <w:p w:rsidR="00C85B93" w:rsidRPr="005B2F9A" w:rsidRDefault="00C85B93">
      <w:pPr>
        <w:spacing w:after="120" w:line="240" w:lineRule="auto"/>
        <w:ind w:left="1191" w:hanging="1134"/>
        <w:jc w:val="both"/>
        <w:rPr>
          <w:rFonts w:ascii="Arial" w:eastAsia="Cambria" w:hAnsi="Arial" w:cs="Arial"/>
          <w:sz w:val="20"/>
          <w:lang w:eastAsia="en-AU"/>
        </w:rPr>
      </w:pPr>
      <w:r>
        <w:rPr>
          <w:lang w:val="en-GB"/>
        </w:rPr>
        <w:br w:type="page"/>
      </w:r>
    </w:p>
    <w:p w:rsidR="008A3649" w:rsidRPr="00A67E44" w:rsidRDefault="00045FA3" w:rsidP="008D2CC2">
      <w:pPr>
        <w:pStyle w:val="Executive"/>
        <w:spacing w:before="0" w:after="200"/>
        <w:outlineLvl w:val="0"/>
        <w:rPr>
          <w:color w:val="auto"/>
          <w:lang w:val="en-GB"/>
        </w:rPr>
      </w:pPr>
      <w:bookmarkStart w:id="14" w:name="_Toc388371062"/>
      <w:bookmarkStart w:id="15" w:name="_Toc398105031"/>
      <w:r w:rsidRPr="00A67E44">
        <w:rPr>
          <w:color w:val="auto"/>
          <w:lang w:val="en-GB"/>
        </w:rPr>
        <w:lastRenderedPageBreak/>
        <w:t>Acknowledgements</w:t>
      </w:r>
      <w:bookmarkEnd w:id="0"/>
      <w:bookmarkEnd w:id="1"/>
      <w:bookmarkEnd w:id="2"/>
      <w:bookmarkEnd w:id="3"/>
      <w:bookmarkEnd w:id="4"/>
      <w:bookmarkEnd w:id="5"/>
      <w:bookmarkEnd w:id="6"/>
      <w:bookmarkEnd w:id="7"/>
      <w:bookmarkEnd w:id="8"/>
      <w:bookmarkEnd w:id="9"/>
      <w:bookmarkEnd w:id="10"/>
      <w:bookmarkEnd w:id="11"/>
      <w:bookmarkEnd w:id="12"/>
      <w:bookmarkEnd w:id="14"/>
      <w:bookmarkEnd w:id="15"/>
    </w:p>
    <w:p w:rsidR="00901D28" w:rsidRDefault="00045FA3" w:rsidP="00A539EC">
      <w:pPr>
        <w:pStyle w:val="FAREnormaltext"/>
      </w:pPr>
      <w:r w:rsidRPr="00045FA3">
        <w:t xml:space="preserve">We </w:t>
      </w:r>
      <w:r w:rsidR="002F63D3">
        <w:t>thank</w:t>
      </w:r>
      <w:r w:rsidRPr="00045FA3">
        <w:t xml:space="preserve"> the participants who </w:t>
      </w:r>
      <w:r w:rsidR="00850BEC">
        <w:t>were involved</w:t>
      </w:r>
      <w:r w:rsidRPr="00045FA3">
        <w:t xml:space="preserve"> </w:t>
      </w:r>
      <w:r w:rsidR="002F63D3">
        <w:t>across the different phases of the project</w:t>
      </w:r>
      <w:r w:rsidRPr="00045FA3">
        <w:t xml:space="preserve"> </w:t>
      </w:r>
      <w:r w:rsidR="002F63D3">
        <w:t>for</w:t>
      </w:r>
      <w:r w:rsidR="002F63D3" w:rsidRPr="00045FA3">
        <w:t xml:space="preserve"> </w:t>
      </w:r>
      <w:r w:rsidRPr="00045FA3">
        <w:t>the substantial amount of time they have given</w:t>
      </w:r>
      <w:r w:rsidR="00327BB0">
        <w:t xml:space="preserve"> to help us understand their treatment journeys and experiences. </w:t>
      </w:r>
      <w:r w:rsidR="006F77B8" w:rsidRPr="006F77B8">
        <w:t xml:space="preserve">We would also like to thank all of the </w:t>
      </w:r>
      <w:r w:rsidR="006F77B8" w:rsidRPr="00163BDB">
        <w:t>treatment service staff that supported th</w:t>
      </w:r>
      <w:r w:rsidR="00327BB0">
        <w:t>e</w:t>
      </w:r>
      <w:r w:rsidR="006F77B8" w:rsidRPr="00163BDB">
        <w:t xml:space="preserve"> project in</w:t>
      </w:r>
      <w:r w:rsidR="00163BDB" w:rsidRPr="00163BDB">
        <w:t xml:space="preserve"> </w:t>
      </w:r>
      <w:r w:rsidR="00327BB0">
        <w:t xml:space="preserve">both </w:t>
      </w:r>
      <w:r w:rsidR="00163BDB" w:rsidRPr="00163BDB">
        <w:t>Victoria and West Australia</w:t>
      </w:r>
      <w:r w:rsidR="00327BB0">
        <w:t>,</w:t>
      </w:r>
      <w:r w:rsidR="00163BDB" w:rsidRPr="00163BDB">
        <w:t xml:space="preserve"> and members of </w:t>
      </w:r>
      <w:r w:rsidR="00A10255" w:rsidRPr="00A10255">
        <w:t>Alcohol and other Drugs Council of Australia</w:t>
      </w:r>
      <w:r w:rsidR="00381191">
        <w:t xml:space="preserve"> (ADCA) </w:t>
      </w:r>
      <w:r w:rsidR="00163BDB" w:rsidRPr="00163BDB">
        <w:t xml:space="preserve">for their </w:t>
      </w:r>
      <w:r w:rsidR="00327BB0">
        <w:t>support and expertise</w:t>
      </w:r>
      <w:r w:rsidR="00163BDB" w:rsidRPr="00163BDB">
        <w:t xml:space="preserve">. </w:t>
      </w:r>
    </w:p>
    <w:p w:rsidR="008450ED" w:rsidRDefault="005C7C60">
      <w:pPr>
        <w:pStyle w:val="FAREnormaltext"/>
      </w:pPr>
      <w:r w:rsidRPr="00DD7C22">
        <w:t xml:space="preserve">The authors </w:t>
      </w:r>
      <w:r w:rsidR="002F63D3">
        <w:t>also thank</w:t>
      </w:r>
      <w:r>
        <w:t xml:space="preserve"> </w:t>
      </w:r>
      <w:proofErr w:type="spellStart"/>
      <w:r>
        <w:t>Mee</w:t>
      </w:r>
      <w:proofErr w:type="spellEnd"/>
      <w:r>
        <w:t xml:space="preserve"> Lee Easton </w:t>
      </w:r>
      <w:r w:rsidRPr="00DD7C22">
        <w:t>and Ying Chen from the Victorian Data Linkages Unit</w:t>
      </w:r>
      <w:r w:rsidR="00327BB0">
        <w:t>, and</w:t>
      </w:r>
      <w:r w:rsidRPr="00DD7C22">
        <w:t xml:space="preserve"> </w:t>
      </w:r>
      <w:r>
        <w:t xml:space="preserve">Rob Knight and Mark Gill for providing access to the data. </w:t>
      </w:r>
      <w:r w:rsidRPr="00DD7C22">
        <w:t>Th</w:t>
      </w:r>
      <w:r w:rsidR="00327BB0">
        <w:t xml:space="preserve">is work could not have been completed without the </w:t>
      </w:r>
      <w:r w:rsidRPr="00DD7C22">
        <w:t xml:space="preserve">support </w:t>
      </w:r>
      <w:r w:rsidR="00327BB0">
        <w:t>of the</w:t>
      </w:r>
      <w:r w:rsidRPr="00DD7C22">
        <w:t xml:space="preserve"> Commonwealth Department of Health. </w:t>
      </w:r>
    </w:p>
    <w:p w:rsidR="00265514" w:rsidRDefault="008101A8" w:rsidP="002646C4">
      <w:pPr>
        <w:rPr>
          <w:b/>
          <w:lang w:val="en-GB"/>
        </w:rPr>
      </w:pPr>
      <w:r>
        <w:t xml:space="preserve">Finally, we would like to </w:t>
      </w:r>
      <w:r w:rsidR="008450ED" w:rsidRPr="007C161F">
        <w:t xml:space="preserve">thank others members of the research team who assisted with the project: </w:t>
      </w:r>
      <w:proofErr w:type="spellStart"/>
      <w:r w:rsidR="008450ED" w:rsidRPr="007C161F">
        <w:t>Seraina</w:t>
      </w:r>
      <w:proofErr w:type="spellEnd"/>
      <w:r w:rsidR="008450ED" w:rsidRPr="007C161F">
        <w:t xml:space="preserve"> </w:t>
      </w:r>
      <w:proofErr w:type="spellStart"/>
      <w:r w:rsidR="008450ED" w:rsidRPr="007C161F">
        <w:t>Agramunt</w:t>
      </w:r>
      <w:proofErr w:type="spellEnd"/>
      <w:r w:rsidR="008450ED" w:rsidRPr="007C161F">
        <w:t xml:space="preserve">, Julia Butt, Sue Carruthers, Dina </w:t>
      </w:r>
      <w:proofErr w:type="spellStart"/>
      <w:r w:rsidR="008450ED" w:rsidRPr="007C161F">
        <w:t>Eleftheriadis</w:t>
      </w:r>
      <w:proofErr w:type="spellEnd"/>
      <w:r w:rsidR="008450ED" w:rsidRPr="007C161F">
        <w:t>, Sarah Flynn</w:t>
      </w:r>
      <w:r w:rsidR="008450ED">
        <w:t xml:space="preserve">, Jodie </w:t>
      </w:r>
      <w:proofErr w:type="spellStart"/>
      <w:r w:rsidR="008450ED">
        <w:t>Grigg</w:t>
      </w:r>
      <w:proofErr w:type="spellEnd"/>
      <w:r w:rsidR="008450ED">
        <w:t xml:space="preserve">, Cherie </w:t>
      </w:r>
      <w:proofErr w:type="spellStart"/>
      <w:r w:rsidR="008450ED">
        <w:t>Helibronn</w:t>
      </w:r>
      <w:proofErr w:type="spellEnd"/>
      <w:r w:rsidR="008450ED">
        <w:t xml:space="preserve">, </w:t>
      </w:r>
      <w:r w:rsidR="008450ED" w:rsidRPr="007C161F">
        <w:t>Barbara Hunter</w:t>
      </w:r>
      <w:r w:rsidR="008450ED">
        <w:t xml:space="preserve">, </w:t>
      </w:r>
      <w:proofErr w:type="spellStart"/>
      <w:r w:rsidR="008450ED">
        <w:t>Klaudia</w:t>
      </w:r>
      <w:proofErr w:type="spellEnd"/>
      <w:r w:rsidR="008450ED">
        <w:t xml:space="preserve"> Jones, Shraddha </w:t>
      </w:r>
      <w:proofErr w:type="spellStart"/>
      <w:r w:rsidR="008450ED">
        <w:t>Kashyap</w:t>
      </w:r>
      <w:proofErr w:type="spellEnd"/>
      <w:r w:rsidR="008450ED">
        <w:t xml:space="preserve">, </w:t>
      </w:r>
      <w:r w:rsidR="008450ED" w:rsidRPr="007C161F">
        <w:t xml:space="preserve">Jessica Killian, </w:t>
      </w:r>
      <w:proofErr w:type="spellStart"/>
      <w:r w:rsidR="008450ED">
        <w:t>Melaine</w:t>
      </w:r>
      <w:proofErr w:type="spellEnd"/>
      <w:r w:rsidR="008450ED">
        <w:t xml:space="preserve"> </w:t>
      </w:r>
      <w:proofErr w:type="spellStart"/>
      <w:r w:rsidR="008450ED">
        <w:t>McAleer</w:t>
      </w:r>
      <w:proofErr w:type="spellEnd"/>
      <w:r w:rsidR="008450ED">
        <w:t xml:space="preserve">, </w:t>
      </w:r>
      <w:r w:rsidR="008450ED" w:rsidRPr="007C161F">
        <w:t xml:space="preserve">Terence McCann, Vijay </w:t>
      </w:r>
      <w:proofErr w:type="spellStart"/>
      <w:r w:rsidR="008450ED" w:rsidRPr="007C161F">
        <w:t>Rawat</w:t>
      </w:r>
      <w:proofErr w:type="spellEnd"/>
      <w:r w:rsidR="008450ED" w:rsidRPr="007C161F" w:rsidDel="00FE19CC">
        <w:t xml:space="preserve"> </w:t>
      </w:r>
      <w:r w:rsidR="008450ED">
        <w:t xml:space="preserve">and Terry </w:t>
      </w:r>
      <w:proofErr w:type="spellStart"/>
      <w:r w:rsidR="008450ED">
        <w:t>Slomp</w:t>
      </w:r>
      <w:proofErr w:type="spellEnd"/>
      <w:r w:rsidR="008450ED" w:rsidRPr="007C161F">
        <w:t>.</w:t>
      </w:r>
      <w:r w:rsidR="002646C4">
        <w:rPr>
          <w:b/>
          <w:lang w:val="en-GB"/>
        </w:rPr>
        <w:t xml:space="preserve"> </w:t>
      </w:r>
    </w:p>
    <w:p w:rsidR="008A3649" w:rsidRPr="00A67E44" w:rsidRDefault="00045FA3" w:rsidP="00163BDB">
      <w:pPr>
        <w:pStyle w:val="Executive"/>
        <w:spacing w:before="0" w:after="200" w:line="240" w:lineRule="auto"/>
        <w:outlineLvl w:val="0"/>
        <w:rPr>
          <w:color w:val="auto"/>
          <w:lang w:val="en-GB"/>
        </w:rPr>
      </w:pPr>
      <w:r w:rsidRPr="00045FA3">
        <w:rPr>
          <w:lang w:val="en-GB"/>
        </w:rPr>
        <w:br w:type="page"/>
      </w:r>
      <w:bookmarkStart w:id="16" w:name="_Toc350884489"/>
      <w:bookmarkStart w:id="17" w:name="_Toc351536575"/>
      <w:bookmarkStart w:id="18" w:name="_Toc351622812"/>
      <w:bookmarkStart w:id="19" w:name="_Toc351622883"/>
      <w:bookmarkStart w:id="20" w:name="_Toc352002267"/>
      <w:bookmarkStart w:id="21" w:name="_Toc352168065"/>
      <w:bookmarkStart w:id="22" w:name="_Toc352844010"/>
      <w:bookmarkStart w:id="23" w:name="_Toc354593031"/>
      <w:bookmarkStart w:id="24" w:name="_Toc354732282"/>
      <w:bookmarkStart w:id="25" w:name="_Toc354734004"/>
      <w:bookmarkStart w:id="26" w:name="_Toc354734170"/>
      <w:bookmarkStart w:id="27" w:name="_Toc354734780"/>
      <w:bookmarkStart w:id="28" w:name="_Toc398105032"/>
      <w:r w:rsidRPr="00A67E44">
        <w:rPr>
          <w:color w:val="auto"/>
          <w:lang w:val="en-GB"/>
        </w:rPr>
        <w:lastRenderedPageBreak/>
        <w:t>Table of contents</w:t>
      </w:r>
      <w:bookmarkEnd w:id="16"/>
      <w:bookmarkEnd w:id="17"/>
      <w:bookmarkEnd w:id="18"/>
      <w:bookmarkEnd w:id="19"/>
      <w:bookmarkEnd w:id="20"/>
      <w:bookmarkEnd w:id="21"/>
      <w:bookmarkEnd w:id="22"/>
      <w:bookmarkEnd w:id="23"/>
      <w:bookmarkEnd w:id="24"/>
      <w:bookmarkEnd w:id="25"/>
      <w:bookmarkEnd w:id="26"/>
      <w:bookmarkEnd w:id="27"/>
      <w:bookmarkEnd w:id="28"/>
    </w:p>
    <w:p w:rsidR="00725504" w:rsidRDefault="00BE3D19">
      <w:pPr>
        <w:pStyle w:val="TOC1"/>
        <w:rPr>
          <w:rFonts w:asciiTheme="minorHAnsi" w:eastAsiaTheme="minorEastAsia" w:hAnsiTheme="minorHAnsi" w:cstheme="minorBidi"/>
          <w:b w:val="0"/>
          <w:lang w:eastAsia="en-AU"/>
        </w:rPr>
      </w:pPr>
      <w:r w:rsidRPr="00045FA3">
        <w:rPr>
          <w:lang w:val="en-GB"/>
        </w:rPr>
        <w:fldChar w:fldCharType="begin"/>
      </w:r>
      <w:r w:rsidR="00045FA3" w:rsidRPr="00045FA3">
        <w:rPr>
          <w:lang w:val="en-GB"/>
        </w:rPr>
        <w:instrText xml:space="preserve"> TOC \h \z \t "Heading 1,1,Heading 2,2,Heading 3,3,FARE_H1,1,Executive,1,FARE_H2 Nbr,2" </w:instrText>
      </w:r>
      <w:r w:rsidRPr="00045FA3">
        <w:rPr>
          <w:lang w:val="en-GB"/>
        </w:rPr>
        <w:fldChar w:fldCharType="separate"/>
      </w:r>
      <w:hyperlink w:anchor="_Toc398105031" w:history="1">
        <w:r w:rsidR="00725504" w:rsidRPr="00D22D3B">
          <w:rPr>
            <w:rStyle w:val="Hyperlink"/>
            <w:lang w:val="en-GB"/>
          </w:rPr>
          <w:t>Acknowledgements</w:t>
        </w:r>
        <w:r w:rsidR="00725504">
          <w:rPr>
            <w:webHidden/>
          </w:rPr>
          <w:tab/>
        </w:r>
        <w:r w:rsidR="00725504">
          <w:rPr>
            <w:webHidden/>
          </w:rPr>
          <w:fldChar w:fldCharType="begin"/>
        </w:r>
        <w:r w:rsidR="00725504">
          <w:rPr>
            <w:webHidden/>
          </w:rPr>
          <w:instrText xml:space="preserve"> PAGEREF _Toc398105031 \h </w:instrText>
        </w:r>
        <w:r w:rsidR="00725504">
          <w:rPr>
            <w:webHidden/>
          </w:rPr>
        </w:r>
        <w:r w:rsidR="00725504">
          <w:rPr>
            <w:webHidden/>
          </w:rPr>
          <w:fldChar w:fldCharType="separate"/>
        </w:r>
        <w:r w:rsidR="00E150CA">
          <w:rPr>
            <w:webHidden/>
          </w:rPr>
          <w:t>III</w:t>
        </w:r>
        <w:r w:rsidR="00725504">
          <w:rPr>
            <w:webHidden/>
          </w:rPr>
          <w:fldChar w:fldCharType="end"/>
        </w:r>
      </w:hyperlink>
    </w:p>
    <w:p w:rsidR="00725504" w:rsidRDefault="008A3260">
      <w:pPr>
        <w:pStyle w:val="TOC1"/>
        <w:rPr>
          <w:rFonts w:asciiTheme="minorHAnsi" w:eastAsiaTheme="minorEastAsia" w:hAnsiTheme="minorHAnsi" w:cstheme="minorBidi"/>
          <w:b w:val="0"/>
          <w:lang w:eastAsia="en-AU"/>
        </w:rPr>
      </w:pPr>
      <w:hyperlink w:anchor="_Toc398105032" w:history="1">
        <w:r w:rsidR="00725504" w:rsidRPr="00D22D3B">
          <w:rPr>
            <w:rStyle w:val="Hyperlink"/>
            <w:lang w:val="en-GB"/>
          </w:rPr>
          <w:t>Table of contents</w:t>
        </w:r>
        <w:r w:rsidR="00725504">
          <w:rPr>
            <w:webHidden/>
          </w:rPr>
          <w:tab/>
        </w:r>
        <w:r w:rsidR="00725504">
          <w:rPr>
            <w:webHidden/>
          </w:rPr>
          <w:fldChar w:fldCharType="begin"/>
        </w:r>
        <w:r w:rsidR="00725504">
          <w:rPr>
            <w:webHidden/>
          </w:rPr>
          <w:instrText xml:space="preserve"> PAGEREF _Toc398105032 \h </w:instrText>
        </w:r>
        <w:r w:rsidR="00725504">
          <w:rPr>
            <w:webHidden/>
          </w:rPr>
        </w:r>
        <w:r w:rsidR="00725504">
          <w:rPr>
            <w:webHidden/>
          </w:rPr>
          <w:fldChar w:fldCharType="separate"/>
        </w:r>
        <w:r w:rsidR="00E150CA">
          <w:rPr>
            <w:webHidden/>
          </w:rPr>
          <w:t>IV</w:t>
        </w:r>
        <w:r w:rsidR="00725504">
          <w:rPr>
            <w:webHidden/>
          </w:rPr>
          <w:fldChar w:fldCharType="end"/>
        </w:r>
      </w:hyperlink>
    </w:p>
    <w:p w:rsidR="00725504" w:rsidRDefault="008A3260">
      <w:pPr>
        <w:pStyle w:val="TOC1"/>
        <w:rPr>
          <w:rFonts w:asciiTheme="minorHAnsi" w:eastAsiaTheme="minorEastAsia" w:hAnsiTheme="minorHAnsi" w:cstheme="minorBidi"/>
          <w:b w:val="0"/>
          <w:lang w:eastAsia="en-AU"/>
        </w:rPr>
      </w:pPr>
      <w:hyperlink w:anchor="_Toc398105033" w:history="1">
        <w:r w:rsidR="00725504" w:rsidRPr="00D22D3B">
          <w:rPr>
            <w:rStyle w:val="Hyperlink"/>
            <w:lang w:val="en-GB"/>
          </w:rPr>
          <w:t>List of tables</w:t>
        </w:r>
        <w:r w:rsidR="00725504">
          <w:rPr>
            <w:webHidden/>
          </w:rPr>
          <w:tab/>
        </w:r>
        <w:r w:rsidR="00725504">
          <w:rPr>
            <w:webHidden/>
          </w:rPr>
          <w:fldChar w:fldCharType="begin"/>
        </w:r>
        <w:r w:rsidR="00725504">
          <w:rPr>
            <w:webHidden/>
          </w:rPr>
          <w:instrText xml:space="preserve"> PAGEREF _Toc398105033 \h </w:instrText>
        </w:r>
        <w:r w:rsidR="00725504">
          <w:rPr>
            <w:webHidden/>
          </w:rPr>
        </w:r>
        <w:r w:rsidR="00725504">
          <w:rPr>
            <w:webHidden/>
          </w:rPr>
          <w:fldChar w:fldCharType="separate"/>
        </w:r>
        <w:r w:rsidR="00E150CA">
          <w:rPr>
            <w:webHidden/>
          </w:rPr>
          <w:t>V</w:t>
        </w:r>
        <w:r w:rsidR="00725504">
          <w:rPr>
            <w:webHidden/>
          </w:rPr>
          <w:fldChar w:fldCharType="end"/>
        </w:r>
      </w:hyperlink>
    </w:p>
    <w:p w:rsidR="00725504" w:rsidRDefault="008A3260">
      <w:pPr>
        <w:pStyle w:val="TOC1"/>
        <w:rPr>
          <w:rFonts w:asciiTheme="minorHAnsi" w:eastAsiaTheme="minorEastAsia" w:hAnsiTheme="minorHAnsi" w:cstheme="minorBidi"/>
          <w:b w:val="0"/>
          <w:lang w:eastAsia="en-AU"/>
        </w:rPr>
      </w:pPr>
      <w:hyperlink w:anchor="_Toc398105034" w:history="1">
        <w:r w:rsidR="00725504" w:rsidRPr="00D22D3B">
          <w:rPr>
            <w:rStyle w:val="Hyperlink"/>
            <w:lang w:val="en-GB"/>
          </w:rPr>
          <w:t>List of figures</w:t>
        </w:r>
        <w:r w:rsidR="00725504">
          <w:rPr>
            <w:webHidden/>
          </w:rPr>
          <w:tab/>
        </w:r>
        <w:r w:rsidR="00725504">
          <w:rPr>
            <w:webHidden/>
          </w:rPr>
          <w:fldChar w:fldCharType="begin"/>
        </w:r>
        <w:r w:rsidR="00725504">
          <w:rPr>
            <w:webHidden/>
          </w:rPr>
          <w:instrText xml:space="preserve"> PAGEREF _Toc398105034 \h </w:instrText>
        </w:r>
        <w:r w:rsidR="00725504">
          <w:rPr>
            <w:webHidden/>
          </w:rPr>
        </w:r>
        <w:r w:rsidR="00725504">
          <w:rPr>
            <w:webHidden/>
          </w:rPr>
          <w:fldChar w:fldCharType="separate"/>
        </w:r>
        <w:r w:rsidR="00E150CA">
          <w:rPr>
            <w:webHidden/>
          </w:rPr>
          <w:t>VIII</w:t>
        </w:r>
        <w:r w:rsidR="00725504">
          <w:rPr>
            <w:webHidden/>
          </w:rPr>
          <w:fldChar w:fldCharType="end"/>
        </w:r>
      </w:hyperlink>
    </w:p>
    <w:p w:rsidR="00725504" w:rsidRDefault="008A3260">
      <w:pPr>
        <w:pStyle w:val="TOC1"/>
        <w:rPr>
          <w:rFonts w:asciiTheme="minorHAnsi" w:eastAsiaTheme="minorEastAsia" w:hAnsiTheme="minorHAnsi" w:cstheme="minorBidi"/>
          <w:b w:val="0"/>
          <w:lang w:eastAsia="en-AU"/>
        </w:rPr>
      </w:pPr>
      <w:hyperlink w:anchor="_Toc398105035" w:history="1">
        <w:r w:rsidR="00725504" w:rsidRPr="00D22D3B">
          <w:rPr>
            <w:rStyle w:val="Hyperlink"/>
            <w:lang w:val="en-GB"/>
          </w:rPr>
          <w:t>List of acronyms</w:t>
        </w:r>
        <w:r w:rsidR="00725504">
          <w:rPr>
            <w:webHidden/>
          </w:rPr>
          <w:tab/>
        </w:r>
        <w:r w:rsidR="00725504">
          <w:rPr>
            <w:webHidden/>
          </w:rPr>
          <w:fldChar w:fldCharType="begin"/>
        </w:r>
        <w:r w:rsidR="00725504">
          <w:rPr>
            <w:webHidden/>
          </w:rPr>
          <w:instrText xml:space="preserve"> PAGEREF _Toc398105035 \h </w:instrText>
        </w:r>
        <w:r w:rsidR="00725504">
          <w:rPr>
            <w:webHidden/>
          </w:rPr>
        </w:r>
        <w:r w:rsidR="00725504">
          <w:rPr>
            <w:webHidden/>
          </w:rPr>
          <w:fldChar w:fldCharType="separate"/>
        </w:r>
        <w:r w:rsidR="00E150CA">
          <w:rPr>
            <w:webHidden/>
          </w:rPr>
          <w:t>IX</w:t>
        </w:r>
        <w:r w:rsidR="00725504">
          <w:rPr>
            <w:webHidden/>
          </w:rPr>
          <w:fldChar w:fldCharType="end"/>
        </w:r>
      </w:hyperlink>
    </w:p>
    <w:p w:rsidR="00725504" w:rsidRDefault="008A3260">
      <w:pPr>
        <w:pStyle w:val="TOC1"/>
        <w:rPr>
          <w:rFonts w:asciiTheme="minorHAnsi" w:eastAsiaTheme="minorEastAsia" w:hAnsiTheme="minorHAnsi" w:cstheme="minorBidi"/>
          <w:b w:val="0"/>
          <w:lang w:eastAsia="en-AU"/>
        </w:rPr>
      </w:pPr>
      <w:hyperlink w:anchor="_Toc398105036" w:history="1">
        <w:r w:rsidR="00725504" w:rsidRPr="00D22D3B">
          <w:rPr>
            <w:rStyle w:val="Hyperlink"/>
            <w:lang w:val="en-GB"/>
          </w:rPr>
          <w:t>Executive summary</w:t>
        </w:r>
        <w:r w:rsidR="00725504">
          <w:rPr>
            <w:webHidden/>
          </w:rPr>
          <w:tab/>
        </w:r>
        <w:r w:rsidR="00725504">
          <w:rPr>
            <w:webHidden/>
          </w:rPr>
          <w:fldChar w:fldCharType="begin"/>
        </w:r>
        <w:r w:rsidR="00725504">
          <w:rPr>
            <w:webHidden/>
          </w:rPr>
          <w:instrText xml:space="preserve"> PAGEREF _Toc398105036 \h </w:instrText>
        </w:r>
        <w:r w:rsidR="00725504">
          <w:rPr>
            <w:webHidden/>
          </w:rPr>
        </w:r>
        <w:r w:rsidR="00725504">
          <w:rPr>
            <w:webHidden/>
          </w:rPr>
          <w:fldChar w:fldCharType="separate"/>
        </w:r>
        <w:r w:rsidR="00E150CA">
          <w:rPr>
            <w:webHidden/>
          </w:rPr>
          <w:t>X</w:t>
        </w:r>
        <w:r w:rsidR="00725504">
          <w:rPr>
            <w:webHidden/>
          </w:rPr>
          <w:fldChar w:fldCharType="end"/>
        </w:r>
      </w:hyperlink>
    </w:p>
    <w:p w:rsidR="00725504" w:rsidRDefault="008A3260">
      <w:pPr>
        <w:pStyle w:val="TOC1"/>
        <w:tabs>
          <w:tab w:val="left" w:pos="440"/>
        </w:tabs>
        <w:rPr>
          <w:rFonts w:asciiTheme="minorHAnsi" w:eastAsiaTheme="minorEastAsia" w:hAnsiTheme="minorHAnsi" w:cstheme="minorBidi"/>
          <w:b w:val="0"/>
          <w:lang w:eastAsia="en-AU"/>
        </w:rPr>
      </w:pPr>
      <w:hyperlink w:anchor="_Toc398105037" w:history="1">
        <w:r w:rsidR="00725504" w:rsidRPr="00D22D3B">
          <w:rPr>
            <w:rStyle w:val="Hyperlink"/>
          </w:rPr>
          <w:t>1.</w:t>
        </w:r>
        <w:r w:rsidR="00725504">
          <w:rPr>
            <w:rFonts w:asciiTheme="minorHAnsi" w:eastAsiaTheme="minorEastAsia" w:hAnsiTheme="minorHAnsi" w:cstheme="minorBidi"/>
            <w:b w:val="0"/>
            <w:lang w:eastAsia="en-AU"/>
          </w:rPr>
          <w:tab/>
        </w:r>
        <w:r w:rsidR="00725504" w:rsidRPr="00D22D3B">
          <w:rPr>
            <w:rStyle w:val="Hyperlink"/>
          </w:rPr>
          <w:t>Introduction and overview</w:t>
        </w:r>
        <w:r w:rsidR="00725504">
          <w:rPr>
            <w:webHidden/>
          </w:rPr>
          <w:tab/>
        </w:r>
        <w:r w:rsidR="00725504">
          <w:rPr>
            <w:webHidden/>
          </w:rPr>
          <w:fldChar w:fldCharType="begin"/>
        </w:r>
        <w:r w:rsidR="00725504">
          <w:rPr>
            <w:webHidden/>
          </w:rPr>
          <w:instrText xml:space="preserve"> PAGEREF _Toc398105037 \h </w:instrText>
        </w:r>
        <w:r w:rsidR="00725504">
          <w:rPr>
            <w:webHidden/>
          </w:rPr>
        </w:r>
        <w:r w:rsidR="00725504">
          <w:rPr>
            <w:webHidden/>
          </w:rPr>
          <w:fldChar w:fldCharType="separate"/>
        </w:r>
        <w:r w:rsidR="00E150CA">
          <w:rPr>
            <w:webHidden/>
          </w:rPr>
          <w:t>1</w:t>
        </w:r>
        <w:r w:rsidR="00725504">
          <w:rPr>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38" w:history="1">
        <w:r w:rsidR="00725504" w:rsidRPr="00D22D3B">
          <w:rPr>
            <w:rStyle w:val="Hyperlink"/>
            <w:noProof/>
          </w:rPr>
          <w:t>1.1 Study rationale</w:t>
        </w:r>
        <w:r w:rsidR="00725504">
          <w:rPr>
            <w:noProof/>
            <w:webHidden/>
          </w:rPr>
          <w:tab/>
        </w:r>
        <w:r w:rsidR="00725504">
          <w:rPr>
            <w:noProof/>
            <w:webHidden/>
          </w:rPr>
          <w:fldChar w:fldCharType="begin"/>
        </w:r>
        <w:r w:rsidR="00725504">
          <w:rPr>
            <w:noProof/>
            <w:webHidden/>
          </w:rPr>
          <w:instrText xml:space="preserve"> PAGEREF _Toc398105038 \h </w:instrText>
        </w:r>
        <w:r w:rsidR="00725504">
          <w:rPr>
            <w:noProof/>
            <w:webHidden/>
          </w:rPr>
        </w:r>
        <w:r w:rsidR="00725504">
          <w:rPr>
            <w:noProof/>
            <w:webHidden/>
          </w:rPr>
          <w:fldChar w:fldCharType="separate"/>
        </w:r>
        <w:r w:rsidR="00E150CA">
          <w:rPr>
            <w:noProof/>
            <w:webHidden/>
          </w:rPr>
          <w:t>8</w:t>
        </w:r>
        <w:r w:rsidR="00725504">
          <w:rPr>
            <w:noProof/>
            <w:webHidden/>
          </w:rPr>
          <w:fldChar w:fldCharType="end"/>
        </w:r>
      </w:hyperlink>
    </w:p>
    <w:p w:rsidR="00725504" w:rsidRDefault="008A3260">
      <w:pPr>
        <w:pStyle w:val="TOC1"/>
        <w:tabs>
          <w:tab w:val="left" w:pos="440"/>
        </w:tabs>
        <w:rPr>
          <w:rFonts w:asciiTheme="minorHAnsi" w:eastAsiaTheme="minorEastAsia" w:hAnsiTheme="minorHAnsi" w:cstheme="minorBidi"/>
          <w:b w:val="0"/>
          <w:lang w:eastAsia="en-AU"/>
        </w:rPr>
      </w:pPr>
      <w:hyperlink w:anchor="_Toc398105039" w:history="1">
        <w:r w:rsidR="00725504" w:rsidRPr="00D22D3B">
          <w:rPr>
            <w:rStyle w:val="Hyperlink"/>
          </w:rPr>
          <w:t>2.</w:t>
        </w:r>
        <w:r w:rsidR="00725504">
          <w:rPr>
            <w:rFonts w:asciiTheme="minorHAnsi" w:eastAsiaTheme="minorEastAsia" w:hAnsiTheme="minorHAnsi" w:cstheme="minorBidi"/>
            <w:b w:val="0"/>
            <w:lang w:eastAsia="en-AU"/>
          </w:rPr>
          <w:tab/>
        </w:r>
        <w:r w:rsidR="00725504" w:rsidRPr="00D22D3B">
          <w:rPr>
            <w:rStyle w:val="Hyperlink"/>
          </w:rPr>
          <w:t>System description</w:t>
        </w:r>
        <w:r w:rsidR="00725504">
          <w:rPr>
            <w:webHidden/>
          </w:rPr>
          <w:tab/>
        </w:r>
        <w:r w:rsidR="00725504">
          <w:rPr>
            <w:webHidden/>
          </w:rPr>
          <w:fldChar w:fldCharType="begin"/>
        </w:r>
        <w:r w:rsidR="00725504">
          <w:rPr>
            <w:webHidden/>
          </w:rPr>
          <w:instrText xml:space="preserve"> PAGEREF _Toc398105039 \h </w:instrText>
        </w:r>
        <w:r w:rsidR="00725504">
          <w:rPr>
            <w:webHidden/>
          </w:rPr>
        </w:r>
        <w:r w:rsidR="00725504">
          <w:rPr>
            <w:webHidden/>
          </w:rPr>
          <w:fldChar w:fldCharType="separate"/>
        </w:r>
        <w:r w:rsidR="00E150CA">
          <w:rPr>
            <w:webHidden/>
          </w:rPr>
          <w:t>13</w:t>
        </w:r>
        <w:r w:rsidR="00725504">
          <w:rPr>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40" w:history="1">
        <w:r w:rsidR="00725504" w:rsidRPr="00D22D3B">
          <w:rPr>
            <w:rStyle w:val="Hyperlink"/>
            <w:noProof/>
          </w:rPr>
          <w:t>2.1 Method</w:t>
        </w:r>
        <w:r w:rsidR="00725504">
          <w:rPr>
            <w:noProof/>
            <w:webHidden/>
          </w:rPr>
          <w:tab/>
        </w:r>
        <w:r w:rsidR="00725504">
          <w:rPr>
            <w:noProof/>
            <w:webHidden/>
          </w:rPr>
          <w:fldChar w:fldCharType="begin"/>
        </w:r>
        <w:r w:rsidR="00725504">
          <w:rPr>
            <w:noProof/>
            <w:webHidden/>
          </w:rPr>
          <w:instrText xml:space="preserve"> PAGEREF _Toc398105040 \h </w:instrText>
        </w:r>
        <w:r w:rsidR="00725504">
          <w:rPr>
            <w:noProof/>
            <w:webHidden/>
          </w:rPr>
        </w:r>
        <w:r w:rsidR="00725504">
          <w:rPr>
            <w:noProof/>
            <w:webHidden/>
          </w:rPr>
          <w:fldChar w:fldCharType="separate"/>
        </w:r>
        <w:r w:rsidR="00E150CA">
          <w:rPr>
            <w:noProof/>
            <w:webHidden/>
          </w:rPr>
          <w:t>13</w:t>
        </w:r>
        <w:r w:rsidR="00725504">
          <w:rPr>
            <w:noProof/>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41" w:history="1">
        <w:r w:rsidR="00725504" w:rsidRPr="00D22D3B">
          <w:rPr>
            <w:rStyle w:val="Hyperlink"/>
            <w:noProof/>
          </w:rPr>
          <w:t>2.2 System values and principles</w:t>
        </w:r>
        <w:r w:rsidR="00725504">
          <w:rPr>
            <w:noProof/>
            <w:webHidden/>
          </w:rPr>
          <w:tab/>
        </w:r>
        <w:r w:rsidR="00725504">
          <w:rPr>
            <w:noProof/>
            <w:webHidden/>
          </w:rPr>
          <w:fldChar w:fldCharType="begin"/>
        </w:r>
        <w:r w:rsidR="00725504">
          <w:rPr>
            <w:noProof/>
            <w:webHidden/>
          </w:rPr>
          <w:instrText xml:space="preserve"> PAGEREF _Toc398105041 \h </w:instrText>
        </w:r>
        <w:r w:rsidR="00725504">
          <w:rPr>
            <w:noProof/>
            <w:webHidden/>
          </w:rPr>
        </w:r>
        <w:r w:rsidR="00725504">
          <w:rPr>
            <w:noProof/>
            <w:webHidden/>
          </w:rPr>
          <w:fldChar w:fldCharType="separate"/>
        </w:r>
        <w:r w:rsidR="00E150CA">
          <w:rPr>
            <w:noProof/>
            <w:webHidden/>
          </w:rPr>
          <w:t>15</w:t>
        </w:r>
        <w:r w:rsidR="00725504">
          <w:rPr>
            <w:noProof/>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42" w:history="1">
        <w:r w:rsidR="00725504" w:rsidRPr="00D22D3B">
          <w:rPr>
            <w:rStyle w:val="Hyperlink"/>
            <w:noProof/>
          </w:rPr>
          <w:t>2.3 Summary</w:t>
        </w:r>
        <w:r w:rsidR="00725504">
          <w:rPr>
            <w:noProof/>
            <w:webHidden/>
          </w:rPr>
          <w:tab/>
        </w:r>
        <w:r w:rsidR="00725504">
          <w:rPr>
            <w:noProof/>
            <w:webHidden/>
          </w:rPr>
          <w:fldChar w:fldCharType="begin"/>
        </w:r>
        <w:r w:rsidR="00725504">
          <w:rPr>
            <w:noProof/>
            <w:webHidden/>
          </w:rPr>
          <w:instrText xml:space="preserve"> PAGEREF _Toc398105042 \h </w:instrText>
        </w:r>
        <w:r w:rsidR="00725504">
          <w:rPr>
            <w:noProof/>
            <w:webHidden/>
          </w:rPr>
        </w:r>
        <w:r w:rsidR="00725504">
          <w:rPr>
            <w:noProof/>
            <w:webHidden/>
          </w:rPr>
          <w:fldChar w:fldCharType="separate"/>
        </w:r>
        <w:r w:rsidR="00E150CA">
          <w:rPr>
            <w:noProof/>
            <w:webHidden/>
          </w:rPr>
          <w:t>20</w:t>
        </w:r>
        <w:r w:rsidR="00725504">
          <w:rPr>
            <w:noProof/>
            <w:webHidden/>
          </w:rPr>
          <w:fldChar w:fldCharType="end"/>
        </w:r>
      </w:hyperlink>
    </w:p>
    <w:p w:rsidR="00725504" w:rsidRDefault="008A3260">
      <w:pPr>
        <w:pStyle w:val="TOC1"/>
        <w:tabs>
          <w:tab w:val="left" w:pos="440"/>
        </w:tabs>
        <w:rPr>
          <w:rFonts w:asciiTheme="minorHAnsi" w:eastAsiaTheme="minorEastAsia" w:hAnsiTheme="minorHAnsi" w:cstheme="minorBidi"/>
          <w:b w:val="0"/>
          <w:lang w:eastAsia="en-AU"/>
        </w:rPr>
      </w:pPr>
      <w:hyperlink w:anchor="_Toc398105043" w:history="1">
        <w:r w:rsidR="00725504" w:rsidRPr="00D22D3B">
          <w:rPr>
            <w:rStyle w:val="Hyperlink"/>
          </w:rPr>
          <w:t>3.</w:t>
        </w:r>
        <w:r w:rsidR="00725504">
          <w:rPr>
            <w:rFonts w:asciiTheme="minorHAnsi" w:eastAsiaTheme="minorEastAsia" w:hAnsiTheme="minorHAnsi" w:cstheme="minorBidi"/>
            <w:b w:val="0"/>
            <w:lang w:eastAsia="en-AU"/>
          </w:rPr>
          <w:tab/>
        </w:r>
        <w:r w:rsidR="00725504" w:rsidRPr="00D22D3B">
          <w:rPr>
            <w:rStyle w:val="Hyperlink"/>
          </w:rPr>
          <w:t>Client survey data: baseline and follow-up</w:t>
        </w:r>
        <w:r w:rsidR="00725504">
          <w:rPr>
            <w:webHidden/>
          </w:rPr>
          <w:tab/>
        </w:r>
        <w:r w:rsidR="00725504">
          <w:rPr>
            <w:webHidden/>
          </w:rPr>
          <w:fldChar w:fldCharType="begin"/>
        </w:r>
        <w:r w:rsidR="00725504">
          <w:rPr>
            <w:webHidden/>
          </w:rPr>
          <w:instrText xml:space="preserve"> PAGEREF _Toc398105043 \h </w:instrText>
        </w:r>
        <w:r w:rsidR="00725504">
          <w:rPr>
            <w:webHidden/>
          </w:rPr>
        </w:r>
        <w:r w:rsidR="00725504">
          <w:rPr>
            <w:webHidden/>
          </w:rPr>
          <w:fldChar w:fldCharType="separate"/>
        </w:r>
        <w:r w:rsidR="00E150CA">
          <w:rPr>
            <w:webHidden/>
          </w:rPr>
          <w:t>22</w:t>
        </w:r>
        <w:r w:rsidR="00725504">
          <w:rPr>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44" w:history="1">
        <w:r w:rsidR="00725504" w:rsidRPr="00D22D3B">
          <w:rPr>
            <w:rStyle w:val="Hyperlink"/>
            <w:noProof/>
          </w:rPr>
          <w:t>3.1 Methods</w:t>
        </w:r>
        <w:r w:rsidR="00725504">
          <w:rPr>
            <w:noProof/>
            <w:webHidden/>
          </w:rPr>
          <w:tab/>
        </w:r>
        <w:r w:rsidR="00725504">
          <w:rPr>
            <w:noProof/>
            <w:webHidden/>
          </w:rPr>
          <w:fldChar w:fldCharType="begin"/>
        </w:r>
        <w:r w:rsidR="00725504">
          <w:rPr>
            <w:noProof/>
            <w:webHidden/>
          </w:rPr>
          <w:instrText xml:space="preserve"> PAGEREF _Toc398105044 \h </w:instrText>
        </w:r>
        <w:r w:rsidR="00725504">
          <w:rPr>
            <w:noProof/>
            <w:webHidden/>
          </w:rPr>
        </w:r>
        <w:r w:rsidR="00725504">
          <w:rPr>
            <w:noProof/>
            <w:webHidden/>
          </w:rPr>
          <w:fldChar w:fldCharType="separate"/>
        </w:r>
        <w:r w:rsidR="00E150CA">
          <w:rPr>
            <w:noProof/>
            <w:webHidden/>
          </w:rPr>
          <w:t>22</w:t>
        </w:r>
        <w:r w:rsidR="00725504">
          <w:rPr>
            <w:noProof/>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45" w:history="1">
        <w:r w:rsidR="00725504" w:rsidRPr="00D22D3B">
          <w:rPr>
            <w:rStyle w:val="Hyperlink"/>
            <w:noProof/>
          </w:rPr>
          <w:t>3.2 Baseline results</w:t>
        </w:r>
        <w:r w:rsidR="00725504">
          <w:rPr>
            <w:noProof/>
            <w:webHidden/>
          </w:rPr>
          <w:tab/>
        </w:r>
        <w:r w:rsidR="00725504">
          <w:rPr>
            <w:noProof/>
            <w:webHidden/>
          </w:rPr>
          <w:fldChar w:fldCharType="begin"/>
        </w:r>
        <w:r w:rsidR="00725504">
          <w:rPr>
            <w:noProof/>
            <w:webHidden/>
          </w:rPr>
          <w:instrText xml:space="preserve"> PAGEREF _Toc398105045 \h </w:instrText>
        </w:r>
        <w:r w:rsidR="00725504">
          <w:rPr>
            <w:noProof/>
            <w:webHidden/>
          </w:rPr>
        </w:r>
        <w:r w:rsidR="00725504">
          <w:rPr>
            <w:noProof/>
            <w:webHidden/>
          </w:rPr>
          <w:fldChar w:fldCharType="separate"/>
        </w:r>
        <w:r w:rsidR="00E150CA">
          <w:rPr>
            <w:noProof/>
            <w:webHidden/>
          </w:rPr>
          <w:t>30</w:t>
        </w:r>
        <w:r w:rsidR="00725504">
          <w:rPr>
            <w:noProof/>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46" w:history="1">
        <w:r w:rsidR="00725504" w:rsidRPr="00D22D3B">
          <w:rPr>
            <w:rStyle w:val="Hyperlink"/>
            <w:noProof/>
          </w:rPr>
          <w:t>3.3 Follow-up</w:t>
        </w:r>
        <w:r w:rsidR="00725504">
          <w:rPr>
            <w:noProof/>
            <w:webHidden/>
          </w:rPr>
          <w:tab/>
        </w:r>
        <w:r w:rsidR="00725504">
          <w:rPr>
            <w:noProof/>
            <w:webHidden/>
          </w:rPr>
          <w:fldChar w:fldCharType="begin"/>
        </w:r>
        <w:r w:rsidR="00725504">
          <w:rPr>
            <w:noProof/>
            <w:webHidden/>
          </w:rPr>
          <w:instrText xml:space="preserve"> PAGEREF _Toc398105046 \h </w:instrText>
        </w:r>
        <w:r w:rsidR="00725504">
          <w:rPr>
            <w:noProof/>
            <w:webHidden/>
          </w:rPr>
        </w:r>
        <w:r w:rsidR="00725504">
          <w:rPr>
            <w:noProof/>
            <w:webHidden/>
          </w:rPr>
          <w:fldChar w:fldCharType="separate"/>
        </w:r>
        <w:r w:rsidR="00E150CA">
          <w:rPr>
            <w:noProof/>
            <w:webHidden/>
          </w:rPr>
          <w:t>40</w:t>
        </w:r>
        <w:r w:rsidR="00725504">
          <w:rPr>
            <w:noProof/>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47" w:history="1">
        <w:r w:rsidR="00725504" w:rsidRPr="00D22D3B">
          <w:rPr>
            <w:rStyle w:val="Hyperlink"/>
            <w:noProof/>
          </w:rPr>
          <w:t>3.4 Qualitative findings</w:t>
        </w:r>
        <w:r w:rsidR="00725504">
          <w:rPr>
            <w:noProof/>
            <w:webHidden/>
          </w:rPr>
          <w:tab/>
        </w:r>
        <w:r w:rsidR="00725504">
          <w:rPr>
            <w:noProof/>
            <w:webHidden/>
          </w:rPr>
          <w:fldChar w:fldCharType="begin"/>
        </w:r>
        <w:r w:rsidR="00725504">
          <w:rPr>
            <w:noProof/>
            <w:webHidden/>
          </w:rPr>
          <w:instrText xml:space="preserve"> PAGEREF _Toc398105047 \h </w:instrText>
        </w:r>
        <w:r w:rsidR="00725504">
          <w:rPr>
            <w:noProof/>
            <w:webHidden/>
          </w:rPr>
        </w:r>
        <w:r w:rsidR="00725504">
          <w:rPr>
            <w:noProof/>
            <w:webHidden/>
          </w:rPr>
          <w:fldChar w:fldCharType="separate"/>
        </w:r>
        <w:r w:rsidR="00E150CA">
          <w:rPr>
            <w:noProof/>
            <w:webHidden/>
          </w:rPr>
          <w:t>62</w:t>
        </w:r>
        <w:r w:rsidR="00725504">
          <w:rPr>
            <w:noProof/>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48" w:history="1">
        <w:r w:rsidR="00725504" w:rsidRPr="00D22D3B">
          <w:rPr>
            <w:rStyle w:val="Hyperlink"/>
            <w:noProof/>
          </w:rPr>
          <w:t>3.5 Entry into PIT and the experience of treatment</w:t>
        </w:r>
        <w:r w:rsidR="00725504">
          <w:rPr>
            <w:noProof/>
            <w:webHidden/>
          </w:rPr>
          <w:tab/>
        </w:r>
        <w:r w:rsidR="00725504">
          <w:rPr>
            <w:noProof/>
            <w:webHidden/>
          </w:rPr>
          <w:fldChar w:fldCharType="begin"/>
        </w:r>
        <w:r w:rsidR="00725504">
          <w:rPr>
            <w:noProof/>
            <w:webHidden/>
          </w:rPr>
          <w:instrText xml:space="preserve"> PAGEREF _Toc398105048 \h </w:instrText>
        </w:r>
        <w:r w:rsidR="00725504">
          <w:rPr>
            <w:noProof/>
            <w:webHidden/>
          </w:rPr>
        </w:r>
        <w:r w:rsidR="00725504">
          <w:rPr>
            <w:noProof/>
            <w:webHidden/>
          </w:rPr>
          <w:fldChar w:fldCharType="separate"/>
        </w:r>
        <w:r w:rsidR="00E150CA">
          <w:rPr>
            <w:noProof/>
            <w:webHidden/>
          </w:rPr>
          <w:t>63</w:t>
        </w:r>
        <w:r w:rsidR="00725504">
          <w:rPr>
            <w:noProof/>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49" w:history="1">
        <w:r w:rsidR="00725504" w:rsidRPr="00D22D3B">
          <w:rPr>
            <w:rStyle w:val="Hyperlink"/>
            <w:noProof/>
          </w:rPr>
          <w:t>Continuity of care</w:t>
        </w:r>
        <w:r w:rsidR="00725504">
          <w:rPr>
            <w:noProof/>
            <w:webHidden/>
          </w:rPr>
          <w:tab/>
        </w:r>
        <w:r w:rsidR="00725504">
          <w:rPr>
            <w:noProof/>
            <w:webHidden/>
          </w:rPr>
          <w:fldChar w:fldCharType="begin"/>
        </w:r>
        <w:r w:rsidR="00725504">
          <w:rPr>
            <w:noProof/>
            <w:webHidden/>
          </w:rPr>
          <w:instrText xml:space="preserve"> PAGEREF _Toc398105049 \h </w:instrText>
        </w:r>
        <w:r w:rsidR="00725504">
          <w:rPr>
            <w:noProof/>
            <w:webHidden/>
          </w:rPr>
        </w:r>
        <w:r w:rsidR="00725504">
          <w:rPr>
            <w:noProof/>
            <w:webHidden/>
          </w:rPr>
          <w:fldChar w:fldCharType="separate"/>
        </w:r>
        <w:r w:rsidR="00E150CA">
          <w:rPr>
            <w:noProof/>
            <w:webHidden/>
          </w:rPr>
          <w:t>69</w:t>
        </w:r>
        <w:r w:rsidR="00725504">
          <w:rPr>
            <w:noProof/>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50" w:history="1">
        <w:r w:rsidR="00725504" w:rsidRPr="00D22D3B">
          <w:rPr>
            <w:rStyle w:val="Hyperlink"/>
            <w:noProof/>
          </w:rPr>
          <w:t>Treatment barriers</w:t>
        </w:r>
        <w:r w:rsidR="00725504">
          <w:rPr>
            <w:noProof/>
            <w:webHidden/>
          </w:rPr>
          <w:tab/>
        </w:r>
        <w:r w:rsidR="00725504">
          <w:rPr>
            <w:noProof/>
            <w:webHidden/>
          </w:rPr>
          <w:fldChar w:fldCharType="begin"/>
        </w:r>
        <w:r w:rsidR="00725504">
          <w:rPr>
            <w:noProof/>
            <w:webHidden/>
          </w:rPr>
          <w:instrText xml:space="preserve"> PAGEREF _Toc398105050 \h </w:instrText>
        </w:r>
        <w:r w:rsidR="00725504">
          <w:rPr>
            <w:noProof/>
            <w:webHidden/>
          </w:rPr>
        </w:r>
        <w:r w:rsidR="00725504">
          <w:rPr>
            <w:noProof/>
            <w:webHidden/>
          </w:rPr>
          <w:fldChar w:fldCharType="separate"/>
        </w:r>
        <w:r w:rsidR="00E150CA">
          <w:rPr>
            <w:noProof/>
            <w:webHidden/>
          </w:rPr>
          <w:t>74</w:t>
        </w:r>
        <w:r w:rsidR="00725504">
          <w:rPr>
            <w:noProof/>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51" w:history="1">
        <w:r w:rsidR="00725504" w:rsidRPr="00D22D3B">
          <w:rPr>
            <w:rStyle w:val="Hyperlink"/>
            <w:noProof/>
          </w:rPr>
          <w:t>Areas for improvement</w:t>
        </w:r>
        <w:r w:rsidR="00725504">
          <w:rPr>
            <w:noProof/>
            <w:webHidden/>
          </w:rPr>
          <w:tab/>
        </w:r>
        <w:r w:rsidR="00725504">
          <w:rPr>
            <w:noProof/>
            <w:webHidden/>
          </w:rPr>
          <w:fldChar w:fldCharType="begin"/>
        </w:r>
        <w:r w:rsidR="00725504">
          <w:rPr>
            <w:noProof/>
            <w:webHidden/>
          </w:rPr>
          <w:instrText xml:space="preserve"> PAGEREF _Toc398105051 \h </w:instrText>
        </w:r>
        <w:r w:rsidR="00725504">
          <w:rPr>
            <w:noProof/>
            <w:webHidden/>
          </w:rPr>
        </w:r>
        <w:r w:rsidR="00725504">
          <w:rPr>
            <w:noProof/>
            <w:webHidden/>
          </w:rPr>
          <w:fldChar w:fldCharType="separate"/>
        </w:r>
        <w:r w:rsidR="00E150CA">
          <w:rPr>
            <w:noProof/>
            <w:webHidden/>
          </w:rPr>
          <w:t>77</w:t>
        </w:r>
        <w:r w:rsidR="00725504">
          <w:rPr>
            <w:noProof/>
            <w:webHidden/>
          </w:rPr>
          <w:fldChar w:fldCharType="end"/>
        </w:r>
      </w:hyperlink>
    </w:p>
    <w:p w:rsidR="00725504" w:rsidRDefault="008A3260">
      <w:pPr>
        <w:pStyle w:val="TOC1"/>
        <w:tabs>
          <w:tab w:val="left" w:pos="440"/>
        </w:tabs>
        <w:rPr>
          <w:rFonts w:asciiTheme="minorHAnsi" w:eastAsiaTheme="minorEastAsia" w:hAnsiTheme="minorHAnsi" w:cstheme="minorBidi"/>
          <w:b w:val="0"/>
          <w:lang w:eastAsia="en-AU"/>
        </w:rPr>
      </w:pPr>
      <w:hyperlink w:anchor="_Toc398105052" w:history="1">
        <w:r w:rsidR="00725504" w:rsidRPr="00D22D3B">
          <w:rPr>
            <w:rStyle w:val="Hyperlink"/>
          </w:rPr>
          <w:t>4.</w:t>
        </w:r>
        <w:r w:rsidR="00725504">
          <w:rPr>
            <w:rFonts w:asciiTheme="minorHAnsi" w:eastAsiaTheme="minorEastAsia" w:hAnsiTheme="minorHAnsi" w:cstheme="minorBidi"/>
            <w:b w:val="0"/>
            <w:lang w:eastAsia="en-AU"/>
          </w:rPr>
          <w:tab/>
        </w:r>
        <w:r w:rsidR="00725504" w:rsidRPr="00D22D3B">
          <w:rPr>
            <w:rStyle w:val="Hyperlink"/>
          </w:rPr>
          <w:t>Patient Pathways Priority 2a: Data linkage</w:t>
        </w:r>
        <w:r w:rsidR="00725504">
          <w:rPr>
            <w:webHidden/>
          </w:rPr>
          <w:tab/>
        </w:r>
        <w:r w:rsidR="00725504">
          <w:rPr>
            <w:webHidden/>
          </w:rPr>
          <w:fldChar w:fldCharType="begin"/>
        </w:r>
        <w:r w:rsidR="00725504">
          <w:rPr>
            <w:webHidden/>
          </w:rPr>
          <w:instrText xml:space="preserve"> PAGEREF _Toc398105052 \h </w:instrText>
        </w:r>
        <w:r w:rsidR="00725504">
          <w:rPr>
            <w:webHidden/>
          </w:rPr>
        </w:r>
        <w:r w:rsidR="00725504">
          <w:rPr>
            <w:webHidden/>
          </w:rPr>
          <w:fldChar w:fldCharType="separate"/>
        </w:r>
        <w:r w:rsidR="00E150CA">
          <w:rPr>
            <w:webHidden/>
          </w:rPr>
          <w:t>80</w:t>
        </w:r>
        <w:r w:rsidR="00725504">
          <w:rPr>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53" w:history="1">
        <w:r w:rsidR="00725504" w:rsidRPr="00D22D3B">
          <w:rPr>
            <w:rStyle w:val="Hyperlink"/>
            <w:noProof/>
          </w:rPr>
          <w:t>4.1 Introduction</w:t>
        </w:r>
        <w:r w:rsidR="00725504">
          <w:rPr>
            <w:noProof/>
            <w:webHidden/>
          </w:rPr>
          <w:tab/>
        </w:r>
        <w:r w:rsidR="00725504">
          <w:rPr>
            <w:noProof/>
            <w:webHidden/>
          </w:rPr>
          <w:fldChar w:fldCharType="begin"/>
        </w:r>
        <w:r w:rsidR="00725504">
          <w:rPr>
            <w:noProof/>
            <w:webHidden/>
          </w:rPr>
          <w:instrText xml:space="preserve"> PAGEREF _Toc398105053 \h </w:instrText>
        </w:r>
        <w:r w:rsidR="00725504">
          <w:rPr>
            <w:noProof/>
            <w:webHidden/>
          </w:rPr>
        </w:r>
        <w:r w:rsidR="00725504">
          <w:rPr>
            <w:noProof/>
            <w:webHidden/>
          </w:rPr>
          <w:fldChar w:fldCharType="separate"/>
        </w:r>
        <w:r w:rsidR="00E150CA">
          <w:rPr>
            <w:noProof/>
            <w:webHidden/>
          </w:rPr>
          <w:t>80</w:t>
        </w:r>
        <w:r w:rsidR="00725504">
          <w:rPr>
            <w:noProof/>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54" w:history="1">
        <w:r w:rsidR="00725504" w:rsidRPr="00D22D3B">
          <w:rPr>
            <w:rStyle w:val="Hyperlink"/>
            <w:noProof/>
          </w:rPr>
          <w:t>4.2 Method</w:t>
        </w:r>
        <w:r w:rsidR="00725504">
          <w:rPr>
            <w:noProof/>
            <w:webHidden/>
          </w:rPr>
          <w:tab/>
        </w:r>
        <w:r w:rsidR="00725504">
          <w:rPr>
            <w:noProof/>
            <w:webHidden/>
          </w:rPr>
          <w:fldChar w:fldCharType="begin"/>
        </w:r>
        <w:r w:rsidR="00725504">
          <w:rPr>
            <w:noProof/>
            <w:webHidden/>
          </w:rPr>
          <w:instrText xml:space="preserve"> PAGEREF _Toc398105054 \h </w:instrText>
        </w:r>
        <w:r w:rsidR="00725504">
          <w:rPr>
            <w:noProof/>
            <w:webHidden/>
          </w:rPr>
        </w:r>
        <w:r w:rsidR="00725504">
          <w:rPr>
            <w:noProof/>
            <w:webHidden/>
          </w:rPr>
          <w:fldChar w:fldCharType="separate"/>
        </w:r>
        <w:r w:rsidR="00E150CA">
          <w:rPr>
            <w:noProof/>
            <w:webHidden/>
          </w:rPr>
          <w:t>80</w:t>
        </w:r>
        <w:r w:rsidR="00725504">
          <w:rPr>
            <w:noProof/>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55" w:history="1">
        <w:r w:rsidR="00725504" w:rsidRPr="00D22D3B">
          <w:rPr>
            <w:rStyle w:val="Hyperlink"/>
            <w:noProof/>
          </w:rPr>
          <w:t>4.3 Results</w:t>
        </w:r>
        <w:r w:rsidR="00725504">
          <w:rPr>
            <w:noProof/>
            <w:webHidden/>
          </w:rPr>
          <w:tab/>
        </w:r>
        <w:r w:rsidR="00725504">
          <w:rPr>
            <w:noProof/>
            <w:webHidden/>
          </w:rPr>
          <w:fldChar w:fldCharType="begin"/>
        </w:r>
        <w:r w:rsidR="00725504">
          <w:rPr>
            <w:noProof/>
            <w:webHidden/>
          </w:rPr>
          <w:instrText xml:space="preserve"> PAGEREF _Toc398105055 \h </w:instrText>
        </w:r>
        <w:r w:rsidR="00725504">
          <w:rPr>
            <w:noProof/>
            <w:webHidden/>
          </w:rPr>
        </w:r>
        <w:r w:rsidR="00725504">
          <w:rPr>
            <w:noProof/>
            <w:webHidden/>
          </w:rPr>
          <w:fldChar w:fldCharType="separate"/>
        </w:r>
        <w:r w:rsidR="00E150CA">
          <w:rPr>
            <w:noProof/>
            <w:webHidden/>
          </w:rPr>
          <w:t>84</w:t>
        </w:r>
        <w:r w:rsidR="00725504">
          <w:rPr>
            <w:noProof/>
            <w:webHidden/>
          </w:rPr>
          <w:fldChar w:fldCharType="end"/>
        </w:r>
      </w:hyperlink>
    </w:p>
    <w:p w:rsidR="00725504" w:rsidRDefault="008A3260">
      <w:pPr>
        <w:pStyle w:val="TOC1"/>
        <w:tabs>
          <w:tab w:val="left" w:pos="440"/>
        </w:tabs>
        <w:rPr>
          <w:rFonts w:asciiTheme="minorHAnsi" w:eastAsiaTheme="minorEastAsia" w:hAnsiTheme="minorHAnsi" w:cstheme="minorBidi"/>
          <w:b w:val="0"/>
          <w:lang w:eastAsia="en-AU"/>
        </w:rPr>
      </w:pPr>
      <w:hyperlink w:anchor="_Toc398105056" w:history="1">
        <w:r w:rsidR="00725504" w:rsidRPr="00D22D3B">
          <w:rPr>
            <w:rStyle w:val="Hyperlink"/>
          </w:rPr>
          <w:t>5.</w:t>
        </w:r>
        <w:r w:rsidR="00725504">
          <w:rPr>
            <w:rFonts w:asciiTheme="minorHAnsi" w:eastAsiaTheme="minorEastAsia" w:hAnsiTheme="minorHAnsi" w:cstheme="minorBidi"/>
            <w:b w:val="0"/>
            <w:lang w:eastAsia="en-AU"/>
          </w:rPr>
          <w:tab/>
        </w:r>
        <w:r w:rsidR="00725504" w:rsidRPr="00D22D3B">
          <w:rPr>
            <w:rStyle w:val="Hyperlink"/>
          </w:rPr>
          <w:t>Discussion and recommendations</w:t>
        </w:r>
        <w:r w:rsidR="00725504">
          <w:rPr>
            <w:webHidden/>
          </w:rPr>
          <w:tab/>
        </w:r>
        <w:r w:rsidR="00725504">
          <w:rPr>
            <w:webHidden/>
          </w:rPr>
          <w:fldChar w:fldCharType="begin"/>
        </w:r>
        <w:r w:rsidR="00725504">
          <w:rPr>
            <w:webHidden/>
          </w:rPr>
          <w:instrText xml:space="preserve"> PAGEREF _Toc398105056 \h </w:instrText>
        </w:r>
        <w:r w:rsidR="00725504">
          <w:rPr>
            <w:webHidden/>
          </w:rPr>
        </w:r>
        <w:r w:rsidR="00725504">
          <w:rPr>
            <w:webHidden/>
          </w:rPr>
          <w:fldChar w:fldCharType="separate"/>
        </w:r>
        <w:r w:rsidR="00E150CA">
          <w:rPr>
            <w:webHidden/>
          </w:rPr>
          <w:t>- 115 -</w:t>
        </w:r>
        <w:r w:rsidR="00725504">
          <w:rPr>
            <w:webHidden/>
          </w:rPr>
          <w:fldChar w:fldCharType="end"/>
        </w:r>
      </w:hyperlink>
    </w:p>
    <w:p w:rsidR="00725504" w:rsidRDefault="008A3260">
      <w:pPr>
        <w:pStyle w:val="TOC2"/>
        <w:rPr>
          <w:rFonts w:asciiTheme="minorHAnsi" w:eastAsiaTheme="minorEastAsia" w:hAnsiTheme="minorHAnsi" w:cstheme="minorBidi"/>
          <w:noProof/>
          <w:lang w:eastAsia="en-AU"/>
        </w:rPr>
      </w:pPr>
      <w:hyperlink w:anchor="_Toc398105057" w:history="1">
        <w:r w:rsidR="00725504" w:rsidRPr="00D22D3B">
          <w:rPr>
            <w:rStyle w:val="Hyperlink"/>
            <w:noProof/>
          </w:rPr>
          <w:t>5.1 Recommendations</w:t>
        </w:r>
        <w:r w:rsidR="00725504">
          <w:rPr>
            <w:noProof/>
            <w:webHidden/>
          </w:rPr>
          <w:tab/>
        </w:r>
        <w:r w:rsidR="00725504">
          <w:rPr>
            <w:noProof/>
            <w:webHidden/>
          </w:rPr>
          <w:fldChar w:fldCharType="begin"/>
        </w:r>
        <w:r w:rsidR="00725504">
          <w:rPr>
            <w:noProof/>
            <w:webHidden/>
          </w:rPr>
          <w:instrText xml:space="preserve"> PAGEREF _Toc398105057 \h </w:instrText>
        </w:r>
        <w:r w:rsidR="00725504">
          <w:rPr>
            <w:noProof/>
            <w:webHidden/>
          </w:rPr>
        </w:r>
        <w:r w:rsidR="00725504">
          <w:rPr>
            <w:noProof/>
            <w:webHidden/>
          </w:rPr>
          <w:fldChar w:fldCharType="separate"/>
        </w:r>
        <w:r w:rsidR="00E150CA">
          <w:rPr>
            <w:noProof/>
            <w:webHidden/>
          </w:rPr>
          <w:t>- 121 -</w:t>
        </w:r>
        <w:r w:rsidR="00725504">
          <w:rPr>
            <w:noProof/>
            <w:webHidden/>
          </w:rPr>
          <w:fldChar w:fldCharType="end"/>
        </w:r>
      </w:hyperlink>
    </w:p>
    <w:p w:rsidR="00725504" w:rsidRDefault="008A3260">
      <w:pPr>
        <w:pStyle w:val="TOC1"/>
        <w:tabs>
          <w:tab w:val="left" w:pos="440"/>
        </w:tabs>
        <w:rPr>
          <w:rFonts w:asciiTheme="minorHAnsi" w:eastAsiaTheme="minorEastAsia" w:hAnsiTheme="minorHAnsi" w:cstheme="minorBidi"/>
          <w:b w:val="0"/>
          <w:lang w:eastAsia="en-AU"/>
        </w:rPr>
      </w:pPr>
      <w:hyperlink w:anchor="_Toc398105058" w:history="1">
        <w:r w:rsidR="00725504" w:rsidRPr="00D22D3B">
          <w:rPr>
            <w:rStyle w:val="Hyperlink"/>
          </w:rPr>
          <w:t>6.</w:t>
        </w:r>
        <w:r w:rsidR="00725504">
          <w:rPr>
            <w:rFonts w:asciiTheme="minorHAnsi" w:eastAsiaTheme="minorEastAsia" w:hAnsiTheme="minorHAnsi" w:cstheme="minorBidi"/>
            <w:b w:val="0"/>
            <w:lang w:eastAsia="en-AU"/>
          </w:rPr>
          <w:tab/>
        </w:r>
        <w:r w:rsidR="00725504" w:rsidRPr="00D22D3B">
          <w:rPr>
            <w:rStyle w:val="Hyperlink"/>
          </w:rPr>
          <w:t>References</w:t>
        </w:r>
        <w:r w:rsidR="00725504">
          <w:rPr>
            <w:webHidden/>
          </w:rPr>
          <w:tab/>
        </w:r>
        <w:r w:rsidR="00725504">
          <w:rPr>
            <w:webHidden/>
          </w:rPr>
          <w:fldChar w:fldCharType="begin"/>
        </w:r>
        <w:r w:rsidR="00725504">
          <w:rPr>
            <w:webHidden/>
          </w:rPr>
          <w:instrText xml:space="preserve"> PAGEREF _Toc398105058 \h </w:instrText>
        </w:r>
        <w:r w:rsidR="00725504">
          <w:rPr>
            <w:webHidden/>
          </w:rPr>
        </w:r>
        <w:r w:rsidR="00725504">
          <w:rPr>
            <w:webHidden/>
          </w:rPr>
          <w:fldChar w:fldCharType="separate"/>
        </w:r>
        <w:r w:rsidR="00E150CA">
          <w:rPr>
            <w:webHidden/>
          </w:rPr>
          <w:t>124</w:t>
        </w:r>
        <w:r w:rsidR="00725504">
          <w:rPr>
            <w:webHidden/>
          </w:rPr>
          <w:fldChar w:fldCharType="end"/>
        </w:r>
      </w:hyperlink>
    </w:p>
    <w:p w:rsidR="008A3649" w:rsidRDefault="00BE3D19">
      <w:pPr>
        <w:pStyle w:val="TOC1"/>
        <w:spacing w:after="200"/>
        <w:rPr>
          <w:lang w:val="en-GB"/>
        </w:rPr>
      </w:pPr>
      <w:r w:rsidRPr="00045FA3">
        <w:rPr>
          <w:lang w:val="en-GB"/>
        </w:rPr>
        <w:fldChar w:fldCharType="end"/>
      </w:r>
    </w:p>
    <w:p w:rsidR="008A3649" w:rsidRPr="00A67E44" w:rsidRDefault="00045FA3" w:rsidP="008D2CC2">
      <w:pPr>
        <w:pStyle w:val="Executive"/>
        <w:spacing w:before="0" w:after="200"/>
        <w:outlineLvl w:val="0"/>
        <w:rPr>
          <w:color w:val="auto"/>
          <w:lang w:val="en-GB"/>
        </w:rPr>
      </w:pPr>
      <w:r w:rsidRPr="00045FA3">
        <w:rPr>
          <w:lang w:val="en-GB"/>
        </w:rPr>
        <w:br w:type="page"/>
      </w:r>
      <w:bookmarkStart w:id="29" w:name="_Toc350884491"/>
      <w:bookmarkStart w:id="30" w:name="_Toc351536577"/>
      <w:bookmarkStart w:id="31" w:name="_Toc351622814"/>
      <w:bookmarkStart w:id="32" w:name="_Toc351622885"/>
      <w:bookmarkStart w:id="33" w:name="_Toc352002269"/>
      <w:bookmarkStart w:id="34" w:name="_Toc352168067"/>
      <w:bookmarkStart w:id="35" w:name="_Toc352844012"/>
      <w:bookmarkStart w:id="36" w:name="_Toc354593033"/>
      <w:bookmarkStart w:id="37" w:name="_Toc354732284"/>
      <w:bookmarkStart w:id="38" w:name="_Toc354734006"/>
      <w:bookmarkStart w:id="39" w:name="_Toc354734172"/>
      <w:bookmarkStart w:id="40" w:name="_Toc354734782"/>
      <w:bookmarkStart w:id="41" w:name="_Toc398105033"/>
      <w:r w:rsidR="00537095" w:rsidRPr="00A67E44">
        <w:rPr>
          <w:color w:val="auto"/>
          <w:lang w:val="en-GB"/>
        </w:rPr>
        <w:lastRenderedPageBreak/>
        <w:t xml:space="preserve">List </w:t>
      </w:r>
      <w:r w:rsidRPr="00A67E44">
        <w:rPr>
          <w:color w:val="auto"/>
          <w:lang w:val="en-GB"/>
        </w:rPr>
        <w:t>of tables</w:t>
      </w:r>
      <w:bookmarkEnd w:id="29"/>
      <w:bookmarkEnd w:id="30"/>
      <w:bookmarkEnd w:id="31"/>
      <w:bookmarkEnd w:id="32"/>
      <w:bookmarkEnd w:id="33"/>
      <w:bookmarkEnd w:id="34"/>
      <w:bookmarkEnd w:id="35"/>
      <w:bookmarkEnd w:id="36"/>
      <w:bookmarkEnd w:id="37"/>
      <w:bookmarkEnd w:id="38"/>
      <w:bookmarkEnd w:id="39"/>
      <w:bookmarkEnd w:id="40"/>
      <w:bookmarkEnd w:id="41"/>
    </w:p>
    <w:p w:rsidR="00725504" w:rsidRDefault="00BE3D19">
      <w:pPr>
        <w:pStyle w:val="TableofFigures"/>
        <w:tabs>
          <w:tab w:val="right" w:leader="dot" w:pos="9016"/>
        </w:tabs>
        <w:rPr>
          <w:rFonts w:asciiTheme="minorHAnsi" w:eastAsiaTheme="minorEastAsia" w:hAnsiTheme="minorHAnsi" w:cstheme="minorBidi"/>
          <w:noProof/>
          <w:lang w:eastAsia="en-AU"/>
        </w:rPr>
      </w:pPr>
      <w:r w:rsidRPr="00045FA3">
        <w:rPr>
          <w:lang w:val="en-GB"/>
        </w:rPr>
        <w:fldChar w:fldCharType="begin"/>
      </w:r>
      <w:r w:rsidR="00045FA3" w:rsidRPr="00045FA3">
        <w:rPr>
          <w:lang w:val="en-GB"/>
        </w:rPr>
        <w:instrText xml:space="preserve"> TOC \h \z \c "Table" </w:instrText>
      </w:r>
      <w:r w:rsidRPr="00045FA3">
        <w:rPr>
          <w:lang w:val="en-GB"/>
        </w:rPr>
        <w:fldChar w:fldCharType="separate"/>
      </w:r>
      <w:hyperlink w:anchor="_Toc398105059" w:history="1">
        <w:r w:rsidR="00725504" w:rsidRPr="009C0921">
          <w:rPr>
            <w:rStyle w:val="Hyperlink"/>
            <w:noProof/>
          </w:rPr>
          <w:t>Table 1.1  Summary of the major international AOD treatment system outcome studies to date</w:t>
        </w:r>
        <w:r w:rsidR="00725504">
          <w:rPr>
            <w:noProof/>
            <w:webHidden/>
          </w:rPr>
          <w:tab/>
        </w:r>
        <w:r w:rsidR="00725504">
          <w:rPr>
            <w:noProof/>
            <w:webHidden/>
          </w:rPr>
          <w:fldChar w:fldCharType="begin"/>
        </w:r>
        <w:r w:rsidR="00725504">
          <w:rPr>
            <w:noProof/>
            <w:webHidden/>
          </w:rPr>
          <w:instrText xml:space="preserve"> PAGEREF _Toc398105059 \h </w:instrText>
        </w:r>
        <w:r w:rsidR="00725504">
          <w:rPr>
            <w:noProof/>
            <w:webHidden/>
          </w:rPr>
        </w:r>
        <w:r w:rsidR="00725504">
          <w:rPr>
            <w:noProof/>
            <w:webHidden/>
          </w:rPr>
          <w:fldChar w:fldCharType="separate"/>
        </w:r>
        <w:r w:rsidR="00E150CA">
          <w:rPr>
            <w:noProof/>
            <w:webHidden/>
          </w:rPr>
          <w:t>11</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60" w:history="1">
        <w:r w:rsidR="00725504" w:rsidRPr="009C0921">
          <w:rPr>
            <w:rStyle w:val="Hyperlink"/>
            <w:noProof/>
          </w:rPr>
          <w:t>Table 2.1  Proportion of treatment episodes by treatment type and jurisdiction</w:t>
        </w:r>
        <w:r w:rsidR="00725504">
          <w:rPr>
            <w:noProof/>
            <w:webHidden/>
          </w:rPr>
          <w:tab/>
        </w:r>
        <w:r w:rsidR="00725504">
          <w:rPr>
            <w:noProof/>
            <w:webHidden/>
          </w:rPr>
          <w:fldChar w:fldCharType="begin"/>
        </w:r>
        <w:r w:rsidR="00725504">
          <w:rPr>
            <w:noProof/>
            <w:webHidden/>
          </w:rPr>
          <w:instrText xml:space="preserve"> PAGEREF _Toc398105060 \h </w:instrText>
        </w:r>
        <w:r w:rsidR="00725504">
          <w:rPr>
            <w:noProof/>
            <w:webHidden/>
          </w:rPr>
        </w:r>
        <w:r w:rsidR="00725504">
          <w:rPr>
            <w:noProof/>
            <w:webHidden/>
          </w:rPr>
          <w:fldChar w:fldCharType="separate"/>
        </w:r>
        <w:r w:rsidR="00E150CA">
          <w:rPr>
            <w:noProof/>
            <w:webHidden/>
          </w:rPr>
          <w:t>16</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61" w:history="1">
        <w:r w:rsidR="00725504" w:rsidRPr="009C0921">
          <w:rPr>
            <w:rStyle w:val="Hyperlink"/>
            <w:noProof/>
          </w:rPr>
          <w:t>Table 2.2  AOD treatment service setting by jurisdiction</w:t>
        </w:r>
        <w:r w:rsidR="00725504">
          <w:rPr>
            <w:noProof/>
            <w:webHidden/>
          </w:rPr>
          <w:tab/>
        </w:r>
        <w:r w:rsidR="00725504">
          <w:rPr>
            <w:noProof/>
            <w:webHidden/>
          </w:rPr>
          <w:fldChar w:fldCharType="begin"/>
        </w:r>
        <w:r w:rsidR="00725504">
          <w:rPr>
            <w:noProof/>
            <w:webHidden/>
          </w:rPr>
          <w:instrText xml:space="preserve"> PAGEREF _Toc398105061 \h </w:instrText>
        </w:r>
        <w:r w:rsidR="00725504">
          <w:rPr>
            <w:noProof/>
            <w:webHidden/>
          </w:rPr>
        </w:r>
        <w:r w:rsidR="00725504">
          <w:rPr>
            <w:noProof/>
            <w:webHidden/>
          </w:rPr>
          <w:fldChar w:fldCharType="separate"/>
        </w:r>
        <w:r w:rsidR="00E150CA">
          <w:rPr>
            <w:noProof/>
            <w:webHidden/>
          </w:rPr>
          <w:t>18</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62" w:history="1">
        <w:r w:rsidR="00725504" w:rsidRPr="009C0921">
          <w:rPr>
            <w:rStyle w:val="Hyperlink"/>
            <w:noProof/>
          </w:rPr>
          <w:t>Table 2.3  Summary of performance and accountability approaches by jurisdiction, as reported in 2012</w:t>
        </w:r>
        <w:r w:rsidR="00725504">
          <w:rPr>
            <w:noProof/>
            <w:webHidden/>
          </w:rPr>
          <w:tab/>
        </w:r>
        <w:r w:rsidR="00725504">
          <w:rPr>
            <w:noProof/>
            <w:webHidden/>
          </w:rPr>
          <w:fldChar w:fldCharType="begin"/>
        </w:r>
        <w:r w:rsidR="00725504">
          <w:rPr>
            <w:noProof/>
            <w:webHidden/>
          </w:rPr>
          <w:instrText xml:space="preserve"> PAGEREF _Toc398105062 \h </w:instrText>
        </w:r>
        <w:r w:rsidR="00725504">
          <w:rPr>
            <w:noProof/>
            <w:webHidden/>
          </w:rPr>
        </w:r>
        <w:r w:rsidR="00725504">
          <w:rPr>
            <w:noProof/>
            <w:webHidden/>
          </w:rPr>
          <w:fldChar w:fldCharType="separate"/>
        </w:r>
        <w:r w:rsidR="00E150CA">
          <w:rPr>
            <w:noProof/>
            <w:webHidden/>
          </w:rPr>
          <w:t>19</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63" w:history="1">
        <w:r w:rsidR="00725504" w:rsidRPr="009C0921">
          <w:rPr>
            <w:rStyle w:val="Hyperlink"/>
            <w:noProof/>
          </w:rPr>
          <w:t>Table 3.1  Items included in structured interview with clients ‘new’ to AOD treatment</w:t>
        </w:r>
        <w:r w:rsidR="00725504">
          <w:rPr>
            <w:noProof/>
            <w:webHidden/>
          </w:rPr>
          <w:tab/>
        </w:r>
        <w:r w:rsidR="00725504">
          <w:rPr>
            <w:noProof/>
            <w:webHidden/>
          </w:rPr>
          <w:fldChar w:fldCharType="begin"/>
        </w:r>
        <w:r w:rsidR="00725504">
          <w:rPr>
            <w:noProof/>
            <w:webHidden/>
          </w:rPr>
          <w:instrText xml:space="preserve"> PAGEREF _Toc398105063 \h </w:instrText>
        </w:r>
        <w:r w:rsidR="00725504">
          <w:rPr>
            <w:noProof/>
            <w:webHidden/>
          </w:rPr>
        </w:r>
        <w:r w:rsidR="00725504">
          <w:rPr>
            <w:noProof/>
            <w:webHidden/>
          </w:rPr>
          <w:fldChar w:fldCharType="separate"/>
        </w:r>
        <w:r w:rsidR="00E150CA">
          <w:rPr>
            <w:noProof/>
            <w:webHidden/>
          </w:rPr>
          <w:t>25</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64" w:history="1">
        <w:r w:rsidR="00725504" w:rsidRPr="009C0921">
          <w:rPr>
            <w:rStyle w:val="Hyperlink"/>
            <w:noProof/>
          </w:rPr>
          <w:t>Table 3.2  Participant characteristics at baseline</w:t>
        </w:r>
        <w:r w:rsidR="00725504">
          <w:rPr>
            <w:noProof/>
            <w:webHidden/>
          </w:rPr>
          <w:tab/>
        </w:r>
        <w:r w:rsidR="00725504">
          <w:rPr>
            <w:noProof/>
            <w:webHidden/>
          </w:rPr>
          <w:fldChar w:fldCharType="begin"/>
        </w:r>
        <w:r w:rsidR="00725504">
          <w:rPr>
            <w:noProof/>
            <w:webHidden/>
          </w:rPr>
          <w:instrText xml:space="preserve"> PAGEREF _Toc398105064 \h </w:instrText>
        </w:r>
        <w:r w:rsidR="00725504">
          <w:rPr>
            <w:noProof/>
            <w:webHidden/>
          </w:rPr>
        </w:r>
        <w:r w:rsidR="00725504">
          <w:rPr>
            <w:noProof/>
            <w:webHidden/>
          </w:rPr>
          <w:fldChar w:fldCharType="separate"/>
        </w:r>
        <w:r w:rsidR="00E150CA">
          <w:rPr>
            <w:noProof/>
            <w:webHidden/>
          </w:rPr>
          <w:t>31</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65" w:history="1">
        <w:r w:rsidR="00725504" w:rsidRPr="009C0921">
          <w:rPr>
            <w:rStyle w:val="Hyperlink"/>
            <w:noProof/>
          </w:rPr>
          <w:t>Table 3.3  Drugs of concern by index treatment type at baseline</w:t>
        </w:r>
        <w:r w:rsidR="00725504">
          <w:rPr>
            <w:noProof/>
            <w:webHidden/>
          </w:rPr>
          <w:tab/>
        </w:r>
        <w:r w:rsidR="00725504">
          <w:rPr>
            <w:noProof/>
            <w:webHidden/>
          </w:rPr>
          <w:fldChar w:fldCharType="begin"/>
        </w:r>
        <w:r w:rsidR="00725504">
          <w:rPr>
            <w:noProof/>
            <w:webHidden/>
          </w:rPr>
          <w:instrText xml:space="preserve"> PAGEREF _Toc398105065 \h </w:instrText>
        </w:r>
        <w:r w:rsidR="00725504">
          <w:rPr>
            <w:noProof/>
            <w:webHidden/>
          </w:rPr>
        </w:r>
        <w:r w:rsidR="00725504">
          <w:rPr>
            <w:noProof/>
            <w:webHidden/>
          </w:rPr>
          <w:fldChar w:fldCharType="separate"/>
        </w:r>
        <w:r w:rsidR="00E150CA">
          <w:rPr>
            <w:noProof/>
            <w:webHidden/>
          </w:rPr>
          <w:t>33</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66" w:history="1">
        <w:r w:rsidR="00725504" w:rsidRPr="009C0921">
          <w:rPr>
            <w:rStyle w:val="Hyperlink"/>
            <w:noProof/>
          </w:rPr>
          <w:t>Table 3.4  Age comparison of Pathways sample and Victorian new-to-treatment population</w:t>
        </w:r>
        <w:r w:rsidR="00725504">
          <w:rPr>
            <w:noProof/>
            <w:webHidden/>
          </w:rPr>
          <w:tab/>
        </w:r>
        <w:r w:rsidR="00725504">
          <w:rPr>
            <w:noProof/>
            <w:webHidden/>
          </w:rPr>
          <w:fldChar w:fldCharType="begin"/>
        </w:r>
        <w:r w:rsidR="00725504">
          <w:rPr>
            <w:noProof/>
            <w:webHidden/>
          </w:rPr>
          <w:instrText xml:space="preserve"> PAGEREF _Toc398105066 \h </w:instrText>
        </w:r>
        <w:r w:rsidR="00725504">
          <w:rPr>
            <w:noProof/>
            <w:webHidden/>
          </w:rPr>
        </w:r>
        <w:r w:rsidR="00725504">
          <w:rPr>
            <w:noProof/>
            <w:webHidden/>
          </w:rPr>
          <w:fldChar w:fldCharType="separate"/>
        </w:r>
        <w:r w:rsidR="00E150CA">
          <w:rPr>
            <w:noProof/>
            <w:webHidden/>
          </w:rPr>
          <w:t>34</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67" w:history="1">
        <w:r w:rsidR="00725504" w:rsidRPr="009C0921">
          <w:rPr>
            <w:rStyle w:val="Hyperlink"/>
            <w:noProof/>
          </w:rPr>
          <w:t>Table 3.5  Level of quality of life by index treatment type at baseline</w:t>
        </w:r>
        <w:r w:rsidR="00725504">
          <w:rPr>
            <w:noProof/>
            <w:webHidden/>
          </w:rPr>
          <w:tab/>
        </w:r>
        <w:r w:rsidR="00725504">
          <w:rPr>
            <w:noProof/>
            <w:webHidden/>
          </w:rPr>
          <w:fldChar w:fldCharType="begin"/>
        </w:r>
        <w:r w:rsidR="00725504">
          <w:rPr>
            <w:noProof/>
            <w:webHidden/>
          </w:rPr>
          <w:instrText xml:space="preserve"> PAGEREF _Toc398105067 \h </w:instrText>
        </w:r>
        <w:r w:rsidR="00725504">
          <w:rPr>
            <w:noProof/>
            <w:webHidden/>
          </w:rPr>
        </w:r>
        <w:r w:rsidR="00725504">
          <w:rPr>
            <w:noProof/>
            <w:webHidden/>
          </w:rPr>
          <w:fldChar w:fldCharType="separate"/>
        </w:r>
        <w:r w:rsidR="00E150CA">
          <w:rPr>
            <w:noProof/>
            <w:webHidden/>
          </w:rPr>
          <w:t>36</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68" w:history="1">
        <w:r w:rsidR="00725504" w:rsidRPr="009C0921">
          <w:rPr>
            <w:rStyle w:val="Hyperlink"/>
            <w:noProof/>
          </w:rPr>
          <w:t>Table 3.6  Level of service use in past 12 months by index treatment type at baseline</w:t>
        </w:r>
        <w:r w:rsidR="00725504">
          <w:rPr>
            <w:noProof/>
            <w:webHidden/>
          </w:rPr>
          <w:tab/>
        </w:r>
        <w:r w:rsidR="00725504">
          <w:rPr>
            <w:noProof/>
            <w:webHidden/>
          </w:rPr>
          <w:fldChar w:fldCharType="begin"/>
        </w:r>
        <w:r w:rsidR="00725504">
          <w:rPr>
            <w:noProof/>
            <w:webHidden/>
          </w:rPr>
          <w:instrText xml:space="preserve"> PAGEREF _Toc398105068 \h </w:instrText>
        </w:r>
        <w:r w:rsidR="00725504">
          <w:rPr>
            <w:noProof/>
            <w:webHidden/>
          </w:rPr>
        </w:r>
        <w:r w:rsidR="00725504">
          <w:rPr>
            <w:noProof/>
            <w:webHidden/>
          </w:rPr>
          <w:fldChar w:fldCharType="separate"/>
        </w:r>
        <w:r w:rsidR="00E150CA">
          <w:rPr>
            <w:noProof/>
            <w:webHidden/>
          </w:rPr>
          <w:t>38</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69" w:history="1">
        <w:r w:rsidR="00725504" w:rsidRPr="009C0921">
          <w:rPr>
            <w:rStyle w:val="Hyperlink"/>
            <w:noProof/>
          </w:rPr>
          <w:t>Table 3.7  Contact with the justice system by index treatment type at baseline</w:t>
        </w:r>
        <w:r w:rsidR="00725504">
          <w:rPr>
            <w:noProof/>
            <w:webHidden/>
          </w:rPr>
          <w:tab/>
        </w:r>
        <w:r w:rsidR="00725504">
          <w:rPr>
            <w:noProof/>
            <w:webHidden/>
          </w:rPr>
          <w:fldChar w:fldCharType="begin"/>
        </w:r>
        <w:r w:rsidR="00725504">
          <w:rPr>
            <w:noProof/>
            <w:webHidden/>
          </w:rPr>
          <w:instrText xml:space="preserve"> PAGEREF _Toc398105069 \h </w:instrText>
        </w:r>
        <w:r w:rsidR="00725504">
          <w:rPr>
            <w:noProof/>
            <w:webHidden/>
          </w:rPr>
        </w:r>
        <w:r w:rsidR="00725504">
          <w:rPr>
            <w:noProof/>
            <w:webHidden/>
          </w:rPr>
          <w:fldChar w:fldCharType="separate"/>
        </w:r>
        <w:r w:rsidR="00E150CA">
          <w:rPr>
            <w:noProof/>
            <w:webHidden/>
          </w:rPr>
          <w:t>39</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70" w:history="1">
        <w:r w:rsidR="00725504" w:rsidRPr="009C0921">
          <w:rPr>
            <w:rStyle w:val="Hyperlink"/>
            <w:noProof/>
          </w:rPr>
          <w:t>Table 3.8  Changes in personal circumstances at baseline and follow-up (post-PIT) (ns =549-554)</w:t>
        </w:r>
        <w:r w:rsidR="00725504">
          <w:rPr>
            <w:noProof/>
            <w:webHidden/>
          </w:rPr>
          <w:tab/>
        </w:r>
        <w:r w:rsidR="00725504">
          <w:rPr>
            <w:noProof/>
            <w:webHidden/>
          </w:rPr>
          <w:fldChar w:fldCharType="begin"/>
        </w:r>
        <w:r w:rsidR="00725504">
          <w:rPr>
            <w:noProof/>
            <w:webHidden/>
          </w:rPr>
          <w:instrText xml:space="preserve"> PAGEREF _Toc398105070 \h </w:instrText>
        </w:r>
        <w:r w:rsidR="00725504">
          <w:rPr>
            <w:noProof/>
            <w:webHidden/>
          </w:rPr>
        </w:r>
        <w:r w:rsidR="00725504">
          <w:rPr>
            <w:noProof/>
            <w:webHidden/>
          </w:rPr>
          <w:fldChar w:fldCharType="separate"/>
        </w:r>
        <w:r w:rsidR="00E150CA">
          <w:rPr>
            <w:noProof/>
            <w:webHidden/>
          </w:rPr>
          <w:t>42</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71" w:history="1">
        <w:r w:rsidR="00725504" w:rsidRPr="009C0921">
          <w:rPr>
            <w:rStyle w:val="Hyperlink"/>
            <w:noProof/>
          </w:rPr>
          <w:t>Table 3.9  Use in the years before and after PIT of AOD specialist, community and acute medical service</w:t>
        </w:r>
        <w:r w:rsidR="00725504">
          <w:rPr>
            <w:noProof/>
            <w:webHidden/>
          </w:rPr>
          <w:tab/>
        </w:r>
        <w:r w:rsidR="00725504">
          <w:rPr>
            <w:noProof/>
            <w:webHidden/>
          </w:rPr>
          <w:fldChar w:fldCharType="begin"/>
        </w:r>
        <w:r w:rsidR="00725504">
          <w:rPr>
            <w:noProof/>
            <w:webHidden/>
          </w:rPr>
          <w:instrText xml:space="preserve"> PAGEREF _Toc398105071 \h </w:instrText>
        </w:r>
        <w:r w:rsidR="00725504">
          <w:rPr>
            <w:noProof/>
            <w:webHidden/>
          </w:rPr>
        </w:r>
        <w:r w:rsidR="00725504">
          <w:rPr>
            <w:noProof/>
            <w:webHidden/>
          </w:rPr>
          <w:fldChar w:fldCharType="separate"/>
        </w:r>
        <w:r w:rsidR="00E150CA">
          <w:rPr>
            <w:noProof/>
            <w:webHidden/>
          </w:rPr>
          <w:t>43</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72" w:history="1">
        <w:r w:rsidR="00725504" w:rsidRPr="009C0921">
          <w:rPr>
            <w:rStyle w:val="Hyperlink"/>
            <w:noProof/>
          </w:rPr>
          <w:t>Table 3.10  Use in the years before and after PIT of AOD specialist, community and acute medical service among outpatient participants</w:t>
        </w:r>
        <w:r w:rsidR="00725504">
          <w:rPr>
            <w:noProof/>
            <w:webHidden/>
          </w:rPr>
          <w:tab/>
        </w:r>
        <w:r w:rsidR="00725504">
          <w:rPr>
            <w:noProof/>
            <w:webHidden/>
          </w:rPr>
          <w:fldChar w:fldCharType="begin"/>
        </w:r>
        <w:r w:rsidR="00725504">
          <w:rPr>
            <w:noProof/>
            <w:webHidden/>
          </w:rPr>
          <w:instrText xml:space="preserve"> PAGEREF _Toc398105072 \h </w:instrText>
        </w:r>
        <w:r w:rsidR="00725504">
          <w:rPr>
            <w:noProof/>
            <w:webHidden/>
          </w:rPr>
        </w:r>
        <w:r w:rsidR="00725504">
          <w:rPr>
            <w:noProof/>
            <w:webHidden/>
          </w:rPr>
          <w:fldChar w:fldCharType="separate"/>
        </w:r>
        <w:r w:rsidR="00E150CA">
          <w:rPr>
            <w:noProof/>
            <w:webHidden/>
          </w:rPr>
          <w:t>44</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73" w:history="1">
        <w:r w:rsidR="00725504" w:rsidRPr="009C0921">
          <w:rPr>
            <w:rStyle w:val="Hyperlink"/>
            <w:noProof/>
          </w:rPr>
          <w:t>Table 3.11  Use in the years before and after PIT of AOD specialist, community and acute medical service among acute withdrawal participants</w:t>
        </w:r>
        <w:r w:rsidR="00725504">
          <w:rPr>
            <w:noProof/>
            <w:webHidden/>
          </w:rPr>
          <w:tab/>
        </w:r>
        <w:r w:rsidR="00725504">
          <w:rPr>
            <w:noProof/>
            <w:webHidden/>
          </w:rPr>
          <w:fldChar w:fldCharType="begin"/>
        </w:r>
        <w:r w:rsidR="00725504">
          <w:rPr>
            <w:noProof/>
            <w:webHidden/>
          </w:rPr>
          <w:instrText xml:space="preserve"> PAGEREF _Toc398105073 \h </w:instrText>
        </w:r>
        <w:r w:rsidR="00725504">
          <w:rPr>
            <w:noProof/>
            <w:webHidden/>
          </w:rPr>
        </w:r>
        <w:r w:rsidR="00725504">
          <w:rPr>
            <w:noProof/>
            <w:webHidden/>
          </w:rPr>
          <w:fldChar w:fldCharType="separate"/>
        </w:r>
        <w:r w:rsidR="00E150CA">
          <w:rPr>
            <w:noProof/>
            <w:webHidden/>
          </w:rPr>
          <w:t>45</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74" w:history="1">
        <w:r w:rsidR="00725504" w:rsidRPr="009C0921">
          <w:rPr>
            <w:rStyle w:val="Hyperlink"/>
            <w:noProof/>
          </w:rPr>
          <w:t>Table 3.12  Use in the years before and after PIT of AOD specialist, community and acute medical service among residential rehabilitation participants</w:t>
        </w:r>
        <w:r w:rsidR="00725504">
          <w:rPr>
            <w:noProof/>
            <w:webHidden/>
          </w:rPr>
          <w:tab/>
        </w:r>
        <w:r w:rsidR="00725504">
          <w:rPr>
            <w:noProof/>
            <w:webHidden/>
          </w:rPr>
          <w:fldChar w:fldCharType="begin"/>
        </w:r>
        <w:r w:rsidR="00725504">
          <w:rPr>
            <w:noProof/>
            <w:webHidden/>
          </w:rPr>
          <w:instrText xml:space="preserve"> PAGEREF _Toc398105074 \h </w:instrText>
        </w:r>
        <w:r w:rsidR="00725504">
          <w:rPr>
            <w:noProof/>
            <w:webHidden/>
          </w:rPr>
        </w:r>
        <w:r w:rsidR="00725504">
          <w:rPr>
            <w:noProof/>
            <w:webHidden/>
          </w:rPr>
          <w:fldChar w:fldCharType="separate"/>
        </w:r>
        <w:r w:rsidR="00E150CA">
          <w:rPr>
            <w:noProof/>
            <w:webHidden/>
          </w:rPr>
          <w:t>46</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75" w:history="1">
        <w:r w:rsidR="00725504" w:rsidRPr="009C0921">
          <w:rPr>
            <w:rStyle w:val="Hyperlink"/>
            <w:noProof/>
          </w:rPr>
          <w:t>Table 3.13  Post PIT AOD specialist, community and acute medical service use by PDOC</w:t>
        </w:r>
        <w:r w:rsidR="00725504">
          <w:rPr>
            <w:noProof/>
            <w:webHidden/>
          </w:rPr>
          <w:tab/>
        </w:r>
        <w:r w:rsidR="00725504">
          <w:rPr>
            <w:noProof/>
            <w:webHidden/>
          </w:rPr>
          <w:fldChar w:fldCharType="begin"/>
        </w:r>
        <w:r w:rsidR="00725504">
          <w:rPr>
            <w:noProof/>
            <w:webHidden/>
          </w:rPr>
          <w:instrText xml:space="preserve"> PAGEREF _Toc398105075 \h </w:instrText>
        </w:r>
        <w:r w:rsidR="00725504">
          <w:rPr>
            <w:noProof/>
            <w:webHidden/>
          </w:rPr>
        </w:r>
        <w:r w:rsidR="00725504">
          <w:rPr>
            <w:noProof/>
            <w:webHidden/>
          </w:rPr>
          <w:fldChar w:fldCharType="separate"/>
        </w:r>
        <w:r w:rsidR="00E150CA">
          <w:rPr>
            <w:noProof/>
            <w:webHidden/>
          </w:rPr>
          <w:t>46</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76" w:history="1">
        <w:r w:rsidR="00725504" w:rsidRPr="009C0921">
          <w:rPr>
            <w:rStyle w:val="Hyperlink"/>
            <w:noProof/>
          </w:rPr>
          <w:t>Table 3.14  Abstinence rates by service use post-PIT</w:t>
        </w:r>
        <w:r w:rsidR="00725504">
          <w:rPr>
            <w:noProof/>
            <w:webHidden/>
          </w:rPr>
          <w:tab/>
        </w:r>
        <w:r w:rsidR="00725504">
          <w:rPr>
            <w:noProof/>
            <w:webHidden/>
          </w:rPr>
          <w:fldChar w:fldCharType="begin"/>
        </w:r>
        <w:r w:rsidR="00725504">
          <w:rPr>
            <w:noProof/>
            <w:webHidden/>
          </w:rPr>
          <w:instrText xml:space="preserve"> PAGEREF _Toc398105076 \h </w:instrText>
        </w:r>
        <w:r w:rsidR="00725504">
          <w:rPr>
            <w:noProof/>
            <w:webHidden/>
          </w:rPr>
        </w:r>
        <w:r w:rsidR="00725504">
          <w:rPr>
            <w:noProof/>
            <w:webHidden/>
          </w:rPr>
          <w:fldChar w:fldCharType="separate"/>
        </w:r>
        <w:r w:rsidR="00E150CA">
          <w:rPr>
            <w:noProof/>
            <w:webHidden/>
          </w:rPr>
          <w:t>49</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77" w:history="1">
        <w:r w:rsidR="00725504" w:rsidRPr="009C0921">
          <w:rPr>
            <w:rStyle w:val="Hyperlink"/>
            <w:noProof/>
          </w:rPr>
          <w:t xml:space="preserve">Table 3.15 </w:t>
        </w:r>
        <w:r w:rsidR="00725504" w:rsidRPr="009C0921">
          <w:rPr>
            <w:rStyle w:val="Hyperlink"/>
            <w:rFonts w:ascii="Times New Roman" w:hAnsi="Times New Roman"/>
            <w:noProof/>
          </w:rPr>
          <w:t xml:space="preserve"> </w:t>
        </w:r>
        <w:r w:rsidR="00725504" w:rsidRPr="009C0921">
          <w:rPr>
            <w:rStyle w:val="Hyperlink"/>
            <w:noProof/>
          </w:rPr>
          <w:t>Changes in severity of dependence on PDOC by PIT type</w:t>
        </w:r>
        <w:r w:rsidR="00725504">
          <w:rPr>
            <w:noProof/>
            <w:webHidden/>
          </w:rPr>
          <w:tab/>
        </w:r>
        <w:r w:rsidR="00725504">
          <w:rPr>
            <w:noProof/>
            <w:webHidden/>
          </w:rPr>
          <w:fldChar w:fldCharType="begin"/>
        </w:r>
        <w:r w:rsidR="00725504">
          <w:rPr>
            <w:noProof/>
            <w:webHidden/>
          </w:rPr>
          <w:instrText xml:space="preserve"> PAGEREF _Toc398105077 \h </w:instrText>
        </w:r>
        <w:r w:rsidR="00725504">
          <w:rPr>
            <w:noProof/>
            <w:webHidden/>
          </w:rPr>
        </w:r>
        <w:r w:rsidR="00725504">
          <w:rPr>
            <w:noProof/>
            <w:webHidden/>
          </w:rPr>
          <w:fldChar w:fldCharType="separate"/>
        </w:r>
        <w:r w:rsidR="00E150CA">
          <w:rPr>
            <w:noProof/>
            <w:webHidden/>
          </w:rPr>
          <w:t>50</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78" w:history="1">
        <w:r w:rsidR="00725504" w:rsidRPr="009C0921">
          <w:rPr>
            <w:rStyle w:val="Hyperlink"/>
            <w:noProof/>
          </w:rPr>
          <w:t>Table 3.16  Changes in median score on each WHOQOL domain between baseline and follow-up for each PIT type</w:t>
        </w:r>
        <w:r w:rsidR="00725504">
          <w:rPr>
            <w:noProof/>
            <w:webHidden/>
          </w:rPr>
          <w:tab/>
        </w:r>
        <w:r w:rsidR="00725504">
          <w:rPr>
            <w:noProof/>
            <w:webHidden/>
          </w:rPr>
          <w:fldChar w:fldCharType="begin"/>
        </w:r>
        <w:r w:rsidR="00725504">
          <w:rPr>
            <w:noProof/>
            <w:webHidden/>
          </w:rPr>
          <w:instrText xml:space="preserve"> PAGEREF _Toc398105078 \h </w:instrText>
        </w:r>
        <w:r w:rsidR="00725504">
          <w:rPr>
            <w:noProof/>
            <w:webHidden/>
          </w:rPr>
        </w:r>
        <w:r w:rsidR="00725504">
          <w:rPr>
            <w:noProof/>
            <w:webHidden/>
          </w:rPr>
          <w:fldChar w:fldCharType="separate"/>
        </w:r>
        <w:r w:rsidR="00E150CA">
          <w:rPr>
            <w:noProof/>
            <w:webHidden/>
          </w:rPr>
          <w:t>51</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79" w:history="1">
        <w:r w:rsidR="00725504" w:rsidRPr="009C0921">
          <w:rPr>
            <w:rStyle w:val="Hyperlink"/>
            <w:noProof/>
          </w:rPr>
          <w:t>Table 3.17  Proportion of treatment episodes by treatment type and jurisdiction</w:t>
        </w:r>
        <w:r w:rsidR="00725504">
          <w:rPr>
            <w:noProof/>
            <w:webHidden/>
          </w:rPr>
          <w:tab/>
        </w:r>
        <w:r w:rsidR="00725504">
          <w:rPr>
            <w:noProof/>
            <w:webHidden/>
          </w:rPr>
          <w:fldChar w:fldCharType="begin"/>
        </w:r>
        <w:r w:rsidR="00725504">
          <w:rPr>
            <w:noProof/>
            <w:webHidden/>
          </w:rPr>
          <w:instrText xml:space="preserve"> PAGEREF _Toc398105079 \h </w:instrText>
        </w:r>
        <w:r w:rsidR="00725504">
          <w:rPr>
            <w:noProof/>
            <w:webHidden/>
          </w:rPr>
        </w:r>
        <w:r w:rsidR="00725504">
          <w:rPr>
            <w:noProof/>
            <w:webHidden/>
          </w:rPr>
          <w:fldChar w:fldCharType="separate"/>
        </w:r>
        <w:r w:rsidR="00E150CA">
          <w:rPr>
            <w:noProof/>
            <w:webHidden/>
          </w:rPr>
          <w:t>58</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80" w:history="1">
        <w:r w:rsidR="00725504" w:rsidRPr="009C0921">
          <w:rPr>
            <w:rStyle w:val="Hyperlink"/>
            <w:noProof/>
          </w:rPr>
          <w:t>Table 3.18  Abstinence and Success rates by PIT using weighted and unweighted data</w:t>
        </w:r>
        <w:r w:rsidR="00725504">
          <w:rPr>
            <w:noProof/>
            <w:webHidden/>
          </w:rPr>
          <w:tab/>
        </w:r>
        <w:r w:rsidR="00725504">
          <w:rPr>
            <w:noProof/>
            <w:webHidden/>
          </w:rPr>
          <w:fldChar w:fldCharType="begin"/>
        </w:r>
        <w:r w:rsidR="00725504">
          <w:rPr>
            <w:noProof/>
            <w:webHidden/>
          </w:rPr>
          <w:instrText xml:space="preserve"> PAGEREF _Toc398105080 \h </w:instrText>
        </w:r>
        <w:r w:rsidR="00725504">
          <w:rPr>
            <w:noProof/>
            <w:webHidden/>
          </w:rPr>
        </w:r>
        <w:r w:rsidR="00725504">
          <w:rPr>
            <w:noProof/>
            <w:webHidden/>
          </w:rPr>
          <w:fldChar w:fldCharType="separate"/>
        </w:r>
        <w:r w:rsidR="00E150CA">
          <w:rPr>
            <w:noProof/>
            <w:webHidden/>
          </w:rPr>
          <w:t>59</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81" w:history="1">
        <w:r w:rsidR="00725504" w:rsidRPr="009C0921">
          <w:rPr>
            <w:rStyle w:val="Hyperlink"/>
            <w:noProof/>
          </w:rPr>
          <w:t>Table 3.19  Abstinence and Success rates by PDOC using weighted and unweighted data</w:t>
        </w:r>
        <w:r w:rsidR="00725504">
          <w:rPr>
            <w:noProof/>
            <w:webHidden/>
          </w:rPr>
          <w:tab/>
        </w:r>
        <w:r w:rsidR="00725504">
          <w:rPr>
            <w:noProof/>
            <w:webHidden/>
          </w:rPr>
          <w:fldChar w:fldCharType="begin"/>
        </w:r>
        <w:r w:rsidR="00725504">
          <w:rPr>
            <w:noProof/>
            <w:webHidden/>
          </w:rPr>
          <w:instrText xml:space="preserve"> PAGEREF _Toc398105081 \h </w:instrText>
        </w:r>
        <w:r w:rsidR="00725504">
          <w:rPr>
            <w:noProof/>
            <w:webHidden/>
          </w:rPr>
        </w:r>
        <w:r w:rsidR="00725504">
          <w:rPr>
            <w:noProof/>
            <w:webHidden/>
          </w:rPr>
          <w:fldChar w:fldCharType="separate"/>
        </w:r>
        <w:r w:rsidR="00E150CA">
          <w:rPr>
            <w:noProof/>
            <w:webHidden/>
          </w:rPr>
          <w:t>59</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82" w:history="1">
        <w:r w:rsidR="00725504" w:rsidRPr="009C0921">
          <w:rPr>
            <w:rStyle w:val="Hyperlink"/>
            <w:noProof/>
          </w:rPr>
          <w:t>Table 3.20  Key outcome by PIT using weighted data</w:t>
        </w:r>
        <w:r w:rsidR="00725504">
          <w:rPr>
            <w:noProof/>
            <w:webHidden/>
          </w:rPr>
          <w:tab/>
        </w:r>
        <w:r w:rsidR="00725504">
          <w:rPr>
            <w:noProof/>
            <w:webHidden/>
          </w:rPr>
          <w:fldChar w:fldCharType="begin"/>
        </w:r>
        <w:r w:rsidR="00725504">
          <w:rPr>
            <w:noProof/>
            <w:webHidden/>
          </w:rPr>
          <w:instrText xml:space="preserve"> PAGEREF _Toc398105082 \h </w:instrText>
        </w:r>
        <w:r w:rsidR="00725504">
          <w:rPr>
            <w:noProof/>
            <w:webHidden/>
          </w:rPr>
        </w:r>
        <w:r w:rsidR="00725504">
          <w:rPr>
            <w:noProof/>
            <w:webHidden/>
          </w:rPr>
          <w:fldChar w:fldCharType="separate"/>
        </w:r>
        <w:r w:rsidR="00E150CA">
          <w:rPr>
            <w:noProof/>
            <w:webHidden/>
          </w:rPr>
          <w:t>60</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83" w:history="1">
        <w:r w:rsidR="00725504" w:rsidRPr="009C0921">
          <w:rPr>
            <w:rStyle w:val="Hyperlink"/>
            <w:noProof/>
          </w:rPr>
          <w:t>Table 3.21  Key outcome by PDOC using weighted data</w:t>
        </w:r>
        <w:r w:rsidR="00725504">
          <w:rPr>
            <w:noProof/>
            <w:webHidden/>
          </w:rPr>
          <w:tab/>
        </w:r>
        <w:r w:rsidR="00725504">
          <w:rPr>
            <w:noProof/>
            <w:webHidden/>
          </w:rPr>
          <w:fldChar w:fldCharType="begin"/>
        </w:r>
        <w:r w:rsidR="00725504">
          <w:rPr>
            <w:noProof/>
            <w:webHidden/>
          </w:rPr>
          <w:instrText xml:space="preserve"> PAGEREF _Toc398105083 \h </w:instrText>
        </w:r>
        <w:r w:rsidR="00725504">
          <w:rPr>
            <w:noProof/>
            <w:webHidden/>
          </w:rPr>
        </w:r>
        <w:r w:rsidR="00725504">
          <w:rPr>
            <w:noProof/>
            <w:webHidden/>
          </w:rPr>
          <w:fldChar w:fldCharType="separate"/>
        </w:r>
        <w:r w:rsidR="00E150CA">
          <w:rPr>
            <w:noProof/>
            <w:webHidden/>
          </w:rPr>
          <w:t>60</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84" w:history="1">
        <w:r w:rsidR="00725504" w:rsidRPr="009C0921">
          <w:rPr>
            <w:rStyle w:val="Hyperlink"/>
            <w:noProof/>
          </w:rPr>
          <w:t>Table 4.1  Definition of disease categories for emergency department and hospital diagnoses</w:t>
        </w:r>
        <w:r w:rsidR="00725504">
          <w:rPr>
            <w:noProof/>
            <w:webHidden/>
          </w:rPr>
          <w:tab/>
        </w:r>
        <w:r w:rsidR="00725504">
          <w:rPr>
            <w:noProof/>
            <w:webHidden/>
          </w:rPr>
          <w:fldChar w:fldCharType="begin"/>
        </w:r>
        <w:r w:rsidR="00725504">
          <w:rPr>
            <w:noProof/>
            <w:webHidden/>
          </w:rPr>
          <w:instrText xml:space="preserve"> PAGEREF _Toc398105084 \h </w:instrText>
        </w:r>
        <w:r w:rsidR="00725504">
          <w:rPr>
            <w:noProof/>
            <w:webHidden/>
          </w:rPr>
        </w:r>
        <w:r w:rsidR="00725504">
          <w:rPr>
            <w:noProof/>
            <w:webHidden/>
          </w:rPr>
          <w:fldChar w:fldCharType="separate"/>
        </w:r>
        <w:r w:rsidR="00E150CA">
          <w:rPr>
            <w:noProof/>
            <w:webHidden/>
          </w:rPr>
          <w:t>83</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85" w:history="1">
        <w:r w:rsidR="00725504" w:rsidRPr="009C0921">
          <w:rPr>
            <w:rStyle w:val="Hyperlink"/>
            <w:noProof/>
          </w:rPr>
          <w:t>Table 4.2  Sociodemographic characteristics by ED presentations, 2009/10 to 2011/12, among those who were AOD clients in 2010/11</w:t>
        </w:r>
        <w:r w:rsidR="00725504">
          <w:rPr>
            <w:noProof/>
            <w:webHidden/>
          </w:rPr>
          <w:tab/>
        </w:r>
        <w:r w:rsidR="00725504">
          <w:rPr>
            <w:noProof/>
            <w:webHidden/>
          </w:rPr>
          <w:fldChar w:fldCharType="begin"/>
        </w:r>
        <w:r w:rsidR="00725504">
          <w:rPr>
            <w:noProof/>
            <w:webHidden/>
          </w:rPr>
          <w:instrText xml:space="preserve"> PAGEREF _Toc398105085 \h </w:instrText>
        </w:r>
        <w:r w:rsidR="00725504">
          <w:rPr>
            <w:noProof/>
            <w:webHidden/>
          </w:rPr>
        </w:r>
        <w:r w:rsidR="00725504">
          <w:rPr>
            <w:noProof/>
            <w:webHidden/>
          </w:rPr>
          <w:fldChar w:fldCharType="separate"/>
        </w:r>
        <w:r w:rsidR="00E150CA">
          <w:rPr>
            <w:noProof/>
            <w:webHidden/>
          </w:rPr>
          <w:t>85</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86" w:history="1">
        <w:r w:rsidR="00725504" w:rsidRPr="009C0921">
          <w:rPr>
            <w:rStyle w:val="Hyperlink"/>
            <w:noProof/>
          </w:rPr>
          <w:t>Table 4.3  Sociodemographic characteristics by ED presentations in 2009/10, 2010/11 and 2011/12</w:t>
        </w:r>
        <w:r w:rsidR="00725504">
          <w:rPr>
            <w:noProof/>
            <w:webHidden/>
          </w:rPr>
          <w:tab/>
        </w:r>
        <w:r w:rsidR="00725504">
          <w:rPr>
            <w:noProof/>
            <w:webHidden/>
          </w:rPr>
          <w:fldChar w:fldCharType="begin"/>
        </w:r>
        <w:r w:rsidR="00725504">
          <w:rPr>
            <w:noProof/>
            <w:webHidden/>
          </w:rPr>
          <w:instrText xml:space="preserve"> PAGEREF _Toc398105086 \h </w:instrText>
        </w:r>
        <w:r w:rsidR="00725504">
          <w:rPr>
            <w:noProof/>
            <w:webHidden/>
          </w:rPr>
        </w:r>
        <w:r w:rsidR="00725504">
          <w:rPr>
            <w:noProof/>
            <w:webHidden/>
          </w:rPr>
          <w:fldChar w:fldCharType="separate"/>
        </w:r>
        <w:r w:rsidR="00E150CA">
          <w:rPr>
            <w:noProof/>
            <w:webHidden/>
          </w:rPr>
          <w:t>87</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87" w:history="1">
        <w:r w:rsidR="00725504" w:rsidRPr="009C0921">
          <w:rPr>
            <w:rStyle w:val="Hyperlink"/>
            <w:noProof/>
          </w:rPr>
          <w:t>Table 4.4  Treatment type and treatment characteristics by ED presentation</w:t>
        </w:r>
        <w:r w:rsidR="00725504" w:rsidRPr="009C0921">
          <w:rPr>
            <w:rStyle w:val="Hyperlink"/>
            <w:iCs/>
            <w:noProof/>
          </w:rPr>
          <w:t>, 2009/10 to 2011/12</w:t>
        </w:r>
        <w:r w:rsidR="00725504">
          <w:rPr>
            <w:noProof/>
            <w:webHidden/>
          </w:rPr>
          <w:tab/>
        </w:r>
        <w:r w:rsidR="00725504">
          <w:rPr>
            <w:noProof/>
            <w:webHidden/>
          </w:rPr>
          <w:fldChar w:fldCharType="begin"/>
        </w:r>
        <w:r w:rsidR="00725504">
          <w:rPr>
            <w:noProof/>
            <w:webHidden/>
          </w:rPr>
          <w:instrText xml:space="preserve"> PAGEREF _Toc398105087 \h </w:instrText>
        </w:r>
        <w:r w:rsidR="00725504">
          <w:rPr>
            <w:noProof/>
            <w:webHidden/>
          </w:rPr>
        </w:r>
        <w:r w:rsidR="00725504">
          <w:rPr>
            <w:noProof/>
            <w:webHidden/>
          </w:rPr>
          <w:fldChar w:fldCharType="separate"/>
        </w:r>
        <w:r w:rsidR="00E150CA">
          <w:rPr>
            <w:noProof/>
            <w:webHidden/>
          </w:rPr>
          <w:t>89</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88" w:history="1">
        <w:r w:rsidR="00725504" w:rsidRPr="009C0921">
          <w:rPr>
            <w:rStyle w:val="Hyperlink"/>
            <w:noProof/>
          </w:rPr>
          <w:t>Table 4.5  Treatment type and treatment characteristics by ED presentations in 2009/10, 2010/11 and 2011/12</w:t>
        </w:r>
        <w:r w:rsidR="00725504">
          <w:rPr>
            <w:noProof/>
            <w:webHidden/>
          </w:rPr>
          <w:tab/>
        </w:r>
        <w:r w:rsidR="00725504">
          <w:rPr>
            <w:noProof/>
            <w:webHidden/>
          </w:rPr>
          <w:fldChar w:fldCharType="begin"/>
        </w:r>
        <w:r w:rsidR="00725504">
          <w:rPr>
            <w:noProof/>
            <w:webHidden/>
          </w:rPr>
          <w:instrText xml:space="preserve"> PAGEREF _Toc398105088 \h </w:instrText>
        </w:r>
        <w:r w:rsidR="00725504">
          <w:rPr>
            <w:noProof/>
            <w:webHidden/>
          </w:rPr>
        </w:r>
        <w:r w:rsidR="00725504">
          <w:rPr>
            <w:noProof/>
            <w:webHidden/>
          </w:rPr>
          <w:fldChar w:fldCharType="separate"/>
        </w:r>
        <w:r w:rsidR="00E150CA">
          <w:rPr>
            <w:noProof/>
            <w:webHidden/>
          </w:rPr>
          <w:t>90</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89" w:history="1">
        <w:r w:rsidR="00725504" w:rsidRPr="009C0921">
          <w:rPr>
            <w:rStyle w:val="Hyperlink"/>
            <w:noProof/>
          </w:rPr>
          <w:t>Table 4.6  Drug use characteristics by ED presentations, 2009/10 to 2011/12</w:t>
        </w:r>
        <w:r w:rsidR="00725504">
          <w:rPr>
            <w:noProof/>
            <w:webHidden/>
          </w:rPr>
          <w:tab/>
        </w:r>
        <w:r w:rsidR="00725504">
          <w:rPr>
            <w:noProof/>
            <w:webHidden/>
          </w:rPr>
          <w:fldChar w:fldCharType="begin"/>
        </w:r>
        <w:r w:rsidR="00725504">
          <w:rPr>
            <w:noProof/>
            <w:webHidden/>
          </w:rPr>
          <w:instrText xml:space="preserve"> PAGEREF _Toc398105089 \h </w:instrText>
        </w:r>
        <w:r w:rsidR="00725504">
          <w:rPr>
            <w:noProof/>
            <w:webHidden/>
          </w:rPr>
        </w:r>
        <w:r w:rsidR="00725504">
          <w:rPr>
            <w:noProof/>
            <w:webHidden/>
          </w:rPr>
          <w:fldChar w:fldCharType="separate"/>
        </w:r>
        <w:r w:rsidR="00E150CA">
          <w:rPr>
            <w:noProof/>
            <w:webHidden/>
          </w:rPr>
          <w:t>92</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90" w:history="1">
        <w:r w:rsidR="00725504" w:rsidRPr="009C0921">
          <w:rPr>
            <w:rStyle w:val="Hyperlink"/>
            <w:noProof/>
          </w:rPr>
          <w:t>Table 4.7  Drug use characteristics by ED presentations in 2009/10, 2010/11 and 2011/12</w:t>
        </w:r>
        <w:r w:rsidR="00725504">
          <w:rPr>
            <w:noProof/>
            <w:webHidden/>
          </w:rPr>
          <w:tab/>
        </w:r>
        <w:r w:rsidR="00725504">
          <w:rPr>
            <w:noProof/>
            <w:webHidden/>
          </w:rPr>
          <w:fldChar w:fldCharType="begin"/>
        </w:r>
        <w:r w:rsidR="00725504">
          <w:rPr>
            <w:noProof/>
            <w:webHidden/>
          </w:rPr>
          <w:instrText xml:space="preserve"> PAGEREF _Toc398105090 \h </w:instrText>
        </w:r>
        <w:r w:rsidR="00725504">
          <w:rPr>
            <w:noProof/>
            <w:webHidden/>
          </w:rPr>
        </w:r>
        <w:r w:rsidR="00725504">
          <w:rPr>
            <w:noProof/>
            <w:webHidden/>
          </w:rPr>
          <w:fldChar w:fldCharType="separate"/>
        </w:r>
        <w:r w:rsidR="00E150CA">
          <w:rPr>
            <w:noProof/>
            <w:webHidden/>
          </w:rPr>
          <w:t>93</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91" w:history="1">
        <w:r w:rsidR="00725504" w:rsidRPr="009C0921">
          <w:rPr>
            <w:rStyle w:val="Hyperlink"/>
            <w:noProof/>
          </w:rPr>
          <w:t>Table 4.8  Median number of ED presentations and median hours of ED stay for 2010/11 AOD clients, 2009/10 to 2011/12</w:t>
        </w:r>
        <w:r w:rsidR="00725504">
          <w:rPr>
            <w:noProof/>
            <w:webHidden/>
          </w:rPr>
          <w:tab/>
        </w:r>
        <w:r w:rsidR="00725504">
          <w:rPr>
            <w:noProof/>
            <w:webHidden/>
          </w:rPr>
          <w:fldChar w:fldCharType="begin"/>
        </w:r>
        <w:r w:rsidR="00725504">
          <w:rPr>
            <w:noProof/>
            <w:webHidden/>
          </w:rPr>
          <w:instrText xml:space="preserve"> PAGEREF _Toc398105091 \h </w:instrText>
        </w:r>
        <w:r w:rsidR="00725504">
          <w:rPr>
            <w:noProof/>
            <w:webHidden/>
          </w:rPr>
        </w:r>
        <w:r w:rsidR="00725504">
          <w:rPr>
            <w:noProof/>
            <w:webHidden/>
          </w:rPr>
          <w:fldChar w:fldCharType="separate"/>
        </w:r>
        <w:r w:rsidR="00E150CA">
          <w:rPr>
            <w:noProof/>
            <w:webHidden/>
          </w:rPr>
          <w:t>93</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92" w:history="1">
        <w:r w:rsidR="00725504" w:rsidRPr="009C0921">
          <w:rPr>
            <w:rStyle w:val="Hyperlink"/>
            <w:noProof/>
          </w:rPr>
          <w:t>Table 4.9  ED presentations for alcohol-related acute conditions by AOD treatment type, primary drug of concern and treatment termination status, 2009/10, 2010/11 and 2011/12</w:t>
        </w:r>
        <w:r w:rsidR="00725504">
          <w:rPr>
            <w:noProof/>
            <w:webHidden/>
          </w:rPr>
          <w:tab/>
        </w:r>
        <w:r w:rsidR="00725504">
          <w:rPr>
            <w:noProof/>
            <w:webHidden/>
          </w:rPr>
          <w:fldChar w:fldCharType="begin"/>
        </w:r>
        <w:r w:rsidR="00725504">
          <w:rPr>
            <w:noProof/>
            <w:webHidden/>
          </w:rPr>
          <w:instrText xml:space="preserve"> PAGEREF _Toc398105092 \h </w:instrText>
        </w:r>
        <w:r w:rsidR="00725504">
          <w:rPr>
            <w:noProof/>
            <w:webHidden/>
          </w:rPr>
        </w:r>
        <w:r w:rsidR="00725504">
          <w:rPr>
            <w:noProof/>
            <w:webHidden/>
          </w:rPr>
          <w:fldChar w:fldCharType="separate"/>
        </w:r>
        <w:r w:rsidR="00E150CA">
          <w:rPr>
            <w:noProof/>
            <w:webHidden/>
          </w:rPr>
          <w:t>94</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93" w:history="1">
        <w:r w:rsidR="00725504" w:rsidRPr="009C0921">
          <w:rPr>
            <w:rStyle w:val="Hyperlink"/>
            <w:noProof/>
          </w:rPr>
          <w:t>Table 4.10  ED presentations for other drug-related acute conditions by AOD treatment type, primary drug of concern and treatment termination status, 2009/10, 2010/11 and 2011/12</w:t>
        </w:r>
        <w:r w:rsidR="00725504">
          <w:rPr>
            <w:noProof/>
            <w:webHidden/>
          </w:rPr>
          <w:tab/>
        </w:r>
        <w:r w:rsidR="00725504">
          <w:rPr>
            <w:noProof/>
            <w:webHidden/>
          </w:rPr>
          <w:fldChar w:fldCharType="begin"/>
        </w:r>
        <w:r w:rsidR="00725504">
          <w:rPr>
            <w:noProof/>
            <w:webHidden/>
          </w:rPr>
          <w:instrText xml:space="preserve"> PAGEREF _Toc398105093 \h </w:instrText>
        </w:r>
        <w:r w:rsidR="00725504">
          <w:rPr>
            <w:noProof/>
            <w:webHidden/>
          </w:rPr>
        </w:r>
        <w:r w:rsidR="00725504">
          <w:rPr>
            <w:noProof/>
            <w:webHidden/>
          </w:rPr>
          <w:fldChar w:fldCharType="separate"/>
        </w:r>
        <w:r w:rsidR="00E150CA">
          <w:rPr>
            <w:noProof/>
            <w:webHidden/>
          </w:rPr>
          <w:t>95</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94" w:history="1">
        <w:r w:rsidR="00725504" w:rsidRPr="009C0921">
          <w:rPr>
            <w:rStyle w:val="Hyperlink"/>
            <w:noProof/>
          </w:rPr>
          <w:t>Table 4.11  ED presentations for alcohol-related chronic conditions by AOD treatment type, primary drug of concern and treatment termination status, 2009/10, 2010/11 and 2011/12</w:t>
        </w:r>
        <w:r w:rsidR="00725504">
          <w:rPr>
            <w:noProof/>
            <w:webHidden/>
          </w:rPr>
          <w:tab/>
        </w:r>
        <w:r w:rsidR="00725504">
          <w:rPr>
            <w:noProof/>
            <w:webHidden/>
          </w:rPr>
          <w:fldChar w:fldCharType="begin"/>
        </w:r>
        <w:r w:rsidR="00725504">
          <w:rPr>
            <w:noProof/>
            <w:webHidden/>
          </w:rPr>
          <w:instrText xml:space="preserve"> PAGEREF _Toc398105094 \h </w:instrText>
        </w:r>
        <w:r w:rsidR="00725504">
          <w:rPr>
            <w:noProof/>
            <w:webHidden/>
          </w:rPr>
        </w:r>
        <w:r w:rsidR="00725504">
          <w:rPr>
            <w:noProof/>
            <w:webHidden/>
          </w:rPr>
          <w:fldChar w:fldCharType="separate"/>
        </w:r>
        <w:r w:rsidR="00E150CA">
          <w:rPr>
            <w:noProof/>
            <w:webHidden/>
          </w:rPr>
          <w:t>96</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95" w:history="1">
        <w:r w:rsidR="00725504" w:rsidRPr="009C0921">
          <w:rPr>
            <w:rStyle w:val="Hyperlink"/>
            <w:noProof/>
          </w:rPr>
          <w:t>Table 4.12  ED presentations for injuries by AOD treatment type, primary drug of concern and treatment termination status, 2009/10, 2010/11 and 2011/12</w:t>
        </w:r>
        <w:r w:rsidR="00725504">
          <w:rPr>
            <w:noProof/>
            <w:webHidden/>
          </w:rPr>
          <w:tab/>
        </w:r>
        <w:r w:rsidR="00725504">
          <w:rPr>
            <w:noProof/>
            <w:webHidden/>
          </w:rPr>
          <w:fldChar w:fldCharType="begin"/>
        </w:r>
        <w:r w:rsidR="00725504">
          <w:rPr>
            <w:noProof/>
            <w:webHidden/>
          </w:rPr>
          <w:instrText xml:space="preserve"> PAGEREF _Toc398105095 \h </w:instrText>
        </w:r>
        <w:r w:rsidR="00725504">
          <w:rPr>
            <w:noProof/>
            <w:webHidden/>
          </w:rPr>
        </w:r>
        <w:r w:rsidR="00725504">
          <w:rPr>
            <w:noProof/>
            <w:webHidden/>
          </w:rPr>
          <w:fldChar w:fldCharType="separate"/>
        </w:r>
        <w:r w:rsidR="00E150CA">
          <w:rPr>
            <w:noProof/>
            <w:webHidden/>
          </w:rPr>
          <w:t>97</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96" w:history="1">
        <w:r w:rsidR="00725504" w:rsidRPr="009C0921">
          <w:rPr>
            <w:rStyle w:val="Hyperlink"/>
            <w:noProof/>
          </w:rPr>
          <w:t>Table 4.13  ED presentations for non-AOD-related conditions by AOD treatment type, primary drug of concern and treatment termination status, 2009/10, 2010/11 and 2011/12</w:t>
        </w:r>
        <w:r w:rsidR="00725504">
          <w:rPr>
            <w:noProof/>
            <w:webHidden/>
          </w:rPr>
          <w:tab/>
        </w:r>
        <w:r w:rsidR="00725504">
          <w:rPr>
            <w:noProof/>
            <w:webHidden/>
          </w:rPr>
          <w:fldChar w:fldCharType="begin"/>
        </w:r>
        <w:r w:rsidR="00725504">
          <w:rPr>
            <w:noProof/>
            <w:webHidden/>
          </w:rPr>
          <w:instrText xml:space="preserve"> PAGEREF _Toc398105096 \h </w:instrText>
        </w:r>
        <w:r w:rsidR="00725504">
          <w:rPr>
            <w:noProof/>
            <w:webHidden/>
          </w:rPr>
        </w:r>
        <w:r w:rsidR="00725504">
          <w:rPr>
            <w:noProof/>
            <w:webHidden/>
          </w:rPr>
          <w:fldChar w:fldCharType="separate"/>
        </w:r>
        <w:r w:rsidR="00E150CA">
          <w:rPr>
            <w:noProof/>
            <w:webHidden/>
          </w:rPr>
          <w:t>98</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97" w:history="1">
        <w:r w:rsidR="00725504" w:rsidRPr="009C0921">
          <w:rPr>
            <w:rStyle w:val="Hyperlink"/>
            <w:noProof/>
          </w:rPr>
          <w:t>Table 4.14  Sociodemographic characteristics by hospital admission, 2009/10 to 2011/12</w:t>
        </w:r>
        <w:r w:rsidR="00725504">
          <w:rPr>
            <w:noProof/>
            <w:webHidden/>
          </w:rPr>
          <w:tab/>
        </w:r>
        <w:r w:rsidR="00725504">
          <w:rPr>
            <w:noProof/>
            <w:webHidden/>
          </w:rPr>
          <w:fldChar w:fldCharType="begin"/>
        </w:r>
        <w:r w:rsidR="00725504">
          <w:rPr>
            <w:noProof/>
            <w:webHidden/>
          </w:rPr>
          <w:instrText xml:space="preserve"> PAGEREF _Toc398105097 \h </w:instrText>
        </w:r>
        <w:r w:rsidR="00725504">
          <w:rPr>
            <w:noProof/>
            <w:webHidden/>
          </w:rPr>
        </w:r>
        <w:r w:rsidR="00725504">
          <w:rPr>
            <w:noProof/>
            <w:webHidden/>
          </w:rPr>
          <w:fldChar w:fldCharType="separate"/>
        </w:r>
        <w:r w:rsidR="00E150CA">
          <w:rPr>
            <w:noProof/>
            <w:webHidden/>
          </w:rPr>
          <w:t>100</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98" w:history="1">
        <w:r w:rsidR="00725504" w:rsidRPr="009C0921">
          <w:rPr>
            <w:rStyle w:val="Hyperlink"/>
            <w:noProof/>
          </w:rPr>
          <w:t>Table 4.15  Sociodemographic characteristics by hospital admission in 2009/10, 2010/11 and 2011/12</w:t>
        </w:r>
        <w:r w:rsidR="00725504">
          <w:rPr>
            <w:noProof/>
            <w:webHidden/>
          </w:rPr>
          <w:tab/>
        </w:r>
        <w:r w:rsidR="00725504">
          <w:rPr>
            <w:noProof/>
            <w:webHidden/>
          </w:rPr>
          <w:fldChar w:fldCharType="begin"/>
        </w:r>
        <w:r w:rsidR="00725504">
          <w:rPr>
            <w:noProof/>
            <w:webHidden/>
          </w:rPr>
          <w:instrText xml:space="preserve"> PAGEREF _Toc398105098 \h </w:instrText>
        </w:r>
        <w:r w:rsidR="00725504">
          <w:rPr>
            <w:noProof/>
            <w:webHidden/>
          </w:rPr>
        </w:r>
        <w:r w:rsidR="00725504">
          <w:rPr>
            <w:noProof/>
            <w:webHidden/>
          </w:rPr>
          <w:fldChar w:fldCharType="separate"/>
        </w:r>
        <w:r w:rsidR="00E150CA">
          <w:rPr>
            <w:noProof/>
            <w:webHidden/>
          </w:rPr>
          <w:t>102</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099" w:history="1">
        <w:r w:rsidR="00725504" w:rsidRPr="009C0921">
          <w:rPr>
            <w:rStyle w:val="Hyperlink"/>
            <w:noProof/>
          </w:rPr>
          <w:t>Table 4.16  Treatment type and treatment characteristics by admissions</w:t>
        </w:r>
        <w:r w:rsidR="00725504" w:rsidRPr="009C0921">
          <w:rPr>
            <w:rStyle w:val="Hyperlink"/>
            <w:iCs/>
            <w:noProof/>
          </w:rPr>
          <w:t>, 2009/10 to 2011/12</w:t>
        </w:r>
        <w:r w:rsidR="00725504">
          <w:rPr>
            <w:noProof/>
            <w:webHidden/>
          </w:rPr>
          <w:tab/>
        </w:r>
        <w:r w:rsidR="00725504">
          <w:rPr>
            <w:noProof/>
            <w:webHidden/>
          </w:rPr>
          <w:fldChar w:fldCharType="begin"/>
        </w:r>
        <w:r w:rsidR="00725504">
          <w:rPr>
            <w:noProof/>
            <w:webHidden/>
          </w:rPr>
          <w:instrText xml:space="preserve"> PAGEREF _Toc398105099 \h </w:instrText>
        </w:r>
        <w:r w:rsidR="00725504">
          <w:rPr>
            <w:noProof/>
            <w:webHidden/>
          </w:rPr>
        </w:r>
        <w:r w:rsidR="00725504">
          <w:rPr>
            <w:noProof/>
            <w:webHidden/>
          </w:rPr>
          <w:fldChar w:fldCharType="separate"/>
        </w:r>
        <w:r w:rsidR="00E150CA">
          <w:rPr>
            <w:noProof/>
            <w:webHidden/>
          </w:rPr>
          <w:t>104</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00" w:history="1">
        <w:r w:rsidR="00725504" w:rsidRPr="009C0921">
          <w:rPr>
            <w:rStyle w:val="Hyperlink"/>
            <w:noProof/>
          </w:rPr>
          <w:t>Table 4.17  Treatment type and treatment characteristics by admissions in 2009/10, 2010/11 and 2011/12</w:t>
        </w:r>
        <w:r w:rsidR="00725504">
          <w:rPr>
            <w:noProof/>
            <w:webHidden/>
          </w:rPr>
          <w:tab/>
        </w:r>
        <w:r w:rsidR="00725504">
          <w:rPr>
            <w:noProof/>
            <w:webHidden/>
          </w:rPr>
          <w:fldChar w:fldCharType="begin"/>
        </w:r>
        <w:r w:rsidR="00725504">
          <w:rPr>
            <w:noProof/>
            <w:webHidden/>
          </w:rPr>
          <w:instrText xml:space="preserve"> PAGEREF _Toc398105100 \h </w:instrText>
        </w:r>
        <w:r w:rsidR="00725504">
          <w:rPr>
            <w:noProof/>
            <w:webHidden/>
          </w:rPr>
        </w:r>
        <w:r w:rsidR="00725504">
          <w:rPr>
            <w:noProof/>
            <w:webHidden/>
          </w:rPr>
          <w:fldChar w:fldCharType="separate"/>
        </w:r>
        <w:r w:rsidR="00E150CA">
          <w:rPr>
            <w:noProof/>
            <w:webHidden/>
          </w:rPr>
          <w:t>105</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01" w:history="1">
        <w:r w:rsidR="00725504" w:rsidRPr="009C0921">
          <w:rPr>
            <w:rStyle w:val="Hyperlink"/>
            <w:noProof/>
          </w:rPr>
          <w:t>Table 4.18  Drug use characteristics by hospital admission, 2009/10 to 2011/12</w:t>
        </w:r>
        <w:r w:rsidR="00725504">
          <w:rPr>
            <w:noProof/>
            <w:webHidden/>
          </w:rPr>
          <w:tab/>
        </w:r>
        <w:r w:rsidR="00725504">
          <w:rPr>
            <w:noProof/>
            <w:webHidden/>
          </w:rPr>
          <w:fldChar w:fldCharType="begin"/>
        </w:r>
        <w:r w:rsidR="00725504">
          <w:rPr>
            <w:noProof/>
            <w:webHidden/>
          </w:rPr>
          <w:instrText xml:space="preserve"> PAGEREF _Toc398105101 \h </w:instrText>
        </w:r>
        <w:r w:rsidR="00725504">
          <w:rPr>
            <w:noProof/>
            <w:webHidden/>
          </w:rPr>
        </w:r>
        <w:r w:rsidR="00725504">
          <w:rPr>
            <w:noProof/>
            <w:webHidden/>
          </w:rPr>
          <w:fldChar w:fldCharType="separate"/>
        </w:r>
        <w:r w:rsidR="00E150CA">
          <w:rPr>
            <w:noProof/>
            <w:webHidden/>
          </w:rPr>
          <w:t>107</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02" w:history="1">
        <w:r w:rsidR="00725504" w:rsidRPr="009C0921">
          <w:rPr>
            <w:rStyle w:val="Hyperlink"/>
            <w:bCs/>
            <w:noProof/>
          </w:rPr>
          <w:t xml:space="preserve">Table 4.19 </w:t>
        </w:r>
        <w:r w:rsidR="00725504" w:rsidRPr="009C0921">
          <w:rPr>
            <w:rStyle w:val="Hyperlink"/>
            <w:noProof/>
          </w:rPr>
          <w:t xml:space="preserve"> Drug use characteristics by hospital admission, 2009/10, 2010/11 and 2011/12</w:t>
        </w:r>
        <w:r w:rsidR="00725504">
          <w:rPr>
            <w:noProof/>
            <w:webHidden/>
          </w:rPr>
          <w:tab/>
        </w:r>
        <w:r w:rsidR="00725504">
          <w:rPr>
            <w:noProof/>
            <w:webHidden/>
          </w:rPr>
          <w:fldChar w:fldCharType="begin"/>
        </w:r>
        <w:r w:rsidR="00725504">
          <w:rPr>
            <w:noProof/>
            <w:webHidden/>
          </w:rPr>
          <w:instrText xml:space="preserve"> PAGEREF _Toc398105102 \h </w:instrText>
        </w:r>
        <w:r w:rsidR="00725504">
          <w:rPr>
            <w:noProof/>
            <w:webHidden/>
          </w:rPr>
        </w:r>
        <w:r w:rsidR="00725504">
          <w:rPr>
            <w:noProof/>
            <w:webHidden/>
          </w:rPr>
          <w:fldChar w:fldCharType="separate"/>
        </w:r>
        <w:r w:rsidR="00E150CA">
          <w:rPr>
            <w:noProof/>
            <w:webHidden/>
          </w:rPr>
          <w:t>- 108 -</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03" w:history="1">
        <w:r w:rsidR="00725504" w:rsidRPr="009C0921">
          <w:rPr>
            <w:rStyle w:val="Hyperlink"/>
            <w:noProof/>
          </w:rPr>
          <w:t xml:space="preserve">Table 4.20 </w:t>
        </w:r>
        <w:r w:rsidR="00725504" w:rsidRPr="009C0921">
          <w:rPr>
            <w:rStyle w:val="Hyperlink"/>
            <w:bCs/>
            <w:noProof/>
          </w:rPr>
          <w:t xml:space="preserve"> </w:t>
        </w:r>
        <w:r w:rsidR="00725504" w:rsidRPr="009C0921">
          <w:rPr>
            <w:rStyle w:val="Hyperlink"/>
            <w:noProof/>
          </w:rPr>
          <w:t>M</w:t>
        </w:r>
        <w:r w:rsidR="00725504" w:rsidRPr="009C0921">
          <w:rPr>
            <w:rStyle w:val="Hyperlink"/>
            <w:rFonts w:eastAsia="Times New Roman"/>
            <w:noProof/>
          </w:rPr>
          <w:t>edian number of hospital admissions and length of stay</w:t>
        </w:r>
        <w:r w:rsidR="00725504">
          <w:rPr>
            <w:noProof/>
            <w:webHidden/>
          </w:rPr>
          <w:tab/>
        </w:r>
        <w:r w:rsidR="00725504">
          <w:rPr>
            <w:noProof/>
            <w:webHidden/>
          </w:rPr>
          <w:fldChar w:fldCharType="begin"/>
        </w:r>
        <w:r w:rsidR="00725504">
          <w:rPr>
            <w:noProof/>
            <w:webHidden/>
          </w:rPr>
          <w:instrText xml:space="preserve"> PAGEREF _Toc398105103 \h </w:instrText>
        </w:r>
        <w:r w:rsidR="00725504">
          <w:rPr>
            <w:noProof/>
            <w:webHidden/>
          </w:rPr>
        </w:r>
        <w:r w:rsidR="00725504">
          <w:rPr>
            <w:noProof/>
            <w:webHidden/>
          </w:rPr>
          <w:fldChar w:fldCharType="separate"/>
        </w:r>
        <w:r w:rsidR="00E150CA">
          <w:rPr>
            <w:noProof/>
            <w:webHidden/>
          </w:rPr>
          <w:t>- 108 -</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04" w:history="1">
        <w:r w:rsidR="00725504" w:rsidRPr="009C0921">
          <w:rPr>
            <w:rStyle w:val="Hyperlink"/>
            <w:noProof/>
          </w:rPr>
          <w:t>Table 4.21  Admissions for alcohol-related acute conditions by AOD treatment type, primary drug of concern and treatment termination status, 2009/10, 2010/11 and 2011/12</w:t>
        </w:r>
        <w:r w:rsidR="00725504">
          <w:rPr>
            <w:noProof/>
            <w:webHidden/>
          </w:rPr>
          <w:tab/>
        </w:r>
        <w:r w:rsidR="00725504">
          <w:rPr>
            <w:noProof/>
            <w:webHidden/>
          </w:rPr>
          <w:fldChar w:fldCharType="begin"/>
        </w:r>
        <w:r w:rsidR="00725504">
          <w:rPr>
            <w:noProof/>
            <w:webHidden/>
          </w:rPr>
          <w:instrText xml:space="preserve"> PAGEREF _Toc398105104 \h </w:instrText>
        </w:r>
        <w:r w:rsidR="00725504">
          <w:rPr>
            <w:noProof/>
            <w:webHidden/>
          </w:rPr>
        </w:r>
        <w:r w:rsidR="00725504">
          <w:rPr>
            <w:noProof/>
            <w:webHidden/>
          </w:rPr>
          <w:fldChar w:fldCharType="separate"/>
        </w:r>
        <w:r w:rsidR="00E150CA">
          <w:rPr>
            <w:noProof/>
            <w:webHidden/>
          </w:rPr>
          <w:t>- 109 -</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05" w:history="1">
        <w:r w:rsidR="00725504" w:rsidRPr="009C0921">
          <w:rPr>
            <w:rStyle w:val="Hyperlink"/>
            <w:noProof/>
          </w:rPr>
          <w:t>Table 4.22  Admissions for other drug-related acute conditions by AOD treatment type, primary drug of concern and treatment termination status, 2009/10, 2010/11 and 2011/12</w:t>
        </w:r>
        <w:r w:rsidR="00725504">
          <w:rPr>
            <w:noProof/>
            <w:webHidden/>
          </w:rPr>
          <w:tab/>
        </w:r>
        <w:r w:rsidR="00725504">
          <w:rPr>
            <w:noProof/>
            <w:webHidden/>
          </w:rPr>
          <w:fldChar w:fldCharType="begin"/>
        </w:r>
        <w:r w:rsidR="00725504">
          <w:rPr>
            <w:noProof/>
            <w:webHidden/>
          </w:rPr>
          <w:instrText xml:space="preserve"> PAGEREF _Toc398105105 \h </w:instrText>
        </w:r>
        <w:r w:rsidR="00725504">
          <w:rPr>
            <w:noProof/>
            <w:webHidden/>
          </w:rPr>
        </w:r>
        <w:r w:rsidR="00725504">
          <w:rPr>
            <w:noProof/>
            <w:webHidden/>
          </w:rPr>
          <w:fldChar w:fldCharType="separate"/>
        </w:r>
        <w:r w:rsidR="00E150CA">
          <w:rPr>
            <w:noProof/>
            <w:webHidden/>
          </w:rPr>
          <w:t>- 110 -</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06" w:history="1">
        <w:r w:rsidR="00725504" w:rsidRPr="009C0921">
          <w:rPr>
            <w:rStyle w:val="Hyperlink"/>
            <w:noProof/>
          </w:rPr>
          <w:t>Table 4.23  Admissions for alcohol-related chronic conditions by AOD treatment type, primary drug of concern and treatment termination status, 2009/10, 2010/11 and 2011/12</w:t>
        </w:r>
        <w:r w:rsidR="00725504">
          <w:rPr>
            <w:noProof/>
            <w:webHidden/>
          </w:rPr>
          <w:tab/>
        </w:r>
        <w:r w:rsidR="00725504">
          <w:rPr>
            <w:noProof/>
            <w:webHidden/>
          </w:rPr>
          <w:fldChar w:fldCharType="begin"/>
        </w:r>
        <w:r w:rsidR="00725504">
          <w:rPr>
            <w:noProof/>
            <w:webHidden/>
          </w:rPr>
          <w:instrText xml:space="preserve"> PAGEREF _Toc398105106 \h </w:instrText>
        </w:r>
        <w:r w:rsidR="00725504">
          <w:rPr>
            <w:noProof/>
            <w:webHidden/>
          </w:rPr>
        </w:r>
        <w:r w:rsidR="00725504">
          <w:rPr>
            <w:noProof/>
            <w:webHidden/>
          </w:rPr>
          <w:fldChar w:fldCharType="separate"/>
        </w:r>
        <w:r w:rsidR="00E150CA">
          <w:rPr>
            <w:noProof/>
            <w:webHidden/>
          </w:rPr>
          <w:t>- 111 -</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07" w:history="1">
        <w:r w:rsidR="00725504" w:rsidRPr="009C0921">
          <w:rPr>
            <w:rStyle w:val="Hyperlink"/>
            <w:noProof/>
          </w:rPr>
          <w:t>Table 4.24  Admissions for injuries by AOD treatment type, primary drug of concern and treatment termination status, 2009/10, 2010/11 and 2011/12</w:t>
        </w:r>
        <w:r w:rsidR="00725504">
          <w:rPr>
            <w:noProof/>
            <w:webHidden/>
          </w:rPr>
          <w:tab/>
        </w:r>
        <w:r w:rsidR="00725504">
          <w:rPr>
            <w:noProof/>
            <w:webHidden/>
          </w:rPr>
          <w:fldChar w:fldCharType="begin"/>
        </w:r>
        <w:r w:rsidR="00725504">
          <w:rPr>
            <w:noProof/>
            <w:webHidden/>
          </w:rPr>
          <w:instrText xml:space="preserve"> PAGEREF _Toc398105107 \h </w:instrText>
        </w:r>
        <w:r w:rsidR="00725504">
          <w:rPr>
            <w:noProof/>
            <w:webHidden/>
          </w:rPr>
        </w:r>
        <w:r w:rsidR="00725504">
          <w:rPr>
            <w:noProof/>
            <w:webHidden/>
          </w:rPr>
          <w:fldChar w:fldCharType="separate"/>
        </w:r>
        <w:r w:rsidR="00E150CA">
          <w:rPr>
            <w:noProof/>
            <w:webHidden/>
          </w:rPr>
          <w:t>- 112 -</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08" w:history="1">
        <w:r w:rsidR="00725504" w:rsidRPr="009C0921">
          <w:rPr>
            <w:rStyle w:val="Hyperlink"/>
            <w:noProof/>
          </w:rPr>
          <w:t>Table 4.25  Admissions for non-AOD-related conditions by AOD treatment type, primary drug of concern and treatment termination status, 2009/10, 2010/11 and 2011/12</w:t>
        </w:r>
        <w:r w:rsidR="00725504">
          <w:rPr>
            <w:noProof/>
            <w:webHidden/>
          </w:rPr>
          <w:tab/>
        </w:r>
        <w:r w:rsidR="00725504">
          <w:rPr>
            <w:noProof/>
            <w:webHidden/>
          </w:rPr>
          <w:fldChar w:fldCharType="begin"/>
        </w:r>
        <w:r w:rsidR="00725504">
          <w:rPr>
            <w:noProof/>
            <w:webHidden/>
          </w:rPr>
          <w:instrText xml:space="preserve"> PAGEREF _Toc398105108 \h </w:instrText>
        </w:r>
        <w:r w:rsidR="00725504">
          <w:rPr>
            <w:noProof/>
            <w:webHidden/>
          </w:rPr>
        </w:r>
        <w:r w:rsidR="00725504">
          <w:rPr>
            <w:noProof/>
            <w:webHidden/>
          </w:rPr>
          <w:fldChar w:fldCharType="separate"/>
        </w:r>
        <w:r w:rsidR="00E150CA">
          <w:rPr>
            <w:noProof/>
            <w:webHidden/>
          </w:rPr>
          <w:t>- 113 -</w:t>
        </w:r>
        <w:r w:rsidR="00725504">
          <w:rPr>
            <w:noProof/>
            <w:webHidden/>
          </w:rPr>
          <w:fldChar w:fldCharType="end"/>
        </w:r>
      </w:hyperlink>
    </w:p>
    <w:p w:rsidR="00901D28" w:rsidRPr="00BD215A" w:rsidRDefault="00BE3D19">
      <w:pPr>
        <w:ind w:left="454" w:hanging="454"/>
        <w:rPr>
          <w:lang w:val="en-GB"/>
        </w:rPr>
      </w:pPr>
      <w:r w:rsidRPr="00045FA3">
        <w:rPr>
          <w:lang w:val="en-GB"/>
        </w:rPr>
        <w:fldChar w:fldCharType="end"/>
      </w:r>
    </w:p>
    <w:p w:rsidR="00590E62" w:rsidRPr="005B2F9A" w:rsidRDefault="00590E62">
      <w:pPr>
        <w:spacing w:after="120" w:line="240" w:lineRule="auto"/>
        <w:ind w:left="1191" w:hanging="1134"/>
        <w:jc w:val="both"/>
      </w:pPr>
      <w:r>
        <w:rPr>
          <w:lang w:val="en-GB"/>
        </w:rPr>
        <w:br w:type="page"/>
      </w:r>
    </w:p>
    <w:p w:rsidR="00635397" w:rsidRPr="00A67E44" w:rsidRDefault="00635397" w:rsidP="008D2CC2">
      <w:pPr>
        <w:pStyle w:val="Executive"/>
        <w:spacing w:before="0" w:after="200"/>
        <w:outlineLvl w:val="0"/>
        <w:rPr>
          <w:color w:val="auto"/>
          <w:lang w:val="en-GB"/>
        </w:rPr>
      </w:pPr>
      <w:bookmarkStart w:id="42" w:name="_Toc398105034"/>
      <w:r w:rsidRPr="00A67E44">
        <w:rPr>
          <w:color w:val="auto"/>
          <w:lang w:val="en-GB"/>
        </w:rPr>
        <w:lastRenderedPageBreak/>
        <w:t>List of figures</w:t>
      </w:r>
      <w:bookmarkEnd w:id="42"/>
    </w:p>
    <w:p w:rsidR="00725504" w:rsidRDefault="00BE3D19">
      <w:pPr>
        <w:pStyle w:val="TableofFigures"/>
        <w:tabs>
          <w:tab w:val="right" w:leader="dot" w:pos="9016"/>
        </w:tabs>
        <w:rPr>
          <w:rFonts w:asciiTheme="minorHAnsi" w:eastAsiaTheme="minorEastAsia" w:hAnsiTheme="minorHAnsi" w:cstheme="minorBidi"/>
          <w:noProof/>
          <w:lang w:eastAsia="en-AU"/>
        </w:rPr>
      </w:pPr>
      <w:r w:rsidRPr="0098373C">
        <w:rPr>
          <w:lang w:val="en-GB"/>
        </w:rPr>
        <w:fldChar w:fldCharType="begin"/>
      </w:r>
      <w:r w:rsidR="00635397" w:rsidRPr="0098373C">
        <w:rPr>
          <w:lang w:val="en-GB"/>
        </w:rPr>
        <w:instrText xml:space="preserve"> TOC \h \z \c "Figure" </w:instrText>
      </w:r>
      <w:r w:rsidRPr="0098373C">
        <w:rPr>
          <w:lang w:val="en-GB"/>
        </w:rPr>
        <w:fldChar w:fldCharType="separate"/>
      </w:r>
      <w:hyperlink w:anchor="_Toc398105109" w:history="1">
        <w:r w:rsidR="00725504" w:rsidRPr="00A64631">
          <w:rPr>
            <w:rStyle w:val="Hyperlink"/>
            <w:noProof/>
          </w:rPr>
          <w:t>Figure 1.1  Conceptual model of AOD treatment system and its connections with other sectors examined as part of the patient pathway in the current study (adapted from Babor et al., 2008)</w:t>
        </w:r>
        <w:r w:rsidR="00725504">
          <w:rPr>
            <w:noProof/>
            <w:webHidden/>
          </w:rPr>
          <w:tab/>
        </w:r>
        <w:r w:rsidR="00725504">
          <w:rPr>
            <w:noProof/>
            <w:webHidden/>
          </w:rPr>
          <w:fldChar w:fldCharType="begin"/>
        </w:r>
        <w:r w:rsidR="00725504">
          <w:rPr>
            <w:noProof/>
            <w:webHidden/>
          </w:rPr>
          <w:instrText xml:space="preserve"> PAGEREF _Toc398105109 \h </w:instrText>
        </w:r>
        <w:r w:rsidR="00725504">
          <w:rPr>
            <w:noProof/>
            <w:webHidden/>
          </w:rPr>
        </w:r>
        <w:r w:rsidR="00725504">
          <w:rPr>
            <w:noProof/>
            <w:webHidden/>
          </w:rPr>
          <w:fldChar w:fldCharType="separate"/>
        </w:r>
        <w:r w:rsidR="00E150CA">
          <w:rPr>
            <w:noProof/>
            <w:webHidden/>
          </w:rPr>
          <w:t>10</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10" w:history="1">
        <w:r w:rsidR="00725504" w:rsidRPr="00A64631">
          <w:rPr>
            <w:rStyle w:val="Hyperlink"/>
            <w:noProof/>
          </w:rPr>
          <w:t>Figure 3.1  Primary drug of concern</w:t>
        </w:r>
        <w:r w:rsidR="00725504">
          <w:rPr>
            <w:noProof/>
            <w:webHidden/>
          </w:rPr>
          <w:tab/>
        </w:r>
        <w:r w:rsidR="00725504">
          <w:rPr>
            <w:noProof/>
            <w:webHidden/>
          </w:rPr>
          <w:fldChar w:fldCharType="begin"/>
        </w:r>
        <w:r w:rsidR="00725504">
          <w:rPr>
            <w:noProof/>
            <w:webHidden/>
          </w:rPr>
          <w:instrText xml:space="preserve"> PAGEREF _Toc398105110 \h </w:instrText>
        </w:r>
        <w:r w:rsidR="00725504">
          <w:rPr>
            <w:noProof/>
            <w:webHidden/>
          </w:rPr>
        </w:r>
        <w:r w:rsidR="00725504">
          <w:rPr>
            <w:noProof/>
            <w:webHidden/>
          </w:rPr>
          <w:fldChar w:fldCharType="separate"/>
        </w:r>
        <w:r w:rsidR="00E150CA">
          <w:rPr>
            <w:noProof/>
            <w:webHidden/>
          </w:rPr>
          <w:t>32</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11" w:history="1">
        <w:r w:rsidR="00725504" w:rsidRPr="00A64631">
          <w:rPr>
            <w:rStyle w:val="Hyperlink"/>
            <w:noProof/>
          </w:rPr>
          <w:t>Figure 3.2  Proportion of participants who nominated alcohol as a drug of concern endorsing each alcohol-related treatment goal</w:t>
        </w:r>
        <w:r w:rsidR="00725504">
          <w:rPr>
            <w:noProof/>
            <w:webHidden/>
          </w:rPr>
          <w:tab/>
        </w:r>
        <w:r w:rsidR="00725504">
          <w:rPr>
            <w:noProof/>
            <w:webHidden/>
          </w:rPr>
          <w:fldChar w:fldCharType="begin"/>
        </w:r>
        <w:r w:rsidR="00725504">
          <w:rPr>
            <w:noProof/>
            <w:webHidden/>
          </w:rPr>
          <w:instrText xml:space="preserve"> PAGEREF _Toc398105111 \h </w:instrText>
        </w:r>
        <w:r w:rsidR="00725504">
          <w:rPr>
            <w:noProof/>
            <w:webHidden/>
          </w:rPr>
        </w:r>
        <w:r w:rsidR="00725504">
          <w:rPr>
            <w:noProof/>
            <w:webHidden/>
          </w:rPr>
          <w:fldChar w:fldCharType="separate"/>
        </w:r>
        <w:r w:rsidR="00E150CA">
          <w:rPr>
            <w:noProof/>
            <w:webHidden/>
          </w:rPr>
          <w:t>35</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12" w:history="1">
        <w:r w:rsidR="00725504" w:rsidRPr="00A64631">
          <w:rPr>
            <w:rStyle w:val="Hyperlink"/>
            <w:noProof/>
          </w:rPr>
          <w:t>Figure 3.3  Proportion of participants who nominated any substance other than alcohol or tobacco as a drug of concern endorsing each drug-related treatment goal</w:t>
        </w:r>
        <w:r w:rsidR="00725504">
          <w:rPr>
            <w:noProof/>
            <w:webHidden/>
          </w:rPr>
          <w:tab/>
        </w:r>
        <w:r w:rsidR="00725504">
          <w:rPr>
            <w:noProof/>
            <w:webHidden/>
          </w:rPr>
          <w:fldChar w:fldCharType="begin"/>
        </w:r>
        <w:r w:rsidR="00725504">
          <w:rPr>
            <w:noProof/>
            <w:webHidden/>
          </w:rPr>
          <w:instrText xml:space="preserve"> PAGEREF _Toc398105112 \h </w:instrText>
        </w:r>
        <w:r w:rsidR="00725504">
          <w:rPr>
            <w:noProof/>
            <w:webHidden/>
          </w:rPr>
        </w:r>
        <w:r w:rsidR="00725504">
          <w:rPr>
            <w:noProof/>
            <w:webHidden/>
          </w:rPr>
          <w:fldChar w:fldCharType="separate"/>
        </w:r>
        <w:r w:rsidR="00E150CA">
          <w:rPr>
            <w:noProof/>
            <w:webHidden/>
          </w:rPr>
          <w:t>35</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13" w:history="1">
        <w:r w:rsidR="00725504" w:rsidRPr="00A64631">
          <w:rPr>
            <w:rStyle w:val="Hyperlink"/>
            <w:noProof/>
          </w:rPr>
          <w:t>Figure 3.4  Overview of cohort recruitment, participation and outcome rates</w:t>
        </w:r>
        <w:r w:rsidR="00725504">
          <w:rPr>
            <w:noProof/>
            <w:webHidden/>
          </w:rPr>
          <w:tab/>
        </w:r>
        <w:r w:rsidR="00725504">
          <w:rPr>
            <w:noProof/>
            <w:webHidden/>
          </w:rPr>
          <w:fldChar w:fldCharType="begin"/>
        </w:r>
        <w:r w:rsidR="00725504">
          <w:rPr>
            <w:noProof/>
            <w:webHidden/>
          </w:rPr>
          <w:instrText xml:space="preserve"> PAGEREF _Toc398105113 \h </w:instrText>
        </w:r>
        <w:r w:rsidR="00725504">
          <w:rPr>
            <w:noProof/>
            <w:webHidden/>
          </w:rPr>
        </w:r>
        <w:r w:rsidR="00725504">
          <w:rPr>
            <w:noProof/>
            <w:webHidden/>
          </w:rPr>
          <w:fldChar w:fldCharType="separate"/>
        </w:r>
        <w:r w:rsidR="00E150CA">
          <w:rPr>
            <w:noProof/>
            <w:webHidden/>
          </w:rPr>
          <w:t>41</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14" w:history="1">
        <w:r w:rsidR="00725504" w:rsidRPr="00A64631">
          <w:rPr>
            <w:rStyle w:val="Hyperlink"/>
            <w:noProof/>
          </w:rPr>
          <w:t>Figure 3.5  Differences in rates of abstinence for PDOC and all DOCs when the PDOC is the indicated substance</w:t>
        </w:r>
        <w:r w:rsidR="00725504">
          <w:rPr>
            <w:noProof/>
            <w:webHidden/>
          </w:rPr>
          <w:tab/>
        </w:r>
        <w:r w:rsidR="00725504">
          <w:rPr>
            <w:noProof/>
            <w:webHidden/>
          </w:rPr>
          <w:fldChar w:fldCharType="begin"/>
        </w:r>
        <w:r w:rsidR="00725504">
          <w:rPr>
            <w:noProof/>
            <w:webHidden/>
          </w:rPr>
          <w:instrText xml:space="preserve"> PAGEREF _Toc398105114 \h </w:instrText>
        </w:r>
        <w:r w:rsidR="00725504">
          <w:rPr>
            <w:noProof/>
            <w:webHidden/>
          </w:rPr>
        </w:r>
        <w:r w:rsidR="00725504">
          <w:rPr>
            <w:noProof/>
            <w:webHidden/>
          </w:rPr>
          <w:fldChar w:fldCharType="separate"/>
        </w:r>
        <w:r w:rsidR="00E150CA">
          <w:rPr>
            <w:noProof/>
            <w:webHidden/>
          </w:rPr>
          <w:t>47</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15" w:history="1">
        <w:r w:rsidR="00725504" w:rsidRPr="00A64631">
          <w:rPr>
            <w:rStyle w:val="Hyperlink"/>
            <w:noProof/>
          </w:rPr>
          <w:t>Figure 3.6  Abstinence rates from PDOC and all DOCs by PIT type</w:t>
        </w:r>
        <w:r w:rsidR="00725504">
          <w:rPr>
            <w:noProof/>
            <w:webHidden/>
          </w:rPr>
          <w:tab/>
        </w:r>
        <w:r w:rsidR="00725504">
          <w:rPr>
            <w:noProof/>
            <w:webHidden/>
          </w:rPr>
          <w:fldChar w:fldCharType="begin"/>
        </w:r>
        <w:r w:rsidR="00725504">
          <w:rPr>
            <w:noProof/>
            <w:webHidden/>
          </w:rPr>
          <w:instrText xml:space="preserve"> PAGEREF _Toc398105115 \h </w:instrText>
        </w:r>
        <w:r w:rsidR="00725504">
          <w:rPr>
            <w:noProof/>
            <w:webHidden/>
          </w:rPr>
        </w:r>
        <w:r w:rsidR="00725504">
          <w:rPr>
            <w:noProof/>
            <w:webHidden/>
          </w:rPr>
          <w:fldChar w:fldCharType="separate"/>
        </w:r>
        <w:r w:rsidR="00E150CA">
          <w:rPr>
            <w:noProof/>
            <w:webHidden/>
          </w:rPr>
          <w:t>48</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16" w:history="1">
        <w:r w:rsidR="00725504" w:rsidRPr="00A64631">
          <w:rPr>
            <w:rStyle w:val="Hyperlink"/>
            <w:noProof/>
          </w:rPr>
          <w:t>Figure 3.7  Proportion of participants (total sample) achieving different degrees of treatment success (frequency of use)</w:t>
        </w:r>
        <w:r w:rsidR="00725504">
          <w:rPr>
            <w:noProof/>
            <w:webHidden/>
          </w:rPr>
          <w:tab/>
        </w:r>
        <w:r w:rsidR="00725504">
          <w:rPr>
            <w:noProof/>
            <w:webHidden/>
          </w:rPr>
          <w:fldChar w:fldCharType="begin"/>
        </w:r>
        <w:r w:rsidR="00725504">
          <w:rPr>
            <w:noProof/>
            <w:webHidden/>
          </w:rPr>
          <w:instrText xml:space="preserve"> PAGEREF _Toc398105116 \h </w:instrText>
        </w:r>
        <w:r w:rsidR="00725504">
          <w:rPr>
            <w:noProof/>
            <w:webHidden/>
          </w:rPr>
        </w:r>
        <w:r w:rsidR="00725504">
          <w:rPr>
            <w:noProof/>
            <w:webHidden/>
          </w:rPr>
          <w:fldChar w:fldCharType="separate"/>
        </w:r>
        <w:r w:rsidR="00E150CA">
          <w:rPr>
            <w:noProof/>
            <w:webHidden/>
          </w:rPr>
          <w:t>49</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17" w:history="1">
        <w:r w:rsidR="00725504" w:rsidRPr="00A64631">
          <w:rPr>
            <w:rStyle w:val="Hyperlink"/>
            <w:noProof/>
          </w:rPr>
          <w:t>Figure 3.8  Direction of change in each WHO-QOL domain between baseline and follow-up</w:t>
        </w:r>
        <w:r w:rsidR="00725504">
          <w:rPr>
            <w:noProof/>
            <w:webHidden/>
          </w:rPr>
          <w:tab/>
        </w:r>
        <w:r w:rsidR="00725504">
          <w:rPr>
            <w:noProof/>
            <w:webHidden/>
          </w:rPr>
          <w:fldChar w:fldCharType="begin"/>
        </w:r>
        <w:r w:rsidR="00725504">
          <w:rPr>
            <w:noProof/>
            <w:webHidden/>
          </w:rPr>
          <w:instrText xml:space="preserve"> PAGEREF _Toc398105117 \h </w:instrText>
        </w:r>
        <w:r w:rsidR="00725504">
          <w:rPr>
            <w:noProof/>
            <w:webHidden/>
          </w:rPr>
        </w:r>
        <w:r w:rsidR="00725504">
          <w:rPr>
            <w:noProof/>
            <w:webHidden/>
          </w:rPr>
          <w:fldChar w:fldCharType="separate"/>
        </w:r>
        <w:r w:rsidR="00E150CA">
          <w:rPr>
            <w:noProof/>
            <w:webHidden/>
          </w:rPr>
          <w:t>51</w:t>
        </w:r>
        <w:r w:rsidR="00725504">
          <w:rPr>
            <w:noProof/>
            <w:webHidden/>
          </w:rPr>
          <w:fldChar w:fldCharType="end"/>
        </w:r>
      </w:hyperlink>
    </w:p>
    <w:p w:rsidR="00725504" w:rsidRDefault="008A3260">
      <w:pPr>
        <w:pStyle w:val="TableofFigures"/>
        <w:tabs>
          <w:tab w:val="right" w:leader="dot" w:pos="9016"/>
        </w:tabs>
        <w:rPr>
          <w:rFonts w:asciiTheme="minorHAnsi" w:eastAsiaTheme="minorEastAsia" w:hAnsiTheme="minorHAnsi" w:cstheme="minorBidi"/>
          <w:noProof/>
          <w:lang w:eastAsia="en-AU"/>
        </w:rPr>
      </w:pPr>
      <w:hyperlink w:anchor="_Toc398105118" w:history="1">
        <w:r w:rsidR="00725504" w:rsidRPr="00A64631">
          <w:rPr>
            <w:rStyle w:val="Hyperlink"/>
            <w:noProof/>
          </w:rPr>
          <w:t>Figure 3.9  Proportion of participants receiving the various levels of optimal care pathways</w:t>
        </w:r>
        <w:r w:rsidR="00725504">
          <w:rPr>
            <w:noProof/>
            <w:webHidden/>
          </w:rPr>
          <w:tab/>
        </w:r>
        <w:r w:rsidR="00725504">
          <w:rPr>
            <w:noProof/>
            <w:webHidden/>
          </w:rPr>
          <w:fldChar w:fldCharType="begin"/>
        </w:r>
        <w:r w:rsidR="00725504">
          <w:rPr>
            <w:noProof/>
            <w:webHidden/>
          </w:rPr>
          <w:instrText xml:space="preserve"> PAGEREF _Toc398105118 \h </w:instrText>
        </w:r>
        <w:r w:rsidR="00725504">
          <w:rPr>
            <w:noProof/>
            <w:webHidden/>
          </w:rPr>
        </w:r>
        <w:r w:rsidR="00725504">
          <w:rPr>
            <w:noProof/>
            <w:webHidden/>
          </w:rPr>
          <w:fldChar w:fldCharType="separate"/>
        </w:r>
        <w:r w:rsidR="00E150CA">
          <w:rPr>
            <w:noProof/>
            <w:webHidden/>
          </w:rPr>
          <w:t>56</w:t>
        </w:r>
        <w:r w:rsidR="00725504">
          <w:rPr>
            <w:noProof/>
            <w:webHidden/>
          </w:rPr>
          <w:fldChar w:fldCharType="end"/>
        </w:r>
      </w:hyperlink>
    </w:p>
    <w:p w:rsidR="00901D28" w:rsidRPr="00A80D68" w:rsidRDefault="00BE3D19" w:rsidP="00635397">
      <w:pPr>
        <w:rPr>
          <w:lang w:val="en-GB"/>
        </w:rPr>
      </w:pPr>
      <w:r w:rsidRPr="0098373C">
        <w:rPr>
          <w:lang w:val="en-GB"/>
        </w:rPr>
        <w:fldChar w:fldCharType="end"/>
      </w:r>
    </w:p>
    <w:p w:rsidR="00A67E44" w:rsidRPr="007C161F" w:rsidRDefault="00A67E44" w:rsidP="007C161F">
      <w:bookmarkStart w:id="43" w:name="_Toc350884492"/>
      <w:bookmarkStart w:id="44" w:name="_Toc351536578"/>
      <w:bookmarkStart w:id="45" w:name="_Toc351622815"/>
      <w:bookmarkStart w:id="46" w:name="_Toc351622886"/>
      <w:bookmarkStart w:id="47" w:name="_Toc352002270"/>
      <w:bookmarkStart w:id="48" w:name="_Toc352168068"/>
      <w:bookmarkStart w:id="49" w:name="_Toc352844013"/>
      <w:bookmarkStart w:id="50" w:name="_Toc354593034"/>
      <w:bookmarkStart w:id="51" w:name="_Toc354732285"/>
      <w:bookmarkStart w:id="52" w:name="_Toc354734007"/>
      <w:bookmarkStart w:id="53" w:name="_Toc354734173"/>
      <w:bookmarkStart w:id="54" w:name="_Toc354734783"/>
      <w:bookmarkStart w:id="55" w:name="_Toc381981282"/>
      <w:bookmarkStart w:id="56" w:name="_Toc382501340"/>
      <w:bookmarkStart w:id="57" w:name="_Toc385505485"/>
      <w:r>
        <w:br w:type="page"/>
      </w:r>
    </w:p>
    <w:p w:rsidR="00A67E44" w:rsidRPr="0068230F" w:rsidRDefault="00A67E44" w:rsidP="008D2CC2">
      <w:pPr>
        <w:pStyle w:val="Executive"/>
        <w:spacing w:before="0" w:after="200"/>
        <w:ind w:left="-142"/>
        <w:outlineLvl w:val="0"/>
        <w:rPr>
          <w:color w:val="auto"/>
          <w:lang w:val="en-GB"/>
        </w:rPr>
      </w:pPr>
      <w:bookmarkStart w:id="58" w:name="_Toc398105035"/>
      <w:r w:rsidRPr="0068230F">
        <w:rPr>
          <w:color w:val="auto"/>
          <w:lang w:val="en-GB"/>
        </w:rPr>
        <w:lastRenderedPageBreak/>
        <w:t>List of acronyms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tbl>
      <w:tblPr>
        <w:tblW w:w="0" w:type="auto"/>
        <w:tblLook w:val="04A0" w:firstRow="1" w:lastRow="0" w:firstColumn="1" w:lastColumn="0" w:noHBand="0" w:noVBand="1"/>
      </w:tblPr>
      <w:tblGrid>
        <w:gridCol w:w="1759"/>
        <w:gridCol w:w="7436"/>
      </w:tblGrid>
      <w:tr w:rsidR="005C7C60" w:rsidTr="00D07EDC">
        <w:trPr>
          <w:trHeight w:hRule="exact" w:val="397"/>
        </w:trPr>
        <w:tc>
          <w:tcPr>
            <w:tcW w:w="0" w:type="auto"/>
            <w:shd w:val="clear" w:color="auto" w:fill="auto"/>
            <w:vAlign w:val="center"/>
          </w:tcPr>
          <w:p w:rsidR="005C7C60" w:rsidRPr="00A67E44" w:rsidRDefault="005C7C60" w:rsidP="005C7C60">
            <w:pPr>
              <w:pStyle w:val="FAREnormaltext"/>
              <w:jc w:val="left"/>
            </w:pPr>
            <w:bookmarkStart w:id="59" w:name="_Toc350884494"/>
            <w:r>
              <w:t>ADIS</w:t>
            </w:r>
          </w:p>
        </w:tc>
        <w:tc>
          <w:tcPr>
            <w:tcW w:w="0" w:type="auto"/>
            <w:shd w:val="clear" w:color="auto" w:fill="auto"/>
            <w:vAlign w:val="center"/>
          </w:tcPr>
          <w:p w:rsidR="005C7C60" w:rsidRPr="00A67E44" w:rsidRDefault="005C7C60" w:rsidP="005C7C60">
            <w:pPr>
              <w:pStyle w:val="FAREnormaltext"/>
              <w:jc w:val="left"/>
            </w:pPr>
            <w:r>
              <w:t>Alcohol and Drug Information System</w:t>
            </w:r>
          </w:p>
        </w:tc>
      </w:tr>
      <w:tr w:rsidR="005C7C60" w:rsidTr="00D07EDC">
        <w:trPr>
          <w:trHeight w:hRule="exact" w:val="397"/>
        </w:trPr>
        <w:tc>
          <w:tcPr>
            <w:tcW w:w="0" w:type="auto"/>
            <w:shd w:val="clear" w:color="auto" w:fill="auto"/>
            <w:vAlign w:val="center"/>
          </w:tcPr>
          <w:p w:rsidR="005C7C60" w:rsidRDefault="00640277" w:rsidP="005C7C60">
            <w:pPr>
              <w:pStyle w:val="FAREnormaltext"/>
              <w:jc w:val="left"/>
            </w:pPr>
            <w:r>
              <w:t>AOD</w:t>
            </w:r>
          </w:p>
        </w:tc>
        <w:tc>
          <w:tcPr>
            <w:tcW w:w="0" w:type="auto"/>
            <w:shd w:val="clear" w:color="auto" w:fill="auto"/>
            <w:vAlign w:val="center"/>
          </w:tcPr>
          <w:p w:rsidR="005C7C60" w:rsidRDefault="005C7C60" w:rsidP="005C7C60">
            <w:pPr>
              <w:pStyle w:val="FAREnormaltext"/>
              <w:jc w:val="left"/>
            </w:pPr>
            <w:r w:rsidRPr="00A67E44">
              <w:t>Alcohol and Other Drug</w:t>
            </w:r>
          </w:p>
        </w:tc>
      </w:tr>
      <w:tr w:rsidR="00640277" w:rsidTr="00D07EDC">
        <w:trPr>
          <w:trHeight w:hRule="exact" w:val="397"/>
        </w:trPr>
        <w:tc>
          <w:tcPr>
            <w:tcW w:w="0" w:type="auto"/>
            <w:shd w:val="clear" w:color="auto" w:fill="auto"/>
            <w:vAlign w:val="center"/>
          </w:tcPr>
          <w:p w:rsidR="00640277" w:rsidRPr="00A67E44" w:rsidRDefault="00640277" w:rsidP="005C7C60">
            <w:pPr>
              <w:pStyle w:val="FAREnormaltext"/>
              <w:jc w:val="left"/>
            </w:pPr>
            <w:r>
              <w:t>AODTS-NMDS</w:t>
            </w:r>
          </w:p>
        </w:tc>
        <w:tc>
          <w:tcPr>
            <w:tcW w:w="0" w:type="auto"/>
            <w:shd w:val="clear" w:color="auto" w:fill="auto"/>
            <w:vAlign w:val="center"/>
          </w:tcPr>
          <w:p w:rsidR="00640277" w:rsidRPr="00A67E44" w:rsidRDefault="00640277" w:rsidP="00640277">
            <w:pPr>
              <w:pStyle w:val="FAREnormaltext"/>
              <w:jc w:val="left"/>
            </w:pPr>
            <w:r w:rsidRPr="00A67E44">
              <w:t>Alcohol and Other Drug</w:t>
            </w:r>
            <w:r>
              <w:t xml:space="preserve"> Treatment Services National Minimum Data Set</w:t>
            </w:r>
          </w:p>
        </w:tc>
      </w:tr>
      <w:tr w:rsidR="005C7C60" w:rsidTr="00D07EDC">
        <w:trPr>
          <w:trHeight w:hRule="exact" w:val="397"/>
        </w:trPr>
        <w:tc>
          <w:tcPr>
            <w:tcW w:w="0" w:type="auto"/>
            <w:shd w:val="clear" w:color="auto" w:fill="auto"/>
            <w:vAlign w:val="center"/>
          </w:tcPr>
          <w:p w:rsidR="005C7C60" w:rsidRPr="00A67E44" w:rsidRDefault="005C7C60" w:rsidP="005C7C60">
            <w:pPr>
              <w:pStyle w:val="FAREnormaltext"/>
              <w:jc w:val="left"/>
            </w:pPr>
            <w:r w:rsidRPr="00A67E44">
              <w:t>AUDIT</w:t>
            </w:r>
          </w:p>
        </w:tc>
        <w:tc>
          <w:tcPr>
            <w:tcW w:w="0" w:type="auto"/>
            <w:shd w:val="clear" w:color="auto" w:fill="auto"/>
            <w:vAlign w:val="center"/>
          </w:tcPr>
          <w:p w:rsidR="005C7C60" w:rsidRPr="00A67E44" w:rsidRDefault="005C7C60" w:rsidP="005C7C60">
            <w:pPr>
              <w:pStyle w:val="FAREnormaltext"/>
              <w:jc w:val="left"/>
            </w:pPr>
            <w:r w:rsidRPr="00A67E44">
              <w:t>Alcohol Use Disorders Identification Test</w:t>
            </w:r>
          </w:p>
        </w:tc>
      </w:tr>
      <w:tr w:rsidR="005C7C60" w:rsidTr="00D07EDC">
        <w:trPr>
          <w:trHeight w:hRule="exact" w:val="397"/>
        </w:trPr>
        <w:tc>
          <w:tcPr>
            <w:tcW w:w="0" w:type="auto"/>
            <w:shd w:val="clear" w:color="auto" w:fill="auto"/>
            <w:vAlign w:val="center"/>
          </w:tcPr>
          <w:p w:rsidR="005C7C60" w:rsidRPr="00A67E44" w:rsidRDefault="005C7C60" w:rsidP="005C7C60">
            <w:pPr>
              <w:pStyle w:val="FAREnormaltext"/>
              <w:jc w:val="left"/>
            </w:pPr>
            <w:r w:rsidRPr="00A67E44">
              <w:t>BTI</w:t>
            </w:r>
          </w:p>
        </w:tc>
        <w:tc>
          <w:tcPr>
            <w:tcW w:w="0" w:type="auto"/>
            <w:shd w:val="clear" w:color="auto" w:fill="auto"/>
            <w:vAlign w:val="center"/>
          </w:tcPr>
          <w:p w:rsidR="005C7C60" w:rsidRPr="00A67E44" w:rsidRDefault="005C7C60" w:rsidP="005C7C60">
            <w:pPr>
              <w:pStyle w:val="FAREnormaltext"/>
              <w:jc w:val="left"/>
            </w:pPr>
            <w:r w:rsidRPr="00A67E44">
              <w:t>Barriers to Treatment Inventory</w:t>
            </w:r>
          </w:p>
        </w:tc>
      </w:tr>
      <w:tr w:rsidR="005C7C60" w:rsidTr="00D07EDC">
        <w:trPr>
          <w:trHeight w:hRule="exact" w:val="397"/>
        </w:trPr>
        <w:tc>
          <w:tcPr>
            <w:tcW w:w="0" w:type="auto"/>
            <w:shd w:val="clear" w:color="auto" w:fill="auto"/>
            <w:vAlign w:val="center"/>
          </w:tcPr>
          <w:p w:rsidR="005C7C60" w:rsidRPr="00A67E44" w:rsidRDefault="005C7C60" w:rsidP="005C7C60">
            <w:pPr>
              <w:pStyle w:val="FAREnormaltext"/>
              <w:jc w:val="left"/>
            </w:pPr>
            <w:r w:rsidRPr="00A67E44">
              <w:t>CAI</w:t>
            </w:r>
          </w:p>
        </w:tc>
        <w:tc>
          <w:tcPr>
            <w:tcW w:w="0" w:type="auto"/>
            <w:shd w:val="clear" w:color="auto" w:fill="auto"/>
            <w:vAlign w:val="center"/>
          </w:tcPr>
          <w:p w:rsidR="005C7C60" w:rsidRPr="00A67E44" w:rsidRDefault="005C7C60" w:rsidP="005C7C60">
            <w:pPr>
              <w:pStyle w:val="FAREnormaltext"/>
              <w:jc w:val="left"/>
            </w:pPr>
            <w:r w:rsidRPr="00A67E44">
              <w:t>Community Assessment Inventory</w:t>
            </w:r>
          </w:p>
        </w:tc>
      </w:tr>
      <w:tr w:rsidR="005C7C60" w:rsidTr="00D07EDC">
        <w:trPr>
          <w:trHeight w:hRule="exact" w:val="397"/>
        </w:trPr>
        <w:tc>
          <w:tcPr>
            <w:tcW w:w="0" w:type="auto"/>
            <w:shd w:val="clear" w:color="auto" w:fill="auto"/>
            <w:vAlign w:val="center"/>
          </w:tcPr>
          <w:p w:rsidR="005C7C60" w:rsidRPr="00A67E44" w:rsidRDefault="005C7C60" w:rsidP="005C7C60">
            <w:pPr>
              <w:pStyle w:val="FAREnormaltext"/>
              <w:jc w:val="left"/>
            </w:pPr>
            <w:r>
              <w:t>DH</w:t>
            </w:r>
          </w:p>
        </w:tc>
        <w:tc>
          <w:tcPr>
            <w:tcW w:w="0" w:type="auto"/>
            <w:shd w:val="clear" w:color="auto" w:fill="auto"/>
            <w:vAlign w:val="center"/>
          </w:tcPr>
          <w:p w:rsidR="005C7C60" w:rsidRPr="00A67E44" w:rsidRDefault="005C7C60" w:rsidP="005C7C60">
            <w:pPr>
              <w:pStyle w:val="FAREnormaltext"/>
              <w:jc w:val="left"/>
            </w:pPr>
            <w:r>
              <w:t>Department of Health (Victoria)</w:t>
            </w:r>
          </w:p>
        </w:tc>
      </w:tr>
      <w:tr w:rsidR="005C7C60" w:rsidTr="00D07EDC">
        <w:trPr>
          <w:trHeight w:hRule="exact" w:val="397"/>
        </w:trPr>
        <w:tc>
          <w:tcPr>
            <w:tcW w:w="0" w:type="auto"/>
            <w:shd w:val="clear" w:color="auto" w:fill="auto"/>
            <w:vAlign w:val="center"/>
          </w:tcPr>
          <w:p w:rsidR="005C7C60" w:rsidRDefault="005C7C60" w:rsidP="005C7C60">
            <w:pPr>
              <w:pStyle w:val="FAREnormaltext"/>
              <w:jc w:val="left"/>
            </w:pPr>
            <w:r w:rsidRPr="00A67E44">
              <w:t>DISC-12</w:t>
            </w:r>
          </w:p>
        </w:tc>
        <w:tc>
          <w:tcPr>
            <w:tcW w:w="0" w:type="auto"/>
            <w:shd w:val="clear" w:color="auto" w:fill="auto"/>
            <w:vAlign w:val="center"/>
          </w:tcPr>
          <w:p w:rsidR="005C7C60" w:rsidRDefault="005C7C60" w:rsidP="005C7C60">
            <w:pPr>
              <w:pStyle w:val="FAREnormaltext"/>
              <w:jc w:val="left"/>
            </w:pPr>
            <w:r w:rsidRPr="00A67E44">
              <w:t>Discrimination and Stigma Scale</w:t>
            </w:r>
          </w:p>
        </w:tc>
      </w:tr>
      <w:tr w:rsidR="008758D0" w:rsidTr="00D07EDC">
        <w:trPr>
          <w:trHeight w:hRule="exact" w:val="397"/>
        </w:trPr>
        <w:tc>
          <w:tcPr>
            <w:tcW w:w="0" w:type="auto"/>
            <w:shd w:val="clear" w:color="auto" w:fill="auto"/>
            <w:vAlign w:val="center"/>
          </w:tcPr>
          <w:p w:rsidR="008758D0" w:rsidRPr="00A67E44" w:rsidRDefault="008758D0" w:rsidP="005C7C60">
            <w:pPr>
              <w:pStyle w:val="FAREnormaltext"/>
              <w:jc w:val="left"/>
            </w:pPr>
            <w:r>
              <w:t>DOC</w:t>
            </w:r>
          </w:p>
        </w:tc>
        <w:tc>
          <w:tcPr>
            <w:tcW w:w="0" w:type="auto"/>
            <w:shd w:val="clear" w:color="auto" w:fill="auto"/>
            <w:vAlign w:val="center"/>
          </w:tcPr>
          <w:p w:rsidR="008758D0" w:rsidRPr="00A67E44" w:rsidRDefault="008758D0" w:rsidP="005C7C60">
            <w:pPr>
              <w:pStyle w:val="FAREnormaltext"/>
              <w:jc w:val="left"/>
            </w:pPr>
            <w:r>
              <w:t>Drug of concern</w:t>
            </w:r>
          </w:p>
        </w:tc>
      </w:tr>
      <w:tr w:rsidR="005C7C60" w:rsidTr="00D07EDC">
        <w:trPr>
          <w:trHeight w:hRule="exact" w:val="397"/>
        </w:trPr>
        <w:tc>
          <w:tcPr>
            <w:tcW w:w="0" w:type="auto"/>
            <w:shd w:val="clear" w:color="auto" w:fill="auto"/>
            <w:vAlign w:val="center"/>
          </w:tcPr>
          <w:p w:rsidR="005C7C60" w:rsidRPr="00A67E44" w:rsidRDefault="005C7C60" w:rsidP="005C7C60">
            <w:pPr>
              <w:pStyle w:val="FAREnormaltext"/>
              <w:jc w:val="left"/>
            </w:pPr>
            <w:r w:rsidRPr="00A67E44">
              <w:t>ED</w:t>
            </w:r>
          </w:p>
        </w:tc>
        <w:tc>
          <w:tcPr>
            <w:tcW w:w="0" w:type="auto"/>
            <w:shd w:val="clear" w:color="auto" w:fill="auto"/>
            <w:vAlign w:val="center"/>
          </w:tcPr>
          <w:p w:rsidR="005C7C60" w:rsidRPr="00A67E44" w:rsidRDefault="005C7C60" w:rsidP="005C7C60">
            <w:pPr>
              <w:pStyle w:val="FAREnormaltext"/>
              <w:jc w:val="left"/>
            </w:pPr>
            <w:r w:rsidRPr="00A67E44">
              <w:t>Emergency Department</w:t>
            </w:r>
          </w:p>
        </w:tc>
      </w:tr>
      <w:tr w:rsidR="005C7C60" w:rsidTr="00D07EDC">
        <w:trPr>
          <w:trHeight w:hRule="exact" w:val="397"/>
        </w:trPr>
        <w:tc>
          <w:tcPr>
            <w:tcW w:w="0" w:type="auto"/>
            <w:shd w:val="clear" w:color="auto" w:fill="auto"/>
            <w:vAlign w:val="center"/>
          </w:tcPr>
          <w:p w:rsidR="005C7C60" w:rsidRPr="00A67E44" w:rsidRDefault="005C7C60" w:rsidP="005C7C60">
            <w:pPr>
              <w:pStyle w:val="FAREnormaltext"/>
              <w:jc w:val="left"/>
            </w:pPr>
            <w:r w:rsidRPr="00A67E44">
              <w:t>GP</w:t>
            </w:r>
          </w:p>
        </w:tc>
        <w:tc>
          <w:tcPr>
            <w:tcW w:w="0" w:type="auto"/>
            <w:shd w:val="clear" w:color="auto" w:fill="auto"/>
            <w:vAlign w:val="center"/>
          </w:tcPr>
          <w:p w:rsidR="005C7C60" w:rsidRPr="00A67E44" w:rsidRDefault="005C7C60" w:rsidP="005C7C60">
            <w:pPr>
              <w:pStyle w:val="FAREnormaltext"/>
              <w:jc w:val="left"/>
            </w:pPr>
            <w:r w:rsidRPr="00A67E44">
              <w:t>General Practitioner</w:t>
            </w:r>
          </w:p>
        </w:tc>
      </w:tr>
      <w:tr w:rsidR="00640277" w:rsidTr="00D07EDC">
        <w:trPr>
          <w:trHeight w:hRule="exact" w:val="397"/>
        </w:trPr>
        <w:tc>
          <w:tcPr>
            <w:tcW w:w="0" w:type="auto"/>
            <w:shd w:val="clear" w:color="auto" w:fill="auto"/>
            <w:vAlign w:val="center"/>
          </w:tcPr>
          <w:p w:rsidR="00640277" w:rsidRPr="00A67E44" w:rsidRDefault="00640277" w:rsidP="005C7C60">
            <w:pPr>
              <w:pStyle w:val="FAREnormaltext"/>
              <w:jc w:val="left"/>
            </w:pPr>
            <w:r>
              <w:t>GO</w:t>
            </w:r>
          </w:p>
        </w:tc>
        <w:tc>
          <w:tcPr>
            <w:tcW w:w="0" w:type="auto"/>
            <w:shd w:val="clear" w:color="auto" w:fill="auto"/>
            <w:vAlign w:val="center"/>
          </w:tcPr>
          <w:p w:rsidR="00640277" w:rsidRPr="00A67E44" w:rsidRDefault="00640277" w:rsidP="00640277">
            <w:pPr>
              <w:pStyle w:val="FAREnormaltext"/>
              <w:jc w:val="left"/>
            </w:pPr>
            <w:r>
              <w:t xml:space="preserve">Government Organisation </w:t>
            </w:r>
          </w:p>
        </w:tc>
      </w:tr>
      <w:tr w:rsidR="0052746B" w:rsidTr="00D07EDC">
        <w:trPr>
          <w:trHeight w:hRule="exact" w:val="397"/>
        </w:trPr>
        <w:tc>
          <w:tcPr>
            <w:tcW w:w="0" w:type="auto"/>
            <w:shd w:val="clear" w:color="auto" w:fill="auto"/>
            <w:vAlign w:val="center"/>
          </w:tcPr>
          <w:p w:rsidR="0052746B" w:rsidRPr="00A67E44" w:rsidRDefault="0052746B" w:rsidP="005C7C60">
            <w:pPr>
              <w:pStyle w:val="FAREnormaltext"/>
              <w:jc w:val="left"/>
            </w:pPr>
            <w:r>
              <w:t>IQR</w:t>
            </w:r>
          </w:p>
        </w:tc>
        <w:tc>
          <w:tcPr>
            <w:tcW w:w="0" w:type="auto"/>
            <w:shd w:val="clear" w:color="auto" w:fill="auto"/>
            <w:vAlign w:val="center"/>
          </w:tcPr>
          <w:p w:rsidR="0052746B" w:rsidRPr="00A67E44" w:rsidRDefault="0052746B" w:rsidP="0052746B">
            <w:pPr>
              <w:pStyle w:val="FAREnormaltext"/>
              <w:jc w:val="left"/>
            </w:pPr>
            <w:r>
              <w:t xml:space="preserve">Inter quartile range </w:t>
            </w:r>
          </w:p>
        </w:tc>
      </w:tr>
      <w:tr w:rsidR="008758D0" w:rsidTr="00D07EDC">
        <w:trPr>
          <w:trHeight w:hRule="exact" w:val="397"/>
        </w:trPr>
        <w:tc>
          <w:tcPr>
            <w:tcW w:w="0" w:type="auto"/>
            <w:shd w:val="clear" w:color="auto" w:fill="auto"/>
            <w:vAlign w:val="center"/>
          </w:tcPr>
          <w:p w:rsidR="008758D0" w:rsidRPr="00A67E44" w:rsidRDefault="00EE7A8F" w:rsidP="005C7C60">
            <w:pPr>
              <w:pStyle w:val="FAREnormaltext"/>
              <w:jc w:val="left"/>
            </w:pPr>
            <w:r>
              <w:t>PDOC</w:t>
            </w:r>
          </w:p>
        </w:tc>
        <w:tc>
          <w:tcPr>
            <w:tcW w:w="0" w:type="auto"/>
            <w:shd w:val="clear" w:color="auto" w:fill="auto"/>
            <w:vAlign w:val="center"/>
          </w:tcPr>
          <w:p w:rsidR="008758D0" w:rsidRPr="00A67E44" w:rsidRDefault="008758D0" w:rsidP="008758D0">
            <w:pPr>
              <w:pStyle w:val="FAREnormaltext"/>
              <w:jc w:val="left"/>
            </w:pPr>
            <w:r>
              <w:t xml:space="preserve">Primary drug of concern </w:t>
            </w:r>
          </w:p>
        </w:tc>
      </w:tr>
      <w:tr w:rsidR="008758D0" w:rsidTr="00D07EDC">
        <w:trPr>
          <w:trHeight w:hRule="exact" w:val="397"/>
        </w:trPr>
        <w:tc>
          <w:tcPr>
            <w:tcW w:w="0" w:type="auto"/>
            <w:shd w:val="clear" w:color="auto" w:fill="auto"/>
            <w:vAlign w:val="center"/>
          </w:tcPr>
          <w:p w:rsidR="008758D0" w:rsidRPr="00A67E44" w:rsidRDefault="008758D0" w:rsidP="005C7C60">
            <w:pPr>
              <w:pStyle w:val="FAREnormaltext"/>
              <w:jc w:val="left"/>
            </w:pPr>
            <w:r>
              <w:t>PIT</w:t>
            </w:r>
          </w:p>
        </w:tc>
        <w:tc>
          <w:tcPr>
            <w:tcW w:w="0" w:type="auto"/>
            <w:shd w:val="clear" w:color="auto" w:fill="auto"/>
            <w:vAlign w:val="center"/>
          </w:tcPr>
          <w:p w:rsidR="008758D0" w:rsidRPr="00A67E44" w:rsidRDefault="008758D0" w:rsidP="008758D0">
            <w:pPr>
              <w:pStyle w:val="FAREnormaltext"/>
              <w:jc w:val="left"/>
            </w:pPr>
            <w:r>
              <w:t>Primary index treatment</w:t>
            </w:r>
          </w:p>
        </w:tc>
      </w:tr>
      <w:tr w:rsidR="005C7C60" w:rsidTr="00D07EDC">
        <w:trPr>
          <w:trHeight w:hRule="exact" w:val="397"/>
        </w:trPr>
        <w:tc>
          <w:tcPr>
            <w:tcW w:w="0" w:type="auto"/>
            <w:shd w:val="clear" w:color="auto" w:fill="auto"/>
            <w:vAlign w:val="center"/>
          </w:tcPr>
          <w:p w:rsidR="005C7C60" w:rsidRPr="00A67E44" w:rsidRDefault="005C7C60" w:rsidP="005C7C60">
            <w:pPr>
              <w:pStyle w:val="FAREnormaltext"/>
              <w:jc w:val="left"/>
            </w:pPr>
            <w:r w:rsidRPr="00A67E44">
              <w:t>MSPSS</w:t>
            </w:r>
          </w:p>
        </w:tc>
        <w:tc>
          <w:tcPr>
            <w:tcW w:w="0" w:type="auto"/>
            <w:shd w:val="clear" w:color="auto" w:fill="auto"/>
            <w:vAlign w:val="center"/>
          </w:tcPr>
          <w:p w:rsidR="005C7C60" w:rsidRPr="00A67E44" w:rsidRDefault="005C7C60" w:rsidP="005C7C60">
            <w:pPr>
              <w:pStyle w:val="FAREnormaltext"/>
              <w:jc w:val="left"/>
            </w:pPr>
            <w:r w:rsidRPr="00A67E44">
              <w:t>Multidimensional Scale of Perceived Social Support</w:t>
            </w:r>
          </w:p>
        </w:tc>
      </w:tr>
      <w:tr w:rsidR="005C7C60" w:rsidTr="00D07EDC">
        <w:trPr>
          <w:trHeight w:hRule="exact" w:val="397"/>
        </w:trPr>
        <w:tc>
          <w:tcPr>
            <w:tcW w:w="0" w:type="auto"/>
            <w:shd w:val="clear" w:color="auto" w:fill="auto"/>
            <w:vAlign w:val="center"/>
          </w:tcPr>
          <w:p w:rsidR="005C7C60" w:rsidRPr="00A67E44" w:rsidRDefault="005C7C60" w:rsidP="005C7C60">
            <w:pPr>
              <w:pStyle w:val="FAREnormaltext"/>
              <w:jc w:val="left"/>
            </w:pPr>
            <w:r w:rsidRPr="00A67E44">
              <w:t>NDRI</w:t>
            </w:r>
          </w:p>
        </w:tc>
        <w:tc>
          <w:tcPr>
            <w:tcW w:w="0" w:type="auto"/>
            <w:shd w:val="clear" w:color="auto" w:fill="auto"/>
            <w:vAlign w:val="center"/>
          </w:tcPr>
          <w:p w:rsidR="005C7C60" w:rsidRPr="00A67E44" w:rsidRDefault="005C7C60" w:rsidP="005C7C60">
            <w:pPr>
              <w:pStyle w:val="FAREnormaltext"/>
              <w:jc w:val="left"/>
            </w:pPr>
            <w:r w:rsidRPr="00A67E44">
              <w:t>National Drug Research Institute</w:t>
            </w:r>
          </w:p>
        </w:tc>
      </w:tr>
      <w:tr w:rsidR="00640277" w:rsidTr="00D07EDC">
        <w:trPr>
          <w:trHeight w:hRule="exact" w:val="397"/>
        </w:trPr>
        <w:tc>
          <w:tcPr>
            <w:tcW w:w="0" w:type="auto"/>
            <w:shd w:val="clear" w:color="auto" w:fill="auto"/>
            <w:vAlign w:val="center"/>
          </w:tcPr>
          <w:p w:rsidR="00640277" w:rsidRPr="00A67E44" w:rsidRDefault="00640277" w:rsidP="005C7C60">
            <w:pPr>
              <w:pStyle w:val="FAREnormaltext"/>
              <w:jc w:val="left"/>
            </w:pPr>
            <w:r>
              <w:t>NGO</w:t>
            </w:r>
          </w:p>
        </w:tc>
        <w:tc>
          <w:tcPr>
            <w:tcW w:w="0" w:type="auto"/>
            <w:shd w:val="clear" w:color="auto" w:fill="auto"/>
            <w:vAlign w:val="center"/>
          </w:tcPr>
          <w:p w:rsidR="00640277" w:rsidRPr="00A67E44" w:rsidRDefault="00640277" w:rsidP="00640277">
            <w:pPr>
              <w:pStyle w:val="FAREnormaltext"/>
              <w:jc w:val="left"/>
            </w:pPr>
            <w:r>
              <w:t>Non-Government Organisation</w:t>
            </w:r>
          </w:p>
        </w:tc>
      </w:tr>
      <w:tr w:rsidR="005C7C60" w:rsidTr="00D07EDC">
        <w:trPr>
          <w:trHeight w:hRule="exact" w:val="397"/>
        </w:trPr>
        <w:tc>
          <w:tcPr>
            <w:tcW w:w="0" w:type="auto"/>
            <w:shd w:val="clear" w:color="auto" w:fill="auto"/>
            <w:vAlign w:val="center"/>
          </w:tcPr>
          <w:p w:rsidR="005C7C60" w:rsidRPr="00A67E44" w:rsidRDefault="005C7C60" w:rsidP="005C7C60">
            <w:pPr>
              <w:pStyle w:val="FAREnormaltext"/>
              <w:jc w:val="left"/>
            </w:pPr>
            <w:r w:rsidRPr="00A67E44">
              <w:t>SDS</w:t>
            </w:r>
          </w:p>
        </w:tc>
        <w:tc>
          <w:tcPr>
            <w:tcW w:w="0" w:type="auto"/>
            <w:shd w:val="clear" w:color="auto" w:fill="auto"/>
            <w:vAlign w:val="center"/>
          </w:tcPr>
          <w:p w:rsidR="005C7C60" w:rsidRPr="00A67E44" w:rsidRDefault="005C7C60" w:rsidP="005C7C60">
            <w:pPr>
              <w:pStyle w:val="FAREnormaltext"/>
              <w:jc w:val="left"/>
            </w:pPr>
            <w:r w:rsidRPr="00A67E44">
              <w:t>Severity of Dependence Scale</w:t>
            </w:r>
          </w:p>
        </w:tc>
      </w:tr>
      <w:tr w:rsidR="005C7C60" w:rsidTr="00D07EDC">
        <w:trPr>
          <w:trHeight w:hRule="exact" w:val="397"/>
        </w:trPr>
        <w:tc>
          <w:tcPr>
            <w:tcW w:w="0" w:type="auto"/>
            <w:shd w:val="clear" w:color="auto" w:fill="auto"/>
            <w:vAlign w:val="center"/>
          </w:tcPr>
          <w:p w:rsidR="005C7C60" w:rsidRPr="00A67E44" w:rsidRDefault="005C7C60" w:rsidP="005C7C60">
            <w:pPr>
              <w:pStyle w:val="FAREnormaltext"/>
              <w:jc w:val="left"/>
            </w:pPr>
            <w:r w:rsidRPr="00A67E44">
              <w:t>TCU- CEST-Intake</w:t>
            </w:r>
          </w:p>
        </w:tc>
        <w:tc>
          <w:tcPr>
            <w:tcW w:w="0" w:type="auto"/>
            <w:shd w:val="clear" w:color="auto" w:fill="auto"/>
            <w:vAlign w:val="center"/>
          </w:tcPr>
          <w:p w:rsidR="005C7C60" w:rsidRPr="00A67E44" w:rsidRDefault="005C7C60" w:rsidP="008E49A0">
            <w:pPr>
              <w:pStyle w:val="FAREnormaltext"/>
              <w:jc w:val="left"/>
            </w:pPr>
            <w:r w:rsidRPr="00A67E44">
              <w:t>Texas Christian University-Client Evaluation of Self and Treatment Intake</w:t>
            </w:r>
            <w:r w:rsidR="008E49A0">
              <w:t>-</w:t>
            </w:r>
            <w:r w:rsidRPr="00A67E44">
              <w:t>Version</w:t>
            </w:r>
          </w:p>
        </w:tc>
      </w:tr>
      <w:tr w:rsidR="005C7C60" w:rsidTr="00D07EDC">
        <w:trPr>
          <w:trHeight w:hRule="exact" w:val="397"/>
        </w:trPr>
        <w:tc>
          <w:tcPr>
            <w:tcW w:w="0" w:type="auto"/>
            <w:shd w:val="clear" w:color="auto" w:fill="auto"/>
            <w:vAlign w:val="center"/>
          </w:tcPr>
          <w:p w:rsidR="005C7C60" w:rsidRPr="00A67E44" w:rsidRDefault="005C7C60" w:rsidP="005C7C60">
            <w:pPr>
              <w:pStyle w:val="FAREnormaltext"/>
              <w:jc w:val="left"/>
            </w:pPr>
            <w:r>
              <w:t>VAED</w:t>
            </w:r>
          </w:p>
        </w:tc>
        <w:tc>
          <w:tcPr>
            <w:tcW w:w="0" w:type="auto"/>
            <w:shd w:val="clear" w:color="auto" w:fill="auto"/>
            <w:vAlign w:val="center"/>
          </w:tcPr>
          <w:p w:rsidR="005C7C60" w:rsidRPr="00A67E44" w:rsidRDefault="005C7C60" w:rsidP="005C7C60">
            <w:pPr>
              <w:pStyle w:val="FAREnormaltext"/>
              <w:jc w:val="left"/>
            </w:pPr>
            <w:r>
              <w:t>Victorian Admitted Episodes Dataset</w:t>
            </w:r>
          </w:p>
        </w:tc>
      </w:tr>
      <w:tr w:rsidR="00D07EDC" w:rsidTr="00D07EDC">
        <w:trPr>
          <w:trHeight w:hRule="exact" w:val="397"/>
        </w:trPr>
        <w:tc>
          <w:tcPr>
            <w:tcW w:w="0" w:type="auto"/>
            <w:shd w:val="clear" w:color="auto" w:fill="auto"/>
            <w:vAlign w:val="center"/>
          </w:tcPr>
          <w:p w:rsidR="00D07EDC" w:rsidRDefault="00D07EDC" w:rsidP="005C7C60">
            <w:pPr>
              <w:pStyle w:val="FAREnormaltext"/>
              <w:jc w:val="left"/>
            </w:pPr>
            <w:r>
              <w:t>VDL</w:t>
            </w:r>
          </w:p>
        </w:tc>
        <w:tc>
          <w:tcPr>
            <w:tcW w:w="0" w:type="auto"/>
            <w:shd w:val="clear" w:color="auto" w:fill="auto"/>
            <w:vAlign w:val="center"/>
          </w:tcPr>
          <w:p w:rsidR="00D07EDC" w:rsidRDefault="00D07EDC" w:rsidP="005C7C60">
            <w:pPr>
              <w:pStyle w:val="FAREnormaltext"/>
              <w:jc w:val="left"/>
            </w:pPr>
            <w:r>
              <w:t>Victorian Data Linkages Unit</w:t>
            </w:r>
          </w:p>
        </w:tc>
      </w:tr>
      <w:tr w:rsidR="005C7C60" w:rsidTr="00D07EDC">
        <w:trPr>
          <w:trHeight w:hRule="exact" w:val="397"/>
        </w:trPr>
        <w:tc>
          <w:tcPr>
            <w:tcW w:w="0" w:type="auto"/>
            <w:shd w:val="clear" w:color="auto" w:fill="auto"/>
            <w:vAlign w:val="center"/>
          </w:tcPr>
          <w:p w:rsidR="005C7C60" w:rsidRDefault="005C7C60" w:rsidP="005C7C60">
            <w:pPr>
              <w:pStyle w:val="FAREnormaltext"/>
              <w:jc w:val="left"/>
            </w:pPr>
            <w:r>
              <w:t>VEMD</w:t>
            </w:r>
          </w:p>
        </w:tc>
        <w:tc>
          <w:tcPr>
            <w:tcW w:w="0" w:type="auto"/>
            <w:shd w:val="clear" w:color="auto" w:fill="auto"/>
            <w:vAlign w:val="center"/>
          </w:tcPr>
          <w:p w:rsidR="005C7C60" w:rsidRDefault="005C7C60" w:rsidP="005C7C60">
            <w:pPr>
              <w:pStyle w:val="FAREnormaltext"/>
              <w:jc w:val="left"/>
            </w:pPr>
            <w:r>
              <w:t>Victorian Emergency Minimum Dataset</w:t>
            </w:r>
          </w:p>
        </w:tc>
      </w:tr>
      <w:tr w:rsidR="005C7C60" w:rsidTr="00D07EDC">
        <w:trPr>
          <w:trHeight w:hRule="exact" w:val="397"/>
        </w:trPr>
        <w:tc>
          <w:tcPr>
            <w:tcW w:w="0" w:type="auto"/>
            <w:shd w:val="clear" w:color="auto" w:fill="auto"/>
            <w:vAlign w:val="center"/>
          </w:tcPr>
          <w:p w:rsidR="005C7C60" w:rsidRDefault="005C7C60" w:rsidP="005C7C60">
            <w:pPr>
              <w:pStyle w:val="FAREnormaltext"/>
              <w:jc w:val="left"/>
            </w:pPr>
            <w:r w:rsidRPr="00A67E44">
              <w:t>WHO</w:t>
            </w:r>
            <w:r w:rsidR="00EE7A8F">
              <w:t>QOL</w:t>
            </w:r>
            <w:r w:rsidRPr="00A67E44">
              <w:t>-BREF</w:t>
            </w:r>
          </w:p>
        </w:tc>
        <w:tc>
          <w:tcPr>
            <w:tcW w:w="0" w:type="auto"/>
            <w:shd w:val="clear" w:color="auto" w:fill="auto"/>
            <w:vAlign w:val="center"/>
          </w:tcPr>
          <w:p w:rsidR="005C7C60" w:rsidRDefault="005C7C60" w:rsidP="008E49A0">
            <w:pPr>
              <w:pStyle w:val="FAREnormaltext"/>
              <w:jc w:val="left"/>
            </w:pPr>
            <w:r w:rsidRPr="00A67E44">
              <w:t>World Health Organization Quality of Life</w:t>
            </w:r>
            <w:r w:rsidR="008E49A0">
              <w:t xml:space="preserve"> (Brief version) </w:t>
            </w:r>
          </w:p>
        </w:tc>
      </w:tr>
      <w:tr w:rsidR="005C7C60" w:rsidTr="00D07EDC">
        <w:trPr>
          <w:trHeight w:hRule="exact" w:val="397"/>
        </w:trPr>
        <w:tc>
          <w:tcPr>
            <w:tcW w:w="0" w:type="auto"/>
            <w:shd w:val="clear" w:color="auto" w:fill="auto"/>
            <w:vAlign w:val="center"/>
          </w:tcPr>
          <w:p w:rsidR="005C7C60" w:rsidRPr="00A67E44" w:rsidRDefault="005C7C60" w:rsidP="005C7C60">
            <w:pPr>
              <w:pStyle w:val="FAREnormaltext"/>
              <w:jc w:val="left"/>
            </w:pPr>
            <w:r>
              <w:t>SLK</w:t>
            </w:r>
          </w:p>
        </w:tc>
        <w:tc>
          <w:tcPr>
            <w:tcW w:w="0" w:type="auto"/>
            <w:shd w:val="clear" w:color="auto" w:fill="auto"/>
            <w:vAlign w:val="center"/>
          </w:tcPr>
          <w:p w:rsidR="005C7C60" w:rsidRPr="00A67E44" w:rsidRDefault="008758D0" w:rsidP="005C7C60">
            <w:pPr>
              <w:pStyle w:val="FAREnormaltext"/>
              <w:jc w:val="left"/>
            </w:pPr>
            <w:r>
              <w:t>S</w:t>
            </w:r>
            <w:r w:rsidR="005C7C60" w:rsidRPr="005F1A33">
              <w:t>tatistical linkage key</w:t>
            </w:r>
          </w:p>
        </w:tc>
      </w:tr>
      <w:tr w:rsidR="008758D0" w:rsidTr="00D07EDC">
        <w:trPr>
          <w:trHeight w:hRule="exact" w:val="397"/>
        </w:trPr>
        <w:tc>
          <w:tcPr>
            <w:tcW w:w="0" w:type="auto"/>
            <w:shd w:val="clear" w:color="auto" w:fill="auto"/>
            <w:vAlign w:val="center"/>
          </w:tcPr>
          <w:p w:rsidR="008758D0" w:rsidRDefault="008758D0" w:rsidP="005C7C60">
            <w:pPr>
              <w:pStyle w:val="FAREnormaltext"/>
              <w:jc w:val="left"/>
            </w:pPr>
            <w:r>
              <w:t>SUD</w:t>
            </w:r>
          </w:p>
        </w:tc>
        <w:tc>
          <w:tcPr>
            <w:tcW w:w="0" w:type="auto"/>
            <w:shd w:val="clear" w:color="auto" w:fill="auto"/>
            <w:vAlign w:val="center"/>
          </w:tcPr>
          <w:p w:rsidR="008758D0" w:rsidRDefault="008758D0" w:rsidP="005C7C60">
            <w:pPr>
              <w:pStyle w:val="FAREnormaltext"/>
              <w:jc w:val="left"/>
            </w:pPr>
            <w:r>
              <w:t>Substance use disorder</w:t>
            </w:r>
          </w:p>
        </w:tc>
      </w:tr>
    </w:tbl>
    <w:p w:rsidR="005E1029" w:rsidRPr="007C161F" w:rsidRDefault="005E1029" w:rsidP="007C161F">
      <w:r>
        <w:rPr>
          <w:lang w:val="en-GB"/>
        </w:rPr>
        <w:br w:type="page"/>
      </w:r>
    </w:p>
    <w:p w:rsidR="008C03AA" w:rsidRDefault="008C03AA" w:rsidP="008C03AA">
      <w:pPr>
        <w:pStyle w:val="Executive"/>
        <w:spacing w:before="0" w:after="200"/>
        <w:ind w:left="-142"/>
        <w:outlineLvl w:val="0"/>
        <w:rPr>
          <w:color w:val="auto"/>
          <w:lang w:val="en-GB"/>
        </w:rPr>
      </w:pPr>
      <w:bookmarkStart w:id="60" w:name="_Toc398105036"/>
      <w:r>
        <w:rPr>
          <w:color w:val="auto"/>
          <w:lang w:val="en-GB"/>
        </w:rPr>
        <w:lastRenderedPageBreak/>
        <w:t xml:space="preserve">Executive </w:t>
      </w:r>
      <w:r w:rsidR="005E1029">
        <w:rPr>
          <w:color w:val="auto"/>
          <w:lang w:val="en-GB"/>
        </w:rPr>
        <w:t>summary</w:t>
      </w:r>
      <w:bookmarkEnd w:id="60"/>
    </w:p>
    <w:p w:rsidR="001C692B" w:rsidRPr="0084203E" w:rsidRDefault="00B31DCB" w:rsidP="001C692B">
      <w:pPr>
        <w:pStyle w:val="FAREnormaltext"/>
        <w:rPr>
          <w:b/>
        </w:rPr>
      </w:pPr>
      <w:r w:rsidRPr="0084203E">
        <w:rPr>
          <w:b/>
        </w:rPr>
        <w:t>1. Background:</w:t>
      </w:r>
    </w:p>
    <w:p w:rsidR="00900592" w:rsidRDefault="001C692B" w:rsidP="006C4481">
      <w:pPr>
        <w:pStyle w:val="FAREnormaltext"/>
      </w:pPr>
      <w:r w:rsidRPr="0084203E">
        <w:t xml:space="preserve">There is now a substantial evidence base indicating that once in addiction treatment, many </w:t>
      </w:r>
      <w:r w:rsidR="002F63D3" w:rsidRPr="0084203E">
        <w:t xml:space="preserve">individuals with alcohol and drug dependence </w:t>
      </w:r>
      <w:r w:rsidRPr="0084203E">
        <w:t>improve. However, questions remain around what combination of service use is associated with these improvements and how systems can be configured to optimise and maintain positive treatment outcomes. The literature on treatment effectiveness to date is limited in that outcome studies typically describe the response to an isolated episode of care within a particular treatment modality</w:t>
      </w:r>
      <w:r w:rsidR="002F63D3" w:rsidRPr="0084203E">
        <w:t xml:space="preserve"> (</w:t>
      </w:r>
      <w:r w:rsidRPr="0084203E">
        <w:t>e.g.</w:t>
      </w:r>
      <w:r w:rsidR="002F63D3" w:rsidRPr="0084203E">
        <w:t>,</w:t>
      </w:r>
      <w:r w:rsidRPr="0084203E">
        <w:t xml:space="preserve"> inpatient detoxification</w:t>
      </w:r>
      <w:r w:rsidR="002F63D3" w:rsidRPr="0084203E">
        <w:t>)</w:t>
      </w:r>
      <w:r w:rsidRPr="0084203E">
        <w:t xml:space="preserve">, which represents only a fraction of the overall treatment episode. In addition, while Australian outcome studies typically involve participants using major illicit drugs (heroin, amphetamines), there has been no cohort study of alcohol and cannabis users in Australia, despite these being the most commonly abused substances and the two most frequent primary drugs of concern among </w:t>
      </w:r>
      <w:r w:rsidR="002F63D3" w:rsidRPr="0084203E">
        <w:t xml:space="preserve">the </w:t>
      </w:r>
      <w:r w:rsidRPr="0084203E">
        <w:t xml:space="preserve">659 </w:t>
      </w:r>
      <w:r w:rsidR="00EA46A1" w:rsidRPr="00EA46A1">
        <w:t xml:space="preserve">publicly funded alcohol and other drug </w:t>
      </w:r>
      <w:r w:rsidR="00EA46A1">
        <w:t>(</w:t>
      </w:r>
      <w:r w:rsidRPr="0084203E">
        <w:t>AOD</w:t>
      </w:r>
      <w:r w:rsidR="00EA46A1">
        <w:t>)</w:t>
      </w:r>
      <w:r w:rsidRPr="0084203E">
        <w:t xml:space="preserve"> </w:t>
      </w:r>
      <w:r w:rsidR="00EA46A1" w:rsidRPr="00EA46A1">
        <w:t>treatment</w:t>
      </w:r>
      <w:r w:rsidR="00EA46A1" w:rsidRPr="0084203E">
        <w:t xml:space="preserve"> </w:t>
      </w:r>
      <w:r w:rsidRPr="0084203E">
        <w:t>services across Australia (AIHW, 2013), accounting for 70% of treatment episodes in 2009-10 (48% alcohol and 23% cannabis) (AIHW, 2011). Whilst there is increasing recognition that specialist AOD services are merely one component of a larger interconnected system which includes health and welfare services, the extent of inter</w:t>
      </w:r>
      <w:r w:rsidR="002F63D3" w:rsidRPr="0084203E">
        <w:t>-</w:t>
      </w:r>
      <w:r w:rsidRPr="0084203E">
        <w:t xml:space="preserve"> and intra-sectorial linkage and the resulting pathways of care for clients accessing AOD specialist services remain poorly understood. </w:t>
      </w:r>
      <w:r w:rsidR="00BA3D7C">
        <w:t xml:space="preserve">Nevertheless, </w:t>
      </w:r>
      <w:proofErr w:type="spellStart"/>
      <w:r w:rsidRPr="00A568C5">
        <w:t>Babor</w:t>
      </w:r>
      <w:proofErr w:type="spellEnd"/>
      <w:r w:rsidRPr="00A568C5">
        <w:t xml:space="preserve"> et al. (2008</w:t>
      </w:r>
      <w:r w:rsidR="00BA3D7C">
        <w:t>; 2010</w:t>
      </w:r>
      <w:r w:rsidRPr="00A568C5">
        <w:t xml:space="preserve">) suggest that the cumulative impact of </w:t>
      </w:r>
      <w:r w:rsidR="00143847">
        <w:t xml:space="preserve">engaging </w:t>
      </w:r>
      <w:r w:rsidR="00DE1420">
        <w:t xml:space="preserve">with </w:t>
      </w:r>
      <w:r w:rsidR="00A273D8" w:rsidRPr="00A568C5">
        <w:t xml:space="preserve">AOD services and non-specialist AOD </w:t>
      </w:r>
      <w:r w:rsidRPr="00A568C5">
        <w:t>services</w:t>
      </w:r>
      <w:r w:rsidR="00A273D8" w:rsidRPr="00A568C5">
        <w:t xml:space="preserve"> in the community</w:t>
      </w:r>
      <w:r w:rsidRPr="00A568C5">
        <w:t xml:space="preserve"> should translate into population health benefits</w:t>
      </w:r>
      <w:r w:rsidR="002F63D3" w:rsidRPr="00A568C5">
        <w:t>,</w:t>
      </w:r>
      <w:r w:rsidRPr="00A568C5">
        <w:t xml:space="preserve"> such as reduced mortality, morbidity, disability, suicide, crime, unemployment and healthcare costs. </w:t>
      </w:r>
    </w:p>
    <w:p w:rsidR="001C692B" w:rsidRPr="00E5323A" w:rsidRDefault="001C692B" w:rsidP="001C692B">
      <w:pPr>
        <w:spacing w:after="120" w:line="240" w:lineRule="auto"/>
        <w:jc w:val="both"/>
        <w:rPr>
          <w:rFonts w:asciiTheme="minorHAnsi" w:hAnsiTheme="minorHAnsi"/>
          <w:b/>
        </w:rPr>
      </w:pPr>
      <w:r w:rsidRPr="0084203E">
        <w:rPr>
          <w:rFonts w:asciiTheme="minorHAnsi" w:hAnsiTheme="minorHAnsi"/>
          <w:b/>
        </w:rPr>
        <w:t>2. Study Rationale</w:t>
      </w:r>
    </w:p>
    <w:p w:rsidR="00C13AF7" w:rsidRPr="00C13AF7" w:rsidRDefault="00C13AF7" w:rsidP="00C13AF7">
      <w:pPr>
        <w:pStyle w:val="FAREnormaltext"/>
      </w:pPr>
      <w:r w:rsidRPr="00C13AF7">
        <w:t>There have been a number of international outcome studies in the addictions field although only two in Australia – each focused on a particular class of substances. While all of the major outcome studies have shown positive benefits for treatment, Patient Pat</w:t>
      </w:r>
      <w:r w:rsidR="00DE06CC">
        <w:t>hways is a unique study in that;</w:t>
      </w:r>
    </w:p>
    <w:p w:rsidR="00C13AF7" w:rsidRDefault="00C13AF7" w:rsidP="00E5323A">
      <w:pPr>
        <w:pStyle w:val="FAREdotpoints"/>
      </w:pPr>
      <w:r>
        <w:t xml:space="preserve">It includes both alcohol and illicit drug use </w:t>
      </w:r>
    </w:p>
    <w:p w:rsidR="00C13AF7" w:rsidRDefault="00C13AF7" w:rsidP="00E5323A">
      <w:pPr>
        <w:pStyle w:val="FAREdotpoints"/>
      </w:pPr>
      <w:r>
        <w:t xml:space="preserve">Its focus is on treatment systems and pathways through specialist and linked services, rather than focusing exclusively on the client </w:t>
      </w:r>
      <w:r w:rsidR="00EA46A1">
        <w:t xml:space="preserve">AOD treatment </w:t>
      </w:r>
      <w:r>
        <w:t>journey</w:t>
      </w:r>
    </w:p>
    <w:p w:rsidR="00C13AF7" w:rsidRDefault="00C13AF7" w:rsidP="00E5323A">
      <w:pPr>
        <w:pStyle w:val="FAREdotpoints"/>
      </w:pPr>
      <w:r>
        <w:t>It includes not only a large cohort follow-up study (with quantitative and qualitative components)</w:t>
      </w:r>
      <w:r w:rsidR="00BA3D7C">
        <w:t>,</w:t>
      </w:r>
      <w:r>
        <w:t xml:space="preserve"> but also a linked analysis of acute harms based on data from </w:t>
      </w:r>
      <w:r w:rsidR="00EA46A1">
        <w:t xml:space="preserve">AOD </w:t>
      </w:r>
      <w:r>
        <w:t>treatment engagement, emergency departments and hospital admissions</w:t>
      </w:r>
    </w:p>
    <w:p w:rsidR="00C13AF7" w:rsidRPr="00C13AF7" w:rsidRDefault="00C13AF7" w:rsidP="00C13AF7">
      <w:pPr>
        <w:pStyle w:val="FAREnormaltext"/>
      </w:pPr>
      <w:r w:rsidRPr="00C13AF7">
        <w:t>The rationale for the Patient Pathways study was based on the recognition that clients present with complex life problems as well as their alcohol and/or drug dependence</w:t>
      </w:r>
      <w:r w:rsidR="00F8526D">
        <w:t>,</w:t>
      </w:r>
      <w:r w:rsidRPr="00C13AF7">
        <w:t xml:space="preserve"> and are often engaged in a diverse range of professional supports and services. The Pathways study attempted to map and measure the systems within which individuals attempted to navigate their way through such inter-linking services, their experiences of services and the changes in behaviours and </w:t>
      </w:r>
      <w:r w:rsidR="00851091">
        <w:t xml:space="preserve">social </w:t>
      </w:r>
      <w:r w:rsidRPr="00C13AF7">
        <w:t>capital that res</w:t>
      </w:r>
      <w:r w:rsidR="00DE06CC">
        <w:t>ulted</w:t>
      </w:r>
      <w:r w:rsidR="00F8526D">
        <w:t>, as well as</w:t>
      </w:r>
      <w:r w:rsidRPr="00C13AF7">
        <w:t xml:space="preserve"> the impact of treatment on utilisation of acute health resources. </w:t>
      </w:r>
    </w:p>
    <w:p w:rsidR="00C13AF7" w:rsidRPr="00C13AF7" w:rsidRDefault="00C13AF7" w:rsidP="00C13AF7">
      <w:pPr>
        <w:pStyle w:val="FAREnormaltext"/>
      </w:pPr>
      <w:r w:rsidRPr="00C13AF7">
        <w:lastRenderedPageBreak/>
        <w:t xml:space="preserve">The design was unique in combining a diverse range of research methodologies and approaches to produce a coherent model of treatment experience and navigation. The findings from each of the components of this work are described individually prior to a description of the integrated emerging themes and the resulting recommendations from this work. </w:t>
      </w:r>
    </w:p>
    <w:p w:rsidR="00C13AF7" w:rsidRDefault="00984AEF" w:rsidP="00E5323A">
      <w:pPr>
        <w:pStyle w:val="FAREnormaltext"/>
        <w:rPr>
          <w:b/>
          <w:lang w:val="en-AU"/>
        </w:rPr>
      </w:pPr>
      <w:r>
        <w:rPr>
          <w:b/>
          <w:lang w:val="en-AU"/>
        </w:rPr>
        <w:t xml:space="preserve">3. </w:t>
      </w:r>
      <w:r w:rsidR="00C13AF7">
        <w:rPr>
          <w:b/>
          <w:lang w:val="en-AU"/>
        </w:rPr>
        <w:t xml:space="preserve">Priority One: Findings from the System Description </w:t>
      </w:r>
    </w:p>
    <w:p w:rsidR="00C13AF7" w:rsidRPr="00C13AF7" w:rsidRDefault="00C13AF7" w:rsidP="00C13AF7">
      <w:pPr>
        <w:pStyle w:val="FAREnormaltext"/>
      </w:pPr>
      <w:r w:rsidRPr="00C13AF7">
        <w:t xml:space="preserve">The </w:t>
      </w:r>
      <w:r w:rsidR="003948F1">
        <w:t>investigation</w:t>
      </w:r>
      <w:r w:rsidR="003948F1" w:rsidRPr="00C13AF7">
        <w:t xml:space="preserve"> </w:t>
      </w:r>
      <w:r w:rsidRPr="00C13AF7">
        <w:t>of AOD treatment systems in each state and territory involved a documentary analysis supported by key stakeholder interviews with a diverse range of policy makers</w:t>
      </w:r>
      <w:r w:rsidR="00F8526D">
        <w:t>. These individuals</w:t>
      </w:r>
      <w:r w:rsidRPr="00C13AF7">
        <w:t xml:space="preserve"> subsequently participated in reviewing the initial analysis of their own jurisdiction</w:t>
      </w:r>
      <w:r w:rsidR="001F182C">
        <w:t>al findings</w:t>
      </w:r>
      <w:r w:rsidR="00F8526D">
        <w:t>,</w:t>
      </w:r>
      <w:r w:rsidRPr="00C13AF7">
        <w:t xml:space="preserve"> providing invaluable context to the work </w:t>
      </w:r>
      <w:r w:rsidR="00F8526D">
        <w:t>conducted</w:t>
      </w:r>
      <w:r w:rsidRPr="00C13AF7">
        <w:t xml:space="preserve">. The analysis showed important commonalities as well as areas of difference across jurisdictions, with broad principles articulated in most relevant strategic policy documents. In essence, most systems strive to provide accessible, client-centred services that deliver evidence-based treatment within a harm-reduction framework. There is also a general aspiration that specialist services are one part of a larger interconnected system integrating with other health and welfare services. </w:t>
      </w:r>
    </w:p>
    <w:p w:rsidR="00C13AF7" w:rsidRPr="00C13AF7" w:rsidRDefault="00C13AF7" w:rsidP="00C13AF7">
      <w:pPr>
        <w:pStyle w:val="FAREnormaltext"/>
      </w:pPr>
      <w:r w:rsidRPr="00C13AF7">
        <w:t xml:space="preserve">Assessment, counselling and withdrawal are the central components of the treatment system in many jurisdictions, although there is considerable variability in treatment utilised across the country. While some </w:t>
      </w:r>
      <w:r w:rsidR="00851091">
        <w:t>client</w:t>
      </w:r>
      <w:r w:rsidR="00851091" w:rsidRPr="00C13AF7">
        <w:t xml:space="preserve"> </w:t>
      </w:r>
      <w:r w:rsidRPr="00C13AF7">
        <w:t>characteristics are relatively homogenous across jurisdictions (e.g. gender, age, country of birth), there is considerable heterogeneity in terms of Indigenous status, primary drug of concern and referral source, although it is not clear that system variations are a direct response to differences in presenting populations or profiles. The review revealed diversity of models of service provision across Australia, and limitations in capacity for demand modelling or mapping the effectiveness of aspects of the treatment system.</w:t>
      </w:r>
    </w:p>
    <w:p w:rsidR="00C13AF7" w:rsidRPr="00C13AF7" w:rsidRDefault="00C13AF7" w:rsidP="00C13AF7">
      <w:pPr>
        <w:pStyle w:val="FAREnormaltext"/>
      </w:pPr>
      <w:r w:rsidRPr="00C13AF7">
        <w:t xml:space="preserve">There is apparent commitment in all states and territories to monitoring and accountability, although the mechanisms in place vary by jurisdiction and it is an area for ongoing development. There is clear support for ensuring AOD service systems that are accessible and responsive to the needs of </w:t>
      </w:r>
      <w:r w:rsidR="001E002C">
        <w:t>clients</w:t>
      </w:r>
      <w:r w:rsidRPr="00C13AF7">
        <w:t>. Further, ensuring adequate care pathways is an objective in many states and territories, although the challenges in achieving this are widely recognised, as are the attempts to integrate effectively with link</w:t>
      </w:r>
      <w:r w:rsidR="00F8526D">
        <w:t>ed</w:t>
      </w:r>
      <w:r w:rsidRPr="00C13AF7">
        <w:t xml:space="preserve"> services</w:t>
      </w:r>
      <w:r w:rsidR="00F8526D">
        <w:t>,</w:t>
      </w:r>
      <w:r w:rsidRPr="00C13AF7">
        <w:t xml:space="preserve"> such as primary care, mental health, criminal justice, housing and social services.</w:t>
      </w:r>
    </w:p>
    <w:p w:rsidR="00C13AF7" w:rsidRDefault="00C13AF7" w:rsidP="00C13AF7">
      <w:pPr>
        <w:pStyle w:val="FAREnormaltext"/>
      </w:pPr>
      <w:r w:rsidRPr="00C13AF7">
        <w:t xml:space="preserve">Given the policy emphasis on accessible and interconnected service systems in most jurisdictions, it is not clear from the evidence gathered through the document review and consultation processes how well integrated existing AOD systems currently are, or what mechanisms exist for evaluating this. This links to the perceived omission around formal mechanisms for demand modelling and for mapping addiction and treatment careers. </w:t>
      </w:r>
      <w:r w:rsidR="001769E9">
        <w:t>Key findings from this work have already been used by the Drug Policy Modelling Program</w:t>
      </w:r>
      <w:r w:rsidR="00381191">
        <w:t xml:space="preserve"> (DPMP)</w:t>
      </w:r>
      <w:r w:rsidR="001769E9">
        <w:t xml:space="preserve">, at the University of New South Wales, to inform </w:t>
      </w:r>
      <w:r w:rsidR="001E002C">
        <w:t xml:space="preserve">a </w:t>
      </w:r>
      <w:r w:rsidR="001769E9">
        <w:t xml:space="preserve">Commonwealth funded </w:t>
      </w:r>
      <w:r w:rsidR="001E002C">
        <w:t>r</w:t>
      </w:r>
      <w:r w:rsidR="001E002C" w:rsidRPr="00F8526D">
        <w:t xml:space="preserve">eview </w:t>
      </w:r>
      <w:r w:rsidR="001769E9" w:rsidRPr="00F8526D">
        <w:t xml:space="preserve">of the </w:t>
      </w:r>
      <w:proofErr w:type="gramStart"/>
      <w:r w:rsidR="001E002C">
        <w:t xml:space="preserve">AOD </w:t>
      </w:r>
      <w:r w:rsidR="001769E9" w:rsidRPr="00F8526D">
        <w:t xml:space="preserve"> </w:t>
      </w:r>
      <w:r w:rsidR="001E002C">
        <w:t>t</w:t>
      </w:r>
      <w:r w:rsidR="001E002C" w:rsidRPr="00F8526D">
        <w:t>reatment</w:t>
      </w:r>
      <w:proofErr w:type="gramEnd"/>
      <w:r w:rsidR="001E002C" w:rsidRPr="00F8526D">
        <w:t xml:space="preserve"> </w:t>
      </w:r>
      <w:r w:rsidR="001E002C">
        <w:t>s</w:t>
      </w:r>
      <w:r w:rsidR="001E002C" w:rsidRPr="00F8526D">
        <w:t xml:space="preserve">ervice </w:t>
      </w:r>
      <w:r w:rsidR="001E002C">
        <w:t>s</w:t>
      </w:r>
      <w:r w:rsidR="001E002C" w:rsidRPr="00F8526D">
        <w:t>ector</w:t>
      </w:r>
      <w:r w:rsidR="00531D47">
        <w:t xml:space="preserve">. </w:t>
      </w:r>
    </w:p>
    <w:p w:rsidR="00C13AF7" w:rsidRDefault="00984AEF" w:rsidP="00C13AF7">
      <w:pPr>
        <w:pStyle w:val="FAREnormaltext"/>
        <w:rPr>
          <w:b/>
          <w:lang w:val="en-AU"/>
        </w:rPr>
      </w:pPr>
      <w:r>
        <w:rPr>
          <w:b/>
          <w:lang w:val="en-AU"/>
        </w:rPr>
        <w:t xml:space="preserve">4. </w:t>
      </w:r>
      <w:r w:rsidR="00C13AF7">
        <w:rPr>
          <w:b/>
          <w:lang w:val="en-AU"/>
        </w:rPr>
        <w:t>Priority Two – Part 1: Treatment cohort outcome</w:t>
      </w:r>
      <w:r w:rsidR="00DE06CC">
        <w:rPr>
          <w:b/>
          <w:lang w:val="en-AU"/>
        </w:rPr>
        <w:t>s</w:t>
      </w:r>
      <w:r w:rsidR="00C13AF7">
        <w:rPr>
          <w:b/>
          <w:lang w:val="en-AU"/>
        </w:rPr>
        <w:t xml:space="preserve"> study</w:t>
      </w:r>
    </w:p>
    <w:p w:rsidR="00E373EA" w:rsidRDefault="00E373EA" w:rsidP="00516DA3">
      <w:pPr>
        <w:pStyle w:val="FAREnormaltext"/>
      </w:pPr>
      <w:r>
        <w:t xml:space="preserve">In total, 796 clients were recruited between January 2012 and January 2013 from 20 AOD specialist services in </w:t>
      </w:r>
      <w:r w:rsidR="00DD4269">
        <w:t>Victoria (</w:t>
      </w:r>
      <w:r>
        <w:t>VIC</w:t>
      </w:r>
      <w:r w:rsidR="004533A7">
        <w:t>)</w:t>
      </w:r>
      <w:r>
        <w:t xml:space="preserve"> and </w:t>
      </w:r>
      <w:r w:rsidR="00DD4269">
        <w:t>Western Australia (</w:t>
      </w:r>
      <w:r>
        <w:t>WA</w:t>
      </w:r>
      <w:r w:rsidR="00DD4269">
        <w:t>)</w:t>
      </w:r>
      <w:r>
        <w:t xml:space="preserve">, of which </w:t>
      </w:r>
      <w:r w:rsidR="008D30A5">
        <w:t>29</w:t>
      </w:r>
      <w:r>
        <w:t xml:space="preserve">% were in long-term residential treatment, 44% in </w:t>
      </w:r>
      <w:r w:rsidR="00ED77FC">
        <w:t xml:space="preserve">acute </w:t>
      </w:r>
      <w:r>
        <w:t xml:space="preserve">withdrawal services, and 27% in outpatient </w:t>
      </w:r>
      <w:r w:rsidR="00DD4269">
        <w:t xml:space="preserve">delivered </w:t>
      </w:r>
      <w:r>
        <w:t xml:space="preserve">treatment. The cohort </w:t>
      </w:r>
      <w:r>
        <w:lastRenderedPageBreak/>
        <w:t>was predominantly male (62%), Australian-born (80%), with English as their first language (95%) and had a me</w:t>
      </w:r>
      <w:r w:rsidR="00937656">
        <w:t>di</w:t>
      </w:r>
      <w:r>
        <w:t xml:space="preserve">an age of </w:t>
      </w:r>
      <w:r w:rsidR="00937656">
        <w:t>35.9</w:t>
      </w:r>
      <w:r>
        <w:t xml:space="preserve"> years. At baseline, the primary drug of concern </w:t>
      </w:r>
      <w:r w:rsidR="00545C63">
        <w:t>(</w:t>
      </w:r>
      <w:r w:rsidR="00EE7A8F">
        <w:t>PDOC</w:t>
      </w:r>
      <w:r w:rsidR="00545C63">
        <w:t xml:space="preserve">) </w:t>
      </w:r>
      <w:r>
        <w:t>was alcohol (47%); cannabis (1</w:t>
      </w:r>
      <w:r w:rsidR="00D92556">
        <w:t>5</w:t>
      </w:r>
      <w:r>
        <w:t>%); meth</w:t>
      </w:r>
      <w:r w:rsidR="00E977AF">
        <w:t>/</w:t>
      </w:r>
      <w:r>
        <w:t>amphetamine (</w:t>
      </w:r>
      <w:r w:rsidR="00D92556">
        <w:t>20</w:t>
      </w:r>
      <w:r>
        <w:t xml:space="preserve">%); opioids (15%); and other drugs (3%). Almost all participants (99%) had addiction severity scores in the ‘probable dependence’ range. In addition to severe AOD problems, the cohort had multiple life complexities. </w:t>
      </w:r>
      <w:r w:rsidR="00DE06CC">
        <w:t>Fewer</w:t>
      </w:r>
      <w:r>
        <w:t xml:space="preserve"> than 20% were currently married or in a de facto relationship, </w:t>
      </w:r>
      <w:proofErr w:type="gramStart"/>
      <w:r w:rsidR="00DE06CC">
        <w:t>fewer</w:t>
      </w:r>
      <w:proofErr w:type="gramEnd"/>
      <w:r>
        <w:t xml:space="preserve"> than one-third had participated in paid employment in the previous 90 days, most (84%) were in receipt of government benefits, </w:t>
      </w:r>
      <w:r w:rsidR="00D92F7E">
        <w:t xml:space="preserve">more than </w:t>
      </w:r>
      <w:r>
        <w:t xml:space="preserve">one-quarter had been homeless in the past 90 days, and </w:t>
      </w:r>
      <w:r w:rsidR="00D92F7E">
        <w:t xml:space="preserve">more than </w:t>
      </w:r>
      <w:r>
        <w:t>half reported having chronic medical problems. Most had been heavily engaged in multiple AOD services and community services in the year prior to their primary index treatment (PIT) when recruited to the study. In</w:t>
      </w:r>
      <w:r w:rsidR="004F6578">
        <w:t xml:space="preserve"> summary</w:t>
      </w:r>
      <w:r>
        <w:t xml:space="preserve">, this was a complex sample of participants experiencing a </w:t>
      </w:r>
      <w:r w:rsidR="00545C63">
        <w:t xml:space="preserve">broad </w:t>
      </w:r>
      <w:r>
        <w:t>range of chronic health and wellbeing problems</w:t>
      </w:r>
      <w:r w:rsidR="00545C63">
        <w:t>,</w:t>
      </w:r>
      <w:r>
        <w:t xml:space="preserve"> who were engaged with multiple services, the majority of whom were previous users of specialist AOD treatment. </w:t>
      </w:r>
    </w:p>
    <w:p w:rsidR="00E373EA" w:rsidRDefault="00E373EA" w:rsidP="00516DA3">
      <w:pPr>
        <w:pStyle w:val="FAREnormaltext"/>
      </w:pPr>
      <w:r w:rsidRPr="00516DA3">
        <w:rPr>
          <w:b/>
        </w:rPr>
        <w:t>Follow-up Results</w:t>
      </w:r>
      <w:r>
        <w:t>: Follow-up interviews were completed by 555 (</w:t>
      </w:r>
      <w:r w:rsidR="00D92556">
        <w:t>70</w:t>
      </w:r>
      <w:r>
        <w:t>%) of the baseline participants approximately one year later (mean = 380</w:t>
      </w:r>
      <w:r w:rsidR="00D92F7E">
        <w:t>.3</w:t>
      </w:r>
      <w:r>
        <w:t xml:space="preserve"> days). The one-year outcome data suggest</w:t>
      </w:r>
      <w:r w:rsidR="004F6578">
        <w:t>ed that</w:t>
      </w:r>
      <w:r>
        <w:t xml:space="preserve"> treatment </w:t>
      </w:r>
      <w:proofErr w:type="gramStart"/>
      <w:r w:rsidR="004F6578">
        <w:t xml:space="preserve">was </w:t>
      </w:r>
      <w:r>
        <w:t xml:space="preserve"> effective</w:t>
      </w:r>
      <w:proofErr w:type="gramEnd"/>
      <w:r>
        <w:t>. More than half (</w:t>
      </w:r>
      <w:r w:rsidR="00E57103">
        <w:t>53</w:t>
      </w:r>
      <w:r>
        <w:t xml:space="preserve">%) were 'treatment successes' defined as being either abstinent from their </w:t>
      </w:r>
      <w:r w:rsidR="00EE7A8F">
        <w:t>PDOC</w:t>
      </w:r>
      <w:r>
        <w:t xml:space="preserve"> or having reduced the frequency of </w:t>
      </w:r>
      <w:r w:rsidR="000238A3">
        <w:t xml:space="preserve">non-prescribed </w:t>
      </w:r>
      <w:r>
        <w:t>use</w:t>
      </w:r>
      <w:r w:rsidR="00E57103">
        <w:t xml:space="preserve"> of the PDOC</w:t>
      </w:r>
      <w:r>
        <w:t xml:space="preserve"> by more than 50%, </w:t>
      </w:r>
      <w:r w:rsidR="00545C63">
        <w:t xml:space="preserve">with </w:t>
      </w:r>
      <w:r>
        <w:t>3</w:t>
      </w:r>
      <w:r w:rsidR="00D92556">
        <w:t>8</w:t>
      </w:r>
      <w:r>
        <w:t>% abstinent from their primary drug of choice in the month prior to the follow-up interview. Quality of life in the physical, psychological, social and environmental domains also improved significantly between baseline and follow-up, though mean scores remained below Australian norms and there were high rates of ongoing involvement with specialist AOD and with other services at the one-year follow-up.</w:t>
      </w:r>
    </w:p>
    <w:p w:rsidR="00E373EA" w:rsidRDefault="00E373EA" w:rsidP="00516DA3">
      <w:pPr>
        <w:pStyle w:val="FAREnormaltext"/>
      </w:pPr>
      <w:r>
        <w:t>Rates of abstinence</w:t>
      </w:r>
      <w:r w:rsidR="00E57103">
        <w:t xml:space="preserve"> from the PDOC</w:t>
      </w:r>
      <w:r>
        <w:t xml:space="preserve"> during the 30 days prior to follow-up were significantly higher among </w:t>
      </w:r>
      <w:r w:rsidR="00545C63">
        <w:t>participants whose</w:t>
      </w:r>
      <w:r>
        <w:t xml:space="preserve"> </w:t>
      </w:r>
      <w:r w:rsidR="00545C63">
        <w:t xml:space="preserve">PIT was </w:t>
      </w:r>
      <w:r>
        <w:t>long-term residential treatment (</w:t>
      </w:r>
      <w:r w:rsidR="00D92556">
        <w:t>56</w:t>
      </w:r>
      <w:r>
        <w:t xml:space="preserve">%), </w:t>
      </w:r>
      <w:r w:rsidR="00545C63">
        <w:t xml:space="preserve">as </w:t>
      </w:r>
      <w:r>
        <w:t xml:space="preserve">compared to outpatients </w:t>
      </w:r>
      <w:r w:rsidR="00545C63">
        <w:t xml:space="preserve">(33%) </w:t>
      </w:r>
      <w:r>
        <w:t>and acute withdrawal</w:t>
      </w:r>
      <w:r w:rsidR="00545C63">
        <w:t xml:space="preserve"> (30%)</w:t>
      </w:r>
      <w:r>
        <w:t xml:space="preserve">. Participants who had been in residential rehabilitation at any point in either the year preceding their PIT or the year following had significantly </w:t>
      </w:r>
      <w:r w:rsidR="00545C63">
        <w:t xml:space="preserve">greater </w:t>
      </w:r>
      <w:r>
        <w:t xml:space="preserve">rates of abstinence at follow-up. Abstinence rates in the past month were highest when the </w:t>
      </w:r>
      <w:r w:rsidR="00EE7A8F">
        <w:t>PDOC</w:t>
      </w:r>
      <w:r>
        <w:t xml:space="preserve"> was meth</w:t>
      </w:r>
      <w:r w:rsidR="00E977AF">
        <w:t>/</w:t>
      </w:r>
      <w:r>
        <w:t>amphetamine (</w:t>
      </w:r>
      <w:r w:rsidR="00D92556">
        <w:t>61</w:t>
      </w:r>
      <w:r>
        <w:t xml:space="preserve">%), followed by opioids (45%); cannabis (34%) and lowest for alcohol (28%). Fourteen percent of the sample reported complete abstinence from their </w:t>
      </w:r>
      <w:r w:rsidR="00EE7A8F">
        <w:t>PDOC</w:t>
      </w:r>
      <w:r>
        <w:t xml:space="preserve"> throughout the entire follow-up year, and this was highest when the primary drug was meth</w:t>
      </w:r>
      <w:r w:rsidR="00E977AF">
        <w:t>/</w:t>
      </w:r>
      <w:r>
        <w:t xml:space="preserve">amphetamine (26%, a rate markedly higher than reported in the MATES </w:t>
      </w:r>
      <w:r w:rsidR="00545C63">
        <w:t xml:space="preserve">cohort </w:t>
      </w:r>
      <w:r>
        <w:t xml:space="preserve">study in 2012). </w:t>
      </w:r>
      <w:r w:rsidR="005D419C">
        <w:t>Taking a conservative estimate and assuming all participants</w:t>
      </w:r>
      <w:r w:rsidR="00C679A2">
        <w:t xml:space="preserve"> who withdrew or were</w:t>
      </w:r>
      <w:r w:rsidR="005D419C">
        <w:t xml:space="preserve"> lost to follow-up were still using</w:t>
      </w:r>
      <w:r w:rsidR="00C679A2">
        <w:t xml:space="preserve"> their PDOC</w:t>
      </w:r>
      <w:r w:rsidR="005D419C">
        <w:t xml:space="preserve">, </w:t>
      </w:r>
      <w:r w:rsidR="00545C63">
        <w:t>the rate of treatment success</w:t>
      </w:r>
      <w:r w:rsidR="00C679A2">
        <w:t xml:space="preserve"> in the entire baseline sample (excluding those known to be deceased or incarcerated at follow-up)</w:t>
      </w:r>
      <w:r w:rsidR="004C17BA">
        <w:t xml:space="preserve"> was</w:t>
      </w:r>
      <w:r w:rsidR="00545C63">
        <w:t xml:space="preserve"> 3</w:t>
      </w:r>
      <w:r w:rsidR="00D92556">
        <w:t>8</w:t>
      </w:r>
      <w:r w:rsidR="004C17BA">
        <w:t xml:space="preserve">% with </w:t>
      </w:r>
      <w:r w:rsidR="00545C63">
        <w:t>27% abstinent fr</w:t>
      </w:r>
      <w:r w:rsidR="00DE1420">
        <w:t>o</w:t>
      </w:r>
      <w:r w:rsidR="00545C63">
        <w:t xml:space="preserve">m their </w:t>
      </w:r>
      <w:r w:rsidR="00EE7A8F">
        <w:t>PDOC</w:t>
      </w:r>
      <w:r w:rsidR="00945411">
        <w:t xml:space="preserve"> in the 30 days prior to follow-up</w:t>
      </w:r>
      <w:r w:rsidR="00545C63">
        <w:t>.</w:t>
      </w:r>
    </w:p>
    <w:p w:rsidR="001C692B" w:rsidRPr="00403FF1" w:rsidRDefault="00B31DCB" w:rsidP="00516DA3">
      <w:pPr>
        <w:pStyle w:val="FAREnormaltext"/>
      </w:pPr>
      <w:r w:rsidRPr="000172AB">
        <w:t>Predictors of treatment success (achieving abstinence or at least 50% reduced consumption of PDOC) were examined. Significant predictors were completion of the PIT, mutual aid attendance</w:t>
      </w:r>
      <w:r w:rsidR="008806F9" w:rsidRPr="008806F9">
        <w:rPr>
          <w:vertAlign w:val="superscript"/>
        </w:rPr>
        <w:footnoteReference w:id="1"/>
      </w:r>
      <w:r w:rsidRPr="000172AB">
        <w:t xml:space="preserve"> post-PIT and being born outside of Australia. Significant predictors of treatment failures were having </w:t>
      </w:r>
      <w:r w:rsidRPr="000172AB">
        <w:lastRenderedPageBreak/>
        <w:t xml:space="preserve">alcohol as the PDOC and having a longer interval between baseline and follow-up. With respect to abstinence, a similar pattern was found </w:t>
      </w:r>
      <w:proofErr w:type="gramStart"/>
      <w:r w:rsidR="001070AE" w:rsidRPr="000172AB">
        <w:t>w</w:t>
      </w:r>
      <w:r w:rsidR="00F20CCC" w:rsidRPr="000172AB">
        <w:t>hereby</w:t>
      </w:r>
      <w:r w:rsidR="001070AE" w:rsidRPr="000172AB">
        <w:t>,</w:t>
      </w:r>
      <w:proofErr w:type="gramEnd"/>
      <w:r w:rsidR="00F20CCC" w:rsidRPr="000172AB">
        <w:t xml:space="preserve"> significant predictors of abstinence were </w:t>
      </w:r>
      <w:r w:rsidR="001070AE" w:rsidRPr="000172AB">
        <w:t>opio</w:t>
      </w:r>
      <w:r w:rsidR="00AC0921" w:rsidRPr="000172AB">
        <w:t>i</w:t>
      </w:r>
      <w:r w:rsidR="001070AE" w:rsidRPr="000172AB">
        <w:t>ds and meth/amp</w:t>
      </w:r>
      <w:r w:rsidR="00AC0921" w:rsidRPr="000172AB">
        <w:t>hetamine</w:t>
      </w:r>
      <w:r w:rsidR="001070AE" w:rsidRPr="000172AB">
        <w:t xml:space="preserve"> as PDOC relative to alcohol, residential rehabilitation as the PIT </w:t>
      </w:r>
      <w:r w:rsidR="00F20CCC" w:rsidRPr="000172AB">
        <w:t xml:space="preserve">and use of community services </w:t>
      </w:r>
      <w:r w:rsidR="001070AE" w:rsidRPr="000172AB">
        <w:t>as well as PIT completion and mutual aid</w:t>
      </w:r>
      <w:r w:rsidR="00F20CCC" w:rsidRPr="000172AB">
        <w:t>.</w:t>
      </w:r>
      <w:r w:rsidRPr="000172AB">
        <w:t xml:space="preserve"> There was also a dose-effect of mutual aid attendance whereby more frequent attendance generated greater benefit.</w:t>
      </w:r>
      <w:r w:rsidR="001070AE" w:rsidRPr="000172AB">
        <w:t xml:space="preserve">  </w:t>
      </w:r>
    </w:p>
    <w:p w:rsidR="00E373EA" w:rsidRDefault="00E373EA" w:rsidP="00516DA3">
      <w:pPr>
        <w:pStyle w:val="FAREnormaltext"/>
      </w:pPr>
      <w:r>
        <w:t xml:space="preserve">Almost three-quarters engaged in further specialist AOD treatment after their index treatment. Rates of mutual aid engagement in the year following the baseline interview increased significantly relative to pre-baseline rates (with </w:t>
      </w:r>
      <w:r w:rsidR="00D15BE7">
        <w:t>49</w:t>
      </w:r>
      <w:r w:rsidR="00B51043">
        <w:t xml:space="preserve">% </w:t>
      </w:r>
      <w:r>
        <w:t>attending meetings). Acute medical service use (having had an ambulance call out, ED admission or inpatient hospital admission) decreased significantly, though remained high (</w:t>
      </w:r>
      <w:r w:rsidR="00B51043">
        <w:t xml:space="preserve">with </w:t>
      </w:r>
      <w:r>
        <w:t>5</w:t>
      </w:r>
      <w:r w:rsidR="00D15BE7">
        <w:t>1</w:t>
      </w:r>
      <w:r>
        <w:t>%</w:t>
      </w:r>
      <w:r w:rsidR="00B51043">
        <w:t xml:space="preserve"> having used at least one of these services at least once during the follow-up period</w:t>
      </w:r>
      <w:r>
        <w:t xml:space="preserve">). Community service use remained high with 94% reporting GP visits, </w:t>
      </w:r>
      <w:r w:rsidR="00D15BE7">
        <w:t>35</w:t>
      </w:r>
      <w:r w:rsidR="003C5E06">
        <w:t>%</w:t>
      </w:r>
      <w:r>
        <w:t xml:space="preserve"> attending mental health services, 40% attending employment services, and 21% attending housing services in the follow-up year. </w:t>
      </w:r>
    </w:p>
    <w:p w:rsidR="00E373EA" w:rsidRDefault="00DE1420" w:rsidP="00516DA3">
      <w:pPr>
        <w:pStyle w:val="FAREnormaltext"/>
      </w:pPr>
      <w:proofErr w:type="gramStart"/>
      <w:r>
        <w:t xml:space="preserve">Neither </w:t>
      </w:r>
      <w:r w:rsidR="00E373EA">
        <w:t>continuity</w:t>
      </w:r>
      <w:proofErr w:type="gramEnd"/>
      <w:r w:rsidR="00E373EA">
        <w:t xml:space="preserve"> in AOD specialist treatment nor community service engagement </w:t>
      </w:r>
      <w:r>
        <w:t xml:space="preserve">with services </w:t>
      </w:r>
      <w:r w:rsidR="00E373EA">
        <w:t>m</w:t>
      </w:r>
      <w:r w:rsidR="00C573A7">
        <w:t>e</w:t>
      </w:r>
      <w:r>
        <w:t>eting</w:t>
      </w:r>
      <w:r w:rsidR="00E373EA">
        <w:t xml:space="preserve"> baseline presenting needs (</w:t>
      </w:r>
      <w:r>
        <w:t xml:space="preserve">in </w:t>
      </w:r>
      <w:r w:rsidR="00E373EA">
        <w:t>homelessness, unemployment, or poor psychological health)</w:t>
      </w:r>
      <w:r w:rsidR="00531D47">
        <w:t xml:space="preserve"> </w:t>
      </w:r>
      <w:r>
        <w:t xml:space="preserve">were </w:t>
      </w:r>
      <w:r w:rsidR="005723E2">
        <w:t>significant</w:t>
      </w:r>
      <w:r>
        <w:t xml:space="preserve"> predictors of outcome. </w:t>
      </w:r>
      <w:r w:rsidR="00E373EA">
        <w:t xml:space="preserve">The strongest and most consistent predictors of abstinence or </w:t>
      </w:r>
      <w:r w:rsidR="005723E2">
        <w:t xml:space="preserve">treatment success </w:t>
      </w:r>
      <w:r w:rsidR="00E373EA">
        <w:t xml:space="preserve">were completion of the PIT and mutual aid attendance in the </w:t>
      </w:r>
      <w:r w:rsidR="00146551">
        <w:t xml:space="preserve">year </w:t>
      </w:r>
      <w:r w:rsidR="00E373EA">
        <w:t>follow</w:t>
      </w:r>
      <w:r w:rsidR="005723E2">
        <w:t>ing their PIT</w:t>
      </w:r>
      <w:r w:rsidR="00E373EA">
        <w:t xml:space="preserve">. The extent to which participants received an optimal care pathway </w:t>
      </w:r>
      <w:r w:rsidR="001C692B">
        <w:t>(</w:t>
      </w:r>
      <w:r w:rsidR="00E373EA">
        <w:t xml:space="preserve">defined </w:t>
      </w:r>
      <w:r w:rsidR="00DE06CC">
        <w:t>by</w:t>
      </w:r>
      <w:r w:rsidR="00E373EA">
        <w:t xml:space="preserve"> PIT completion, continuity of AOD treatment, engagement in community services, having no unmet needs, and mutual aid attendance</w:t>
      </w:r>
      <w:r w:rsidR="001C692B">
        <w:t>)</w:t>
      </w:r>
      <w:r w:rsidR="00E373EA">
        <w:t xml:space="preserve"> did predict abstinence from </w:t>
      </w:r>
      <w:r w:rsidR="0082209D">
        <w:t xml:space="preserve">their </w:t>
      </w:r>
      <w:r w:rsidR="00EE7A8F">
        <w:t>PDOC</w:t>
      </w:r>
      <w:r w:rsidR="00E373EA">
        <w:t xml:space="preserve"> at follow-up, with a significantly higher likelihood of being abstinent with more optimal care pathways</w:t>
      </w:r>
      <w:r w:rsidR="001070AE">
        <w:t xml:space="preserve"> for alcohol but not drug </w:t>
      </w:r>
      <w:r w:rsidR="003C2544">
        <w:t>participants</w:t>
      </w:r>
      <w:r w:rsidR="00E373EA">
        <w:t>.</w:t>
      </w:r>
    </w:p>
    <w:p w:rsidR="001C692B" w:rsidRDefault="00E373EA" w:rsidP="001C692B">
      <w:pPr>
        <w:pStyle w:val="FAREnormaltext"/>
      </w:pPr>
      <w:r w:rsidRPr="009D65DF">
        <w:t>For participants who stated at baseline that abstinence was their primary treatment objective, and this was the majority of participants in all three treatment modalities studied, the factors most strongly associated with success were completion of the index treatment, having a treatment journey that included residential rehabilitation and engagement in mutual aid groups (with greater mutual aid attendance associated with better outcomes</w:t>
      </w:r>
      <w:r w:rsidRPr="00984AEF">
        <w:t xml:space="preserve">). </w:t>
      </w:r>
      <w:r w:rsidR="001C692B" w:rsidRPr="00984AEF">
        <w:t xml:space="preserve">The most notable finding was that the outcomes were most positive when the </w:t>
      </w:r>
      <w:r w:rsidR="00146551">
        <w:t>PDOC</w:t>
      </w:r>
      <w:r w:rsidR="001C692B" w:rsidRPr="00984AEF">
        <w:t xml:space="preserve"> was </w:t>
      </w:r>
      <w:r w:rsidR="00087D81">
        <w:t>meth</w:t>
      </w:r>
      <w:r w:rsidR="00E977AF">
        <w:t>/</w:t>
      </w:r>
      <w:r w:rsidR="001C692B" w:rsidRPr="00984AEF">
        <w:t>amphetamine, which is important</w:t>
      </w:r>
      <w:r w:rsidR="005723E2">
        <w:t xml:space="preserve"> as it is considered a national concern </w:t>
      </w:r>
      <w:r w:rsidR="001C692B" w:rsidRPr="00984AEF">
        <w:t>due to its</w:t>
      </w:r>
      <w:r w:rsidR="001C692B" w:rsidRPr="00984AEF">
        <w:rPr>
          <w:rFonts w:ascii="Arial" w:hAnsi="Arial" w:cs="Arial"/>
          <w:sz w:val="20"/>
          <w:szCs w:val="20"/>
        </w:rPr>
        <w:t xml:space="preserve"> </w:t>
      </w:r>
      <w:r w:rsidR="001C692B" w:rsidRPr="00984AEF">
        <w:t xml:space="preserve">relative accessibility, affordability and </w:t>
      </w:r>
      <w:r w:rsidR="00403FF1" w:rsidRPr="00984AEF">
        <w:t>damaging</w:t>
      </w:r>
      <w:r w:rsidR="001C692B" w:rsidRPr="00984AEF">
        <w:t xml:space="preserve"> side-effects</w:t>
      </w:r>
      <w:r w:rsidR="005723E2" w:rsidRPr="00984AEF">
        <w:t xml:space="preserve"> </w:t>
      </w:r>
      <w:r w:rsidR="001C692B" w:rsidRPr="00984AEF">
        <w:t>(Australian Crime Commission, 2014). However outcomes were</w:t>
      </w:r>
      <w:r w:rsidR="001C692B" w:rsidRPr="00984AEF">
        <w:rPr>
          <w:rFonts w:ascii="Arial" w:hAnsi="Arial" w:cs="Arial"/>
          <w:sz w:val="20"/>
          <w:szCs w:val="20"/>
        </w:rPr>
        <w:t xml:space="preserve"> </w:t>
      </w:r>
      <w:r w:rsidR="001C692B" w:rsidRPr="00984AEF">
        <w:t xml:space="preserve">markedly </w:t>
      </w:r>
      <w:r w:rsidR="00146551" w:rsidRPr="00984AEF">
        <w:t>wors</w:t>
      </w:r>
      <w:r w:rsidR="00146551">
        <w:t>e</w:t>
      </w:r>
      <w:r w:rsidR="00146551" w:rsidRPr="00984AEF">
        <w:t xml:space="preserve"> </w:t>
      </w:r>
      <w:r w:rsidR="001C692B" w:rsidRPr="00984AEF">
        <w:t xml:space="preserve">when the PDOC was alcohol. </w:t>
      </w:r>
    </w:p>
    <w:p w:rsidR="002646C4" w:rsidRDefault="001070AE" w:rsidP="00C13AF7">
      <w:pPr>
        <w:pStyle w:val="FAREnormaltext"/>
      </w:pPr>
      <w:r>
        <w:t xml:space="preserve">After weighting the data so that the Patient Pathways </w:t>
      </w:r>
      <w:r w:rsidR="00941255">
        <w:t>cohort</w:t>
      </w:r>
      <w:r>
        <w:t xml:space="preserve"> were </w:t>
      </w:r>
      <w:r w:rsidR="00941255">
        <w:t>representati</w:t>
      </w:r>
      <w:r w:rsidR="00906445">
        <w:t>ve</w:t>
      </w:r>
      <w:r>
        <w:t xml:space="preserve"> of the broader treatment seeking population accessing AOD specialist services in Victoria and WA during 2011/12</w:t>
      </w:r>
      <w:r w:rsidR="00941255">
        <w:t xml:space="preserve"> (using data from AIHW 2013), there were few changes to the findings. Abstinence and treatment success rates were only marginally reduced and weighted data confirmed PIT completion, mutual aid attendance, meth/amphetamines and opioids (relative to alcohol) as significant predictors of these outcomes. </w:t>
      </w:r>
      <w:r w:rsidR="005723E2">
        <w:t xml:space="preserve">With weighted data, </w:t>
      </w:r>
      <w:r w:rsidR="00941255">
        <w:t xml:space="preserve">community service use </w:t>
      </w:r>
      <w:r w:rsidR="005723E2">
        <w:t xml:space="preserve">was a significant predictor of </w:t>
      </w:r>
      <w:r w:rsidR="00941255">
        <w:t xml:space="preserve">treatment success </w:t>
      </w:r>
      <w:r w:rsidR="005723E2">
        <w:t xml:space="preserve">and the finding of </w:t>
      </w:r>
      <w:r w:rsidR="00A568C5">
        <w:t>significantly</w:t>
      </w:r>
      <w:r w:rsidR="00941255">
        <w:t xml:space="preserve"> </w:t>
      </w:r>
      <w:r w:rsidR="00A568C5">
        <w:t>higher rates of abstinence among those who received any residential rehabilitation during the two year study period</w:t>
      </w:r>
      <w:r w:rsidR="005723E2">
        <w:t xml:space="preserve"> was also confirmed</w:t>
      </w:r>
      <w:r w:rsidR="00A568C5">
        <w:t>.</w:t>
      </w:r>
    </w:p>
    <w:p w:rsidR="00C13AF7" w:rsidRPr="006C68CD" w:rsidRDefault="00984AEF" w:rsidP="002646C4">
      <w:pPr>
        <w:pStyle w:val="FAREnormaltext"/>
        <w:spacing w:before="2040"/>
        <w:rPr>
          <w:lang w:val="en-AU"/>
        </w:rPr>
      </w:pPr>
      <w:r>
        <w:rPr>
          <w:b/>
          <w:lang w:val="en-AU"/>
        </w:rPr>
        <w:lastRenderedPageBreak/>
        <w:t xml:space="preserve">5. </w:t>
      </w:r>
      <w:r w:rsidR="00C13AF7">
        <w:rPr>
          <w:b/>
          <w:lang w:val="en-AU"/>
        </w:rPr>
        <w:t xml:space="preserve">Priority 2 – Part 2: Qualitative data </w:t>
      </w:r>
    </w:p>
    <w:p w:rsidR="00C13AF7" w:rsidRPr="00C13AF7" w:rsidRDefault="00C13AF7" w:rsidP="00C13AF7">
      <w:pPr>
        <w:pStyle w:val="FAREnormaltext"/>
      </w:pPr>
      <w:r w:rsidRPr="00C13AF7">
        <w:t xml:space="preserve">A total of 41 in-depth </w:t>
      </w:r>
      <w:r w:rsidR="00225DFE">
        <w:t>follow-up</w:t>
      </w:r>
      <w:r w:rsidRPr="00C13AF7">
        <w:t xml:space="preserve"> interviews were conducted with participants from the cohort study. The qualitative interview</w:t>
      </w:r>
      <w:r w:rsidR="006F2EF2">
        <w:t>s</w:t>
      </w:r>
      <w:r w:rsidRPr="00C13AF7">
        <w:t xml:space="preserve"> explored the individual’s route into treatment, their pathways through specialist and other linked services, their experiences of the treatment pathway and their current wellbeing. As </w:t>
      </w:r>
      <w:r w:rsidR="00C573A7">
        <w:t>demonstrated</w:t>
      </w:r>
      <w:r w:rsidR="00C573A7" w:rsidRPr="00C13AF7">
        <w:t xml:space="preserve"> </w:t>
      </w:r>
      <w:r w:rsidRPr="00C13AF7">
        <w:t xml:space="preserve">in the quantitative data, there was considerable ongoing involvement with a range of services, but there was increased emphasis on the role of care coordination. For participants who had not </w:t>
      </w:r>
      <w:r w:rsidR="00C573A7">
        <w:t>received</w:t>
      </w:r>
      <w:r w:rsidR="00C573A7" w:rsidRPr="00C13AF7">
        <w:t xml:space="preserve"> </w:t>
      </w:r>
      <w:r w:rsidRPr="00C13AF7">
        <w:t>this</w:t>
      </w:r>
      <w:r w:rsidR="00C573A7">
        <w:t xml:space="preserve"> support</w:t>
      </w:r>
      <w:r w:rsidRPr="00C13AF7">
        <w:t>, service systems were seen as complex and hard to navigate, in spite of most participants having significant previous treatment experience. There was a clear need for multiple service involvement as most participants described a diverse range of complex needs that required significant support and input.</w:t>
      </w:r>
    </w:p>
    <w:p w:rsidR="00C13AF7" w:rsidRPr="00C13AF7" w:rsidRDefault="00C13AF7" w:rsidP="00C13AF7">
      <w:pPr>
        <w:pStyle w:val="FAREnormaltext"/>
      </w:pPr>
      <w:r w:rsidRPr="00C13AF7">
        <w:t>For this reason, a dominant theme in the qualitative analysis was around navigation and the need for suitable care coordination</w:t>
      </w:r>
      <w:r w:rsidR="001746AC">
        <w:t xml:space="preserve"> and aftercare</w:t>
      </w:r>
      <w:r w:rsidRPr="00C13AF7">
        <w:t xml:space="preserve">, particularly in the periods after completion of acute care. Where </w:t>
      </w:r>
      <w:r w:rsidR="00F43B95">
        <w:t>participant</w:t>
      </w:r>
      <w:r w:rsidRPr="00C13AF7">
        <w:t xml:space="preserve">s did receive appropriate follow-up (even in the form of telephone calls), this was regarded as welcome and beneficial. This was particularly important for individuals who did not have strong family support or other forms of social capital, and only some of the sample reported willingness to engage in mutual aid </w:t>
      </w:r>
      <w:r w:rsidR="00C573A7">
        <w:t>o</w:t>
      </w:r>
      <w:r w:rsidRPr="00C13AF7">
        <w:t xml:space="preserve">n an ongoing basis. Access to continuing and integrated care was also limited by practical factors including geographical access, </w:t>
      </w:r>
      <w:r w:rsidR="001C692B" w:rsidRPr="00984AEF">
        <w:t xml:space="preserve">long </w:t>
      </w:r>
      <w:r w:rsidR="00984AEF" w:rsidRPr="00984AEF">
        <w:t>waiting lists</w:t>
      </w:r>
      <w:r w:rsidR="001C692B" w:rsidRPr="00984AEF">
        <w:t xml:space="preserve"> (particularly for residential rehabilitation)</w:t>
      </w:r>
      <w:r w:rsidR="001C692B">
        <w:t xml:space="preserve"> </w:t>
      </w:r>
      <w:r w:rsidRPr="00C13AF7">
        <w:t>and lack of availability of services, but also on occasion by negative attitudes held by staff. In identifying areas for development</w:t>
      </w:r>
      <w:r w:rsidR="00C573A7">
        <w:t>,</w:t>
      </w:r>
      <w:r w:rsidRPr="00C13AF7">
        <w:t xml:space="preserve"> participants in the qualitative interviews identified core areas around integrated </w:t>
      </w:r>
      <w:r w:rsidR="00114AEC">
        <w:t>care</w:t>
      </w:r>
      <w:r w:rsidRPr="00C13AF7">
        <w:t xml:space="preserve"> including better training in holistic approaches and a stronger commitment to inter-agency partnership. The clear and dominant theme from the qualitative interviews was the need for support around system navigation and the perceived limitations of the workforce in meeting that need. </w:t>
      </w:r>
    </w:p>
    <w:p w:rsidR="00C13AF7" w:rsidRDefault="00984AEF" w:rsidP="00C13AF7">
      <w:pPr>
        <w:pStyle w:val="FAREnormaltext"/>
        <w:rPr>
          <w:b/>
          <w:lang w:val="en-AU"/>
        </w:rPr>
      </w:pPr>
      <w:r>
        <w:rPr>
          <w:b/>
          <w:lang w:val="en-AU"/>
        </w:rPr>
        <w:t xml:space="preserve">6. </w:t>
      </w:r>
      <w:r w:rsidR="00C13AF7">
        <w:rPr>
          <w:b/>
          <w:lang w:val="en-AU"/>
        </w:rPr>
        <w:t xml:space="preserve">Priority 3: Findings from the </w:t>
      </w:r>
      <w:r w:rsidR="00540F94">
        <w:rPr>
          <w:b/>
          <w:lang w:val="en-AU"/>
        </w:rPr>
        <w:t>l</w:t>
      </w:r>
      <w:r w:rsidR="00C13AF7">
        <w:rPr>
          <w:b/>
          <w:lang w:val="en-AU"/>
        </w:rPr>
        <w:t xml:space="preserve">inkage data  </w:t>
      </w:r>
    </w:p>
    <w:p w:rsidR="005837E3" w:rsidRPr="000172AB" w:rsidRDefault="00C13AF7" w:rsidP="00C13AF7">
      <w:pPr>
        <w:pStyle w:val="FAREnormaltext"/>
      </w:pPr>
      <w:r>
        <w:t xml:space="preserve">Overall, decreases in acute service utilisation across emergency department </w:t>
      </w:r>
      <w:r w:rsidR="006F2EF2">
        <w:t xml:space="preserve">(ED) </w:t>
      </w:r>
      <w:r>
        <w:t xml:space="preserve">and hospital inpatient settings were evident in the year following treatment engagement. These reductions were found across most </w:t>
      </w:r>
      <w:r w:rsidR="00F43B95">
        <w:t>participant</w:t>
      </w:r>
      <w:r>
        <w:t xml:space="preserve"> demographic characteristics, treatment types and drug use characteristics. ED presentations and hospital admissions with an acute alcohol-related or other drug-related diagnosis decreased in the year following treatment engagement, as did presentations and admissions for a non-AOD-related condition, indicating improvements in both general health and also the experience of acute drug-related harm</w:t>
      </w:r>
      <w:r w:rsidR="00FF5019">
        <w:t>,</w:t>
      </w:r>
      <w:r>
        <w:t xml:space="preserve"> such as severe intoxication or overdose. Injury presentations and admissions also decreased following treatment engagement, with larger reductions evident for </w:t>
      </w:r>
      <w:r w:rsidR="00F43B95">
        <w:t>participant</w:t>
      </w:r>
      <w:r>
        <w:t xml:space="preserve">s who had been engaged in residential rehabilitation in their index year of treatment. There was stability in ED presentations and hospital admissions in the year prior to and the year following treatment engagement for alcohol-related chronic conditions, which reflects the </w:t>
      </w:r>
      <w:r w:rsidR="00225DFE">
        <w:t>long-term</w:t>
      </w:r>
      <w:r>
        <w:t xml:space="preserve"> impacts (both morbidity and mortality) of heavy alcohol consumption even following treatment and reduction or cessation</w:t>
      </w:r>
      <w:r w:rsidR="00FF5019">
        <w:t xml:space="preserve"> of</w:t>
      </w:r>
      <w:r>
        <w:t xml:space="preserve"> alcohol use</w:t>
      </w:r>
      <w:r w:rsidR="00084E6F">
        <w:t>.</w:t>
      </w:r>
      <w:r>
        <w:t xml:space="preserve"> </w:t>
      </w:r>
      <w:r w:rsidR="001C692B" w:rsidRPr="00984AEF">
        <w:t xml:space="preserve">The data for the </w:t>
      </w:r>
      <w:r w:rsidR="000311C5">
        <w:t>overall</w:t>
      </w:r>
      <w:r w:rsidR="001C692B" w:rsidRPr="00984AEF">
        <w:t xml:space="preserve"> Victorian AOD</w:t>
      </w:r>
      <w:r w:rsidR="000311C5">
        <w:t xml:space="preserve"> treatment</w:t>
      </w:r>
      <w:r w:rsidR="001C692B" w:rsidRPr="00984AEF">
        <w:t xml:space="preserve"> cohort</w:t>
      </w:r>
      <w:r w:rsidR="000311C5">
        <w:t xml:space="preserve"> demonstrating</w:t>
      </w:r>
      <w:r w:rsidR="001C692B" w:rsidRPr="00984AEF">
        <w:t xml:space="preserve"> significant reductions in </w:t>
      </w:r>
      <w:r w:rsidR="000311C5">
        <w:t>emergency department presentations</w:t>
      </w:r>
      <w:r w:rsidR="00403FF1" w:rsidRPr="00984AEF">
        <w:t xml:space="preserve"> </w:t>
      </w:r>
      <w:r w:rsidR="00F55665">
        <w:t xml:space="preserve">in the year following </w:t>
      </w:r>
      <w:r w:rsidR="001C692B" w:rsidRPr="00984AEF">
        <w:t>engag</w:t>
      </w:r>
      <w:r w:rsidR="00403FF1" w:rsidRPr="00984AEF">
        <w:t>ement</w:t>
      </w:r>
      <w:r w:rsidR="001C692B" w:rsidRPr="00984AEF">
        <w:t xml:space="preserve"> in AOD treatment </w:t>
      </w:r>
      <w:r w:rsidR="000311C5">
        <w:t>suggest</w:t>
      </w:r>
      <w:r w:rsidR="001C692B" w:rsidRPr="00984AEF">
        <w:t xml:space="preserve"> economic savings</w:t>
      </w:r>
      <w:r w:rsidR="000311C5">
        <w:t xml:space="preserve"> resulting from treatment engagement</w:t>
      </w:r>
      <w:r w:rsidR="001C692B" w:rsidRPr="00C52342">
        <w:t>.</w:t>
      </w:r>
      <w:r w:rsidR="001C692B" w:rsidRPr="000172AB">
        <w:t xml:space="preserve"> </w:t>
      </w:r>
    </w:p>
    <w:p w:rsidR="003258AA" w:rsidRDefault="00766D3F" w:rsidP="00D07EDC">
      <w:pPr>
        <w:pStyle w:val="FAREnormaltext"/>
      </w:pPr>
      <w:r>
        <w:t xml:space="preserve">Among the four subpopulations of AOD clients identified </w:t>
      </w:r>
      <w:r w:rsidR="004C17BA">
        <w:t>in terms of</w:t>
      </w:r>
      <w:r w:rsidR="005723E2">
        <w:t xml:space="preserve"> who</w:t>
      </w:r>
      <w:r>
        <w:t xml:space="preserve"> present</w:t>
      </w:r>
      <w:r w:rsidR="00906445">
        <w:t>ed</w:t>
      </w:r>
      <w:r>
        <w:t xml:space="preserve"> with</w:t>
      </w:r>
      <w:r w:rsidR="00906445">
        <w:t xml:space="preserve"> the key </w:t>
      </w:r>
      <w:r>
        <w:t xml:space="preserve">risk factors of </w:t>
      </w:r>
      <w:r w:rsidR="00906445">
        <w:t>(</w:t>
      </w:r>
      <w:proofErr w:type="spellStart"/>
      <w:r w:rsidR="00906445">
        <w:t>i</w:t>
      </w:r>
      <w:proofErr w:type="spellEnd"/>
      <w:r w:rsidR="00906445">
        <w:t xml:space="preserve">) </w:t>
      </w:r>
      <w:proofErr w:type="spellStart"/>
      <w:r>
        <w:t>polydrug</w:t>
      </w:r>
      <w:proofErr w:type="spellEnd"/>
      <w:r>
        <w:t xml:space="preserve"> use on entry to AOD treatment, </w:t>
      </w:r>
      <w:r w:rsidR="00906445">
        <w:t xml:space="preserve">(ii) </w:t>
      </w:r>
      <w:r>
        <w:t xml:space="preserve">recent injecting drug use history, </w:t>
      </w:r>
      <w:r w:rsidR="00906445">
        <w:t xml:space="preserve">(iii) </w:t>
      </w:r>
      <w:r>
        <w:lastRenderedPageBreak/>
        <w:t xml:space="preserve">homeless status on entry into treatment, and </w:t>
      </w:r>
      <w:r w:rsidR="00906445">
        <w:t xml:space="preserve">(iv) </w:t>
      </w:r>
      <w:r>
        <w:t>forensic status on entry into treatment, overall reductions in ED and hospital utilisation were found</w:t>
      </w:r>
      <w:r w:rsidR="004C17BA">
        <w:t xml:space="preserve"> following treatment engagement. This</w:t>
      </w:r>
      <w:r>
        <w:t xml:space="preserve"> suggest</w:t>
      </w:r>
      <w:r w:rsidR="004C17BA">
        <w:t>s</w:t>
      </w:r>
      <w:r>
        <w:t xml:space="preserve"> that the effects of treatment on improving health and wellbeing, and reducing health system costs are sustained for patients presenting at higher risk of potential harm than the general AOD treatment population. It is important to acknowledge that there were varying levels of reduction of ED and hospital utilisation </w:t>
      </w:r>
      <w:r w:rsidR="00906445">
        <w:t xml:space="preserve">across </w:t>
      </w:r>
      <w:r>
        <w:t>these groups when specific treatment, drug use and sociodemographic characteristics were examined, which offers opportunities for consideration of targeted approaches to identify and respond to risk for specific groups within these higher risk populations</w:t>
      </w:r>
      <w:r w:rsidR="00652A32">
        <w:t xml:space="preserve"> (see </w:t>
      </w:r>
      <w:r w:rsidR="00652A32" w:rsidRPr="00652A32">
        <w:t xml:space="preserve">Supplementary </w:t>
      </w:r>
      <w:r w:rsidR="00652A32">
        <w:t>L</w:t>
      </w:r>
      <w:r w:rsidR="00652A32" w:rsidRPr="00652A32">
        <w:t xml:space="preserve">inkage </w:t>
      </w:r>
      <w:r w:rsidR="00652A32">
        <w:t>C</w:t>
      </w:r>
      <w:r w:rsidR="00652A32" w:rsidRPr="00652A32">
        <w:t xml:space="preserve">omponent </w:t>
      </w:r>
      <w:r w:rsidR="00652A32">
        <w:t>R</w:t>
      </w:r>
      <w:r w:rsidR="00652A32" w:rsidRPr="00652A32">
        <w:t>eport)</w:t>
      </w:r>
      <w:r>
        <w:t>.</w:t>
      </w:r>
    </w:p>
    <w:p w:rsidR="00E5323A" w:rsidRPr="00E5323A" w:rsidRDefault="00984AEF" w:rsidP="00C13AF7">
      <w:pPr>
        <w:pStyle w:val="FAREnormaltext"/>
        <w:rPr>
          <w:b/>
          <w:lang w:val="en-AU"/>
        </w:rPr>
      </w:pPr>
      <w:r>
        <w:rPr>
          <w:b/>
          <w:lang w:val="en-AU"/>
        </w:rPr>
        <w:t xml:space="preserve">7. </w:t>
      </w:r>
      <w:r w:rsidR="00C13AF7" w:rsidRPr="00E5323A">
        <w:rPr>
          <w:b/>
          <w:lang w:val="en-AU"/>
        </w:rPr>
        <w:t xml:space="preserve">Conclusion: </w:t>
      </w:r>
    </w:p>
    <w:p w:rsidR="00C13AF7" w:rsidRDefault="00C13AF7" w:rsidP="00C13AF7">
      <w:pPr>
        <w:pStyle w:val="FAREnormaltext"/>
      </w:pPr>
      <w:r>
        <w:t xml:space="preserve">Patient Pathways is the largest and most ambitious research program on treatment systems and pathways undertaken in Australia and the construction of which means its findings are of international significance. Embedded in an analysis of system variations across Australia, the Pathways results </w:t>
      </w:r>
      <w:r w:rsidR="00FF5019">
        <w:t xml:space="preserve">demonstrate </w:t>
      </w:r>
      <w:r>
        <w:t xml:space="preserve">that </w:t>
      </w:r>
      <w:r w:rsidR="00FF5019">
        <w:t xml:space="preserve">AOD treatment </w:t>
      </w:r>
      <w:r w:rsidR="002D7A79">
        <w:t xml:space="preserve">clients </w:t>
      </w:r>
      <w:r w:rsidR="00FF5019">
        <w:t xml:space="preserve">present with </w:t>
      </w:r>
      <w:r>
        <w:t>complex and ongoing needs across multiple agencies and domains, whose chronicity requires a coordination within and across professional sectors that is not always perceived to be achieved.</w:t>
      </w:r>
    </w:p>
    <w:p w:rsidR="001C692B" w:rsidRPr="00F55665" w:rsidRDefault="00C13AF7" w:rsidP="001C692B">
      <w:pPr>
        <w:pStyle w:val="FAREnormaltext"/>
      </w:pPr>
      <w:r>
        <w:t xml:space="preserve">In spite of this, there were clear and significant improvements in the sample in </w:t>
      </w:r>
      <w:r w:rsidR="002D7A79">
        <w:t xml:space="preserve">use </w:t>
      </w:r>
      <w:r>
        <w:t xml:space="preserve">of acute health services, in self-reported wellbeing and quality of life, alongside marked reductions in substance use. Most </w:t>
      </w:r>
      <w:r w:rsidR="00F43B95">
        <w:t>participant</w:t>
      </w:r>
      <w:r>
        <w:t xml:space="preserve">s named abstinence as their primary treatment objective and this </w:t>
      </w:r>
      <w:r w:rsidR="0062762F">
        <w:t>was</w:t>
      </w:r>
      <w:r>
        <w:t xml:space="preserve"> achieved in the month prior to follow-up by 37% of the retained sample. The strongest treatment predictors of abstinence were completion of the index treatment, a treatment journey including residential rehabilitation and involvement with mutual aid groups. The study showed particularly positive results for primary </w:t>
      </w:r>
      <w:r w:rsidR="00E977AF">
        <w:t>meth/</w:t>
      </w:r>
      <w:r>
        <w:t>amphetamine users</w:t>
      </w:r>
      <w:r w:rsidR="001C692B">
        <w:t>.</w:t>
      </w:r>
      <w:r w:rsidR="005837E3">
        <w:t xml:space="preserve"> </w:t>
      </w:r>
      <w:r w:rsidR="001C692B" w:rsidRPr="00F55665">
        <w:t xml:space="preserve">The study confirms the international perception that the journey for anyone with AOD problems is protracted and characterised by multiple episodes of care. There </w:t>
      </w:r>
      <w:proofErr w:type="gramStart"/>
      <w:r w:rsidR="001C692B" w:rsidRPr="00F55665">
        <w:t>are significant policy</w:t>
      </w:r>
      <w:proofErr w:type="gramEnd"/>
      <w:r w:rsidR="001C692B" w:rsidRPr="00F55665">
        <w:t xml:space="preserve"> and practice implications from this work as outlined below which align with the following quote from </w:t>
      </w:r>
      <w:r w:rsidR="00403FF1" w:rsidRPr="00F55665">
        <w:t xml:space="preserve">the book </w:t>
      </w:r>
      <w:r w:rsidR="001C692B" w:rsidRPr="00F55665">
        <w:t>Drug Policy and the Public Good (</w:t>
      </w:r>
      <w:proofErr w:type="spellStart"/>
      <w:r w:rsidR="001C692B" w:rsidRPr="00F55665">
        <w:t>Babor</w:t>
      </w:r>
      <w:proofErr w:type="spellEnd"/>
      <w:r w:rsidR="001C692B" w:rsidRPr="00F55665">
        <w:t xml:space="preserve"> et al, 2010</w:t>
      </w:r>
      <w:r w:rsidR="00F21E39">
        <w:t>, p. 248</w:t>
      </w:r>
      <w:r w:rsidR="001C692B" w:rsidRPr="00F55665">
        <w:t>)</w:t>
      </w:r>
    </w:p>
    <w:p w:rsidR="001C692B" w:rsidRDefault="00F21E39" w:rsidP="00F21E39">
      <w:pPr>
        <w:pStyle w:val="FAREnormaltext"/>
        <w:ind w:left="567"/>
      </w:pPr>
      <w:r>
        <w:t>‘</w:t>
      </w:r>
      <w:r w:rsidR="001C692B" w:rsidRPr="00F55665">
        <w:t>Policymakers who focus only on decisions about individual service programmes will usually find that they have limited impact on the outcomes they wish to produce. In contrast, policymakers who think and act at a systems level, and do so in light of the emerging evidence based on the nature and impact of systems, have a much greater likelihood of making a significant contribution to ameliorating drug problems at both the individual and population level</w:t>
      </w:r>
      <w:r>
        <w:t xml:space="preserve">’. </w:t>
      </w:r>
    </w:p>
    <w:p w:rsidR="00607AAF" w:rsidRPr="0026107A" w:rsidRDefault="0026107A" w:rsidP="0026107A">
      <w:pPr>
        <w:pStyle w:val="FAREnormaltext"/>
      </w:pPr>
      <w:r>
        <w:rPr>
          <w:b/>
        </w:rPr>
        <w:t xml:space="preserve">7. </w:t>
      </w:r>
      <w:r w:rsidR="00607AAF" w:rsidRPr="00F1574B">
        <w:rPr>
          <w:b/>
        </w:rPr>
        <w:t xml:space="preserve">Recommendations </w:t>
      </w:r>
    </w:p>
    <w:p w:rsidR="0026107A" w:rsidRPr="00F1574B" w:rsidRDefault="0026107A" w:rsidP="0026107A">
      <w:pPr>
        <w:tabs>
          <w:tab w:val="left" w:pos="2246"/>
        </w:tabs>
        <w:spacing w:line="240" w:lineRule="auto"/>
        <w:rPr>
          <w:b/>
        </w:rPr>
      </w:pPr>
      <w:r w:rsidRPr="00F1574B">
        <w:rPr>
          <w:b/>
        </w:rPr>
        <w:t xml:space="preserve">Recommendations </w:t>
      </w:r>
      <w:r>
        <w:rPr>
          <w:b/>
        </w:rPr>
        <w:t>for promoting treatment and supporting best practice</w:t>
      </w:r>
    </w:p>
    <w:p w:rsidR="00A273D8" w:rsidRPr="00A273D8" w:rsidRDefault="0026107A" w:rsidP="00A273D8">
      <w:pPr>
        <w:pStyle w:val="ListParagraph"/>
        <w:numPr>
          <w:ilvl w:val="0"/>
          <w:numId w:val="23"/>
        </w:numPr>
        <w:spacing w:after="80" w:line="240" w:lineRule="auto"/>
        <w:jc w:val="both"/>
        <w:rPr>
          <w:rFonts w:asciiTheme="minorHAnsi" w:eastAsia="SimSun" w:hAnsiTheme="minorHAnsi" w:cs="Arial"/>
          <w:sz w:val="22"/>
        </w:rPr>
      </w:pPr>
      <w:r w:rsidRPr="00A273D8">
        <w:rPr>
          <w:rFonts w:asciiTheme="minorHAnsi" w:eastAsia="SimSun" w:hAnsiTheme="minorHAnsi" w:cs="Arial"/>
          <w:i/>
          <w:sz w:val="22"/>
        </w:rPr>
        <w:t>Promote the importance and benefit of accessing AOD treatment and strengthen pathways into treatment</w:t>
      </w:r>
      <w:r w:rsidRPr="00A273D8">
        <w:rPr>
          <w:rFonts w:asciiTheme="minorHAnsi" w:eastAsia="SimSun" w:hAnsiTheme="minorHAnsi" w:cs="Arial"/>
          <w:sz w:val="22"/>
        </w:rPr>
        <w:t xml:space="preserve">. </w:t>
      </w:r>
      <w:r w:rsidR="00A273D8" w:rsidRPr="00A273D8">
        <w:rPr>
          <w:rFonts w:asciiTheme="minorHAnsi" w:eastAsia="SimSun" w:hAnsiTheme="minorHAnsi" w:cs="Arial"/>
          <w:sz w:val="22"/>
        </w:rPr>
        <w:t>Findings from the client survey, qualitative</w:t>
      </w:r>
      <w:r w:rsidR="005559DB">
        <w:rPr>
          <w:rFonts w:asciiTheme="minorHAnsi" w:eastAsia="SimSun" w:hAnsiTheme="minorHAnsi" w:cs="Arial"/>
          <w:sz w:val="22"/>
        </w:rPr>
        <w:t xml:space="preserve"> </w:t>
      </w:r>
      <w:r w:rsidR="005559DB" w:rsidRPr="0020320C">
        <w:rPr>
          <w:rFonts w:asciiTheme="minorHAnsi" w:eastAsia="SimSun" w:hAnsiTheme="minorHAnsi" w:cs="Arial"/>
          <w:sz w:val="22"/>
        </w:rPr>
        <w:t xml:space="preserve">and linkage data </w:t>
      </w:r>
      <w:r w:rsidR="005559DB">
        <w:rPr>
          <w:rFonts w:asciiTheme="minorHAnsi" w:eastAsia="SimSun" w:hAnsiTheme="minorHAnsi" w:cs="Arial"/>
          <w:sz w:val="22"/>
        </w:rPr>
        <w:t>i</w:t>
      </w:r>
      <w:r w:rsidR="00A273D8" w:rsidRPr="00A273D8">
        <w:rPr>
          <w:rFonts w:asciiTheme="minorHAnsi" w:eastAsia="SimSun" w:hAnsiTheme="minorHAnsi" w:cs="Arial"/>
          <w:sz w:val="22"/>
        </w:rPr>
        <w:t xml:space="preserve">llustrate that engagement with AOD treatment significantly reduces problematic substance use, improves quality of life, and reduces utilisation of acute health services. These findings are critically important for promoting clinician and client confidence. Such evidence is also important for </w:t>
      </w:r>
      <w:r w:rsidR="00A273D8" w:rsidRPr="00A273D8">
        <w:rPr>
          <w:rFonts w:asciiTheme="minorHAnsi" w:eastAsia="SimSun" w:hAnsiTheme="minorHAnsi" w:cs="Arial"/>
          <w:sz w:val="22"/>
        </w:rPr>
        <w:lastRenderedPageBreak/>
        <w:t>inspiring greater optimism about the value of treatment and recovery</w:t>
      </w:r>
      <w:r w:rsidR="00A273D8">
        <w:rPr>
          <w:rStyle w:val="FootnoteReference"/>
          <w:rFonts w:asciiTheme="minorHAnsi" w:eastAsia="SimSun" w:hAnsiTheme="minorHAnsi" w:cs="Arial"/>
          <w:sz w:val="22"/>
        </w:rPr>
        <w:footnoteReference w:id="2"/>
      </w:r>
      <w:r w:rsidR="00BA6C75">
        <w:rPr>
          <w:rFonts w:asciiTheme="minorHAnsi" w:eastAsia="SimSun" w:hAnsiTheme="minorHAnsi" w:cs="Arial"/>
          <w:sz w:val="22"/>
        </w:rPr>
        <w:t xml:space="preserve"> </w:t>
      </w:r>
      <w:r w:rsidR="00A273D8" w:rsidRPr="00A273D8">
        <w:rPr>
          <w:rFonts w:asciiTheme="minorHAnsi" w:eastAsia="SimSun" w:hAnsiTheme="minorHAnsi" w:cs="Arial"/>
          <w:sz w:val="22"/>
        </w:rPr>
        <w:t>prognoses for affected families and communities, as well as key linked professions and services, such as housing, justice and mental health.</w:t>
      </w:r>
      <w:r w:rsidR="004212FD">
        <w:rPr>
          <w:rFonts w:asciiTheme="minorHAnsi" w:eastAsia="SimSun" w:hAnsiTheme="minorHAnsi" w:cs="Arial"/>
          <w:sz w:val="22"/>
        </w:rPr>
        <w:t xml:space="preserve"> </w:t>
      </w:r>
    </w:p>
    <w:p w:rsidR="0026107A" w:rsidRDefault="0026107A" w:rsidP="0026107A">
      <w:pPr>
        <w:pStyle w:val="ListParagraph"/>
        <w:spacing w:after="80" w:line="240" w:lineRule="auto"/>
        <w:jc w:val="both"/>
        <w:rPr>
          <w:rFonts w:asciiTheme="minorHAnsi" w:eastAsia="SimSun" w:hAnsiTheme="minorHAnsi" w:cs="Arial"/>
          <w:sz w:val="22"/>
        </w:rPr>
      </w:pPr>
    </w:p>
    <w:p w:rsidR="0026107A" w:rsidRDefault="0026107A" w:rsidP="0026107A">
      <w:pPr>
        <w:pStyle w:val="ListParagraph"/>
        <w:numPr>
          <w:ilvl w:val="0"/>
          <w:numId w:val="23"/>
        </w:numPr>
        <w:spacing w:after="80" w:line="240" w:lineRule="auto"/>
        <w:jc w:val="both"/>
        <w:rPr>
          <w:rFonts w:asciiTheme="minorHAnsi" w:eastAsia="SimSun" w:hAnsiTheme="minorHAnsi" w:cs="Arial"/>
          <w:sz w:val="22"/>
        </w:rPr>
      </w:pPr>
      <w:r>
        <w:rPr>
          <w:rFonts w:asciiTheme="minorHAnsi" w:eastAsia="SimSun" w:hAnsiTheme="minorHAnsi" w:cs="Arial"/>
          <w:i/>
          <w:sz w:val="22"/>
        </w:rPr>
        <w:t>(a) Promote</w:t>
      </w:r>
      <w:r w:rsidRPr="006A7CC4">
        <w:rPr>
          <w:rFonts w:asciiTheme="minorHAnsi" w:eastAsia="SimSun" w:hAnsiTheme="minorHAnsi" w:cs="Arial"/>
          <w:i/>
          <w:sz w:val="22"/>
        </w:rPr>
        <w:t xml:space="preserve"> </w:t>
      </w:r>
      <w:r>
        <w:rPr>
          <w:rFonts w:asciiTheme="minorHAnsi" w:eastAsia="SimSun" w:hAnsiTheme="minorHAnsi" w:cs="Arial"/>
          <w:i/>
          <w:sz w:val="22"/>
        </w:rPr>
        <w:t>workforce models</w:t>
      </w:r>
      <w:r w:rsidRPr="006A7CC4">
        <w:rPr>
          <w:rFonts w:asciiTheme="minorHAnsi" w:eastAsia="SimSun" w:hAnsiTheme="minorHAnsi" w:cs="Arial"/>
          <w:i/>
          <w:sz w:val="22"/>
        </w:rPr>
        <w:t xml:space="preserve"> </w:t>
      </w:r>
      <w:r>
        <w:rPr>
          <w:rFonts w:asciiTheme="minorHAnsi" w:eastAsia="SimSun" w:hAnsiTheme="minorHAnsi" w:cs="Arial"/>
          <w:i/>
          <w:sz w:val="22"/>
        </w:rPr>
        <w:t>that</w:t>
      </w:r>
      <w:r w:rsidRPr="006A7CC4">
        <w:rPr>
          <w:rFonts w:asciiTheme="minorHAnsi" w:eastAsia="SimSun" w:hAnsiTheme="minorHAnsi" w:cs="Arial"/>
          <w:i/>
          <w:sz w:val="22"/>
        </w:rPr>
        <w:t xml:space="preserve"> </w:t>
      </w:r>
      <w:r>
        <w:rPr>
          <w:rFonts w:asciiTheme="minorHAnsi" w:eastAsia="SimSun" w:hAnsiTheme="minorHAnsi" w:cs="Arial"/>
          <w:i/>
          <w:sz w:val="22"/>
        </w:rPr>
        <w:t>enhance</w:t>
      </w:r>
      <w:r w:rsidRPr="006A7CC4">
        <w:rPr>
          <w:rFonts w:asciiTheme="minorHAnsi" w:eastAsia="SimSun" w:hAnsiTheme="minorHAnsi" w:cs="Arial"/>
          <w:i/>
          <w:sz w:val="22"/>
        </w:rPr>
        <w:t xml:space="preserve"> rates of treatment completion.</w:t>
      </w:r>
      <w:r w:rsidRPr="006A7CC4">
        <w:rPr>
          <w:rFonts w:asciiTheme="minorHAnsi" w:eastAsia="SimSun" w:hAnsiTheme="minorHAnsi" w:cs="Arial"/>
          <w:sz w:val="22"/>
        </w:rPr>
        <w:t xml:space="preserve"> </w:t>
      </w:r>
      <w:r>
        <w:rPr>
          <w:rFonts w:asciiTheme="minorHAnsi" w:eastAsia="SimSun" w:hAnsiTheme="minorHAnsi" w:cs="Arial"/>
          <w:sz w:val="22"/>
        </w:rPr>
        <w:t>Given that treatment completion was a robust predictor of client outcomes, em</w:t>
      </w:r>
      <w:r w:rsidRPr="006A7CC4">
        <w:rPr>
          <w:rFonts w:asciiTheme="minorHAnsi" w:eastAsia="SimSun" w:hAnsiTheme="minorHAnsi" w:cs="Arial"/>
          <w:sz w:val="22"/>
        </w:rPr>
        <w:t xml:space="preserve">phasis should be </w:t>
      </w:r>
      <w:r>
        <w:rPr>
          <w:rFonts w:asciiTheme="minorHAnsi" w:eastAsia="SimSun" w:hAnsiTheme="minorHAnsi" w:cs="Arial"/>
          <w:sz w:val="22"/>
        </w:rPr>
        <w:t>placed</w:t>
      </w:r>
      <w:r w:rsidRPr="006A7CC4">
        <w:rPr>
          <w:rFonts w:asciiTheme="minorHAnsi" w:eastAsia="SimSun" w:hAnsiTheme="minorHAnsi" w:cs="Arial"/>
          <w:sz w:val="22"/>
        </w:rPr>
        <w:t xml:space="preserve"> on promoting ways of building and maintaining the therapeutic alliance</w:t>
      </w:r>
      <w:r>
        <w:rPr>
          <w:rFonts w:asciiTheme="minorHAnsi" w:eastAsia="SimSun" w:hAnsiTheme="minorHAnsi" w:cs="Arial"/>
          <w:sz w:val="22"/>
        </w:rPr>
        <w:t>. This should include</w:t>
      </w:r>
      <w:r w:rsidRPr="006A7CC4">
        <w:rPr>
          <w:rFonts w:asciiTheme="minorHAnsi" w:eastAsia="SimSun" w:hAnsiTheme="minorHAnsi" w:cs="Arial"/>
          <w:sz w:val="22"/>
        </w:rPr>
        <w:t xml:space="preserve"> encouraging active client participation in care planning and review</w:t>
      </w:r>
      <w:r>
        <w:rPr>
          <w:rFonts w:asciiTheme="minorHAnsi" w:eastAsia="SimSun" w:hAnsiTheme="minorHAnsi" w:cs="Arial"/>
          <w:sz w:val="22"/>
        </w:rPr>
        <w:t>, and embedding supervision and quality assurance processes that support effective client engagement and retention in treatment.</w:t>
      </w:r>
    </w:p>
    <w:p w:rsidR="0026107A" w:rsidRPr="006A7CC4" w:rsidRDefault="0026107A" w:rsidP="0026107A">
      <w:pPr>
        <w:spacing w:after="80" w:line="240" w:lineRule="auto"/>
        <w:ind w:left="720"/>
        <w:jc w:val="both"/>
        <w:rPr>
          <w:rFonts w:asciiTheme="minorHAnsi" w:eastAsia="SimSun" w:hAnsiTheme="minorHAnsi" w:cs="Arial"/>
        </w:rPr>
      </w:pPr>
      <w:r>
        <w:rPr>
          <w:rFonts w:asciiTheme="minorHAnsi" w:eastAsia="SimSun" w:hAnsiTheme="minorHAnsi" w:cs="Arial"/>
        </w:rPr>
        <w:t>(b)</w:t>
      </w:r>
      <w:r w:rsidRPr="006A7CC4">
        <w:rPr>
          <w:rFonts w:asciiTheme="minorHAnsi" w:eastAsia="SimSun" w:hAnsiTheme="minorHAnsi" w:cs="Arial"/>
          <w:i/>
        </w:rPr>
        <w:t xml:space="preserve"> </w:t>
      </w:r>
      <w:r>
        <w:rPr>
          <w:rFonts w:asciiTheme="minorHAnsi" w:eastAsia="SimSun" w:hAnsiTheme="minorHAnsi" w:cs="Arial"/>
          <w:i/>
        </w:rPr>
        <w:t>Consider</w:t>
      </w:r>
      <w:r w:rsidRPr="006A7CC4">
        <w:rPr>
          <w:rFonts w:asciiTheme="minorHAnsi" w:eastAsia="SimSun" w:hAnsiTheme="minorHAnsi" w:cs="Arial"/>
          <w:i/>
        </w:rPr>
        <w:t xml:space="preserve"> structural changes </w:t>
      </w:r>
      <w:r>
        <w:rPr>
          <w:rFonts w:asciiTheme="minorHAnsi" w:eastAsia="SimSun" w:hAnsiTheme="minorHAnsi" w:cs="Arial"/>
          <w:i/>
        </w:rPr>
        <w:t>to service delivery that</w:t>
      </w:r>
      <w:r w:rsidRPr="006A7CC4">
        <w:rPr>
          <w:rFonts w:asciiTheme="minorHAnsi" w:eastAsia="SimSun" w:hAnsiTheme="minorHAnsi" w:cs="Arial"/>
          <w:i/>
        </w:rPr>
        <w:t xml:space="preserve"> </w:t>
      </w:r>
      <w:r>
        <w:rPr>
          <w:rFonts w:asciiTheme="minorHAnsi" w:eastAsia="SimSun" w:hAnsiTheme="minorHAnsi" w:cs="Arial"/>
          <w:i/>
        </w:rPr>
        <w:t>enhance</w:t>
      </w:r>
      <w:r w:rsidRPr="006A7CC4">
        <w:rPr>
          <w:rFonts w:asciiTheme="minorHAnsi" w:eastAsia="SimSun" w:hAnsiTheme="minorHAnsi" w:cs="Arial"/>
          <w:i/>
        </w:rPr>
        <w:t xml:space="preserve"> treatment completion</w:t>
      </w:r>
      <w:r w:rsidRPr="006A7CC4">
        <w:rPr>
          <w:rFonts w:asciiTheme="minorHAnsi" w:eastAsia="SimSun" w:hAnsiTheme="minorHAnsi" w:cs="Arial"/>
        </w:rPr>
        <w:t xml:space="preserve"> and </w:t>
      </w:r>
      <w:r w:rsidRPr="006964C4">
        <w:rPr>
          <w:rFonts w:asciiTheme="minorHAnsi" w:eastAsia="SimSun" w:hAnsiTheme="minorHAnsi" w:cs="Arial"/>
          <w:i/>
        </w:rPr>
        <w:t>address barriers to help-seeking</w:t>
      </w:r>
      <w:r w:rsidRPr="006A7CC4">
        <w:rPr>
          <w:rFonts w:asciiTheme="minorHAnsi" w:eastAsia="SimSun" w:hAnsiTheme="minorHAnsi" w:cs="Arial"/>
        </w:rPr>
        <w:t xml:space="preserve"> (</w:t>
      </w:r>
      <w:r>
        <w:rPr>
          <w:rFonts w:asciiTheme="minorHAnsi" w:eastAsia="SimSun" w:hAnsiTheme="minorHAnsi" w:cs="Arial"/>
        </w:rPr>
        <w:t xml:space="preserve">e.g., </w:t>
      </w:r>
      <w:r w:rsidRPr="006A7CC4">
        <w:rPr>
          <w:rFonts w:asciiTheme="minorHAnsi" w:eastAsia="SimSun" w:hAnsiTheme="minorHAnsi" w:cs="Arial"/>
        </w:rPr>
        <w:t xml:space="preserve">services </w:t>
      </w:r>
      <w:r>
        <w:rPr>
          <w:rFonts w:asciiTheme="minorHAnsi" w:eastAsia="SimSun" w:hAnsiTheme="minorHAnsi" w:cs="Arial"/>
        </w:rPr>
        <w:t xml:space="preserve">offered </w:t>
      </w:r>
      <w:r w:rsidRPr="006A7CC4">
        <w:rPr>
          <w:rFonts w:asciiTheme="minorHAnsi" w:eastAsia="SimSun" w:hAnsiTheme="minorHAnsi" w:cs="Arial"/>
        </w:rPr>
        <w:t>outside business hours, telephone support</w:t>
      </w:r>
      <w:r>
        <w:rPr>
          <w:rFonts w:asciiTheme="minorHAnsi" w:eastAsia="SimSun" w:hAnsiTheme="minorHAnsi" w:cs="Arial"/>
        </w:rPr>
        <w:t>,</w:t>
      </w:r>
      <w:r w:rsidRPr="006A7CC4">
        <w:rPr>
          <w:rFonts w:asciiTheme="minorHAnsi" w:eastAsia="SimSun" w:hAnsiTheme="minorHAnsi" w:cs="Arial"/>
        </w:rPr>
        <w:t xml:space="preserve"> etc.)</w:t>
      </w:r>
      <w:r>
        <w:rPr>
          <w:rFonts w:asciiTheme="minorHAnsi" w:eastAsia="SimSun" w:hAnsiTheme="minorHAnsi" w:cs="Arial"/>
        </w:rPr>
        <w:t>. Such approaches would address common barriers to treatment identified in the qualitative interviews.</w:t>
      </w:r>
      <w:r w:rsidRPr="006A7CC4">
        <w:rPr>
          <w:rFonts w:asciiTheme="minorHAnsi" w:eastAsia="SimSun" w:hAnsiTheme="minorHAnsi" w:cs="Arial"/>
        </w:rPr>
        <w:t xml:space="preserve"> </w:t>
      </w:r>
    </w:p>
    <w:p w:rsidR="0026107A" w:rsidRDefault="0026107A" w:rsidP="0026107A">
      <w:pPr>
        <w:pStyle w:val="ListParagraph"/>
        <w:spacing w:after="80" w:line="240" w:lineRule="auto"/>
        <w:jc w:val="both"/>
        <w:rPr>
          <w:rFonts w:asciiTheme="minorHAnsi" w:eastAsia="SimSun" w:hAnsiTheme="minorHAnsi" w:cs="Arial"/>
          <w:sz w:val="22"/>
        </w:rPr>
      </w:pPr>
    </w:p>
    <w:p w:rsidR="0026107A" w:rsidRPr="007C294E" w:rsidRDefault="0026107A" w:rsidP="0026107A">
      <w:pPr>
        <w:spacing w:line="240" w:lineRule="auto"/>
        <w:rPr>
          <w:rFonts w:asciiTheme="minorHAnsi" w:eastAsia="SimSun" w:hAnsiTheme="minorHAnsi" w:cs="Arial"/>
        </w:rPr>
      </w:pPr>
      <w:r w:rsidRPr="00F1574B">
        <w:rPr>
          <w:b/>
        </w:rPr>
        <w:t xml:space="preserve">Recommendations </w:t>
      </w:r>
      <w:r>
        <w:rPr>
          <w:b/>
        </w:rPr>
        <w:t>for c</w:t>
      </w:r>
      <w:r w:rsidRPr="0020320C">
        <w:rPr>
          <w:b/>
        </w:rPr>
        <w:t>ontinuity of care</w:t>
      </w:r>
    </w:p>
    <w:p w:rsidR="0026107A" w:rsidRPr="006A7CC4" w:rsidRDefault="0026107A" w:rsidP="0026107A">
      <w:pPr>
        <w:pStyle w:val="ListParagraph"/>
        <w:numPr>
          <w:ilvl w:val="0"/>
          <w:numId w:val="23"/>
        </w:numPr>
        <w:spacing w:after="80" w:line="240" w:lineRule="auto"/>
        <w:jc w:val="both"/>
        <w:rPr>
          <w:rFonts w:asciiTheme="minorHAnsi" w:eastAsia="SimSun" w:hAnsiTheme="minorHAnsi" w:cs="Arial"/>
        </w:rPr>
      </w:pPr>
      <w:r w:rsidRPr="006A7CC4">
        <w:rPr>
          <w:rFonts w:asciiTheme="minorHAnsi" w:eastAsia="SimSun" w:hAnsiTheme="minorHAnsi" w:cs="Arial"/>
          <w:i/>
          <w:sz w:val="22"/>
        </w:rPr>
        <w:t>Promote continuity of care</w:t>
      </w:r>
      <w:r w:rsidRPr="006A7CC4">
        <w:rPr>
          <w:rFonts w:asciiTheme="minorHAnsi" w:eastAsia="SimSun" w:hAnsiTheme="minorHAnsi" w:cs="Arial"/>
          <w:sz w:val="22"/>
        </w:rPr>
        <w:t xml:space="preserve">. Clients frequently present with complex and severe problems, and with previous experience of the treatment system. However, most funding systems currently focus on discrete, activity-based episodes of care, with little investment in structures to support continuity of care across treatment modalities and over time. In the light of the recently completed </w:t>
      </w:r>
      <w:r w:rsidR="008E5C38">
        <w:rPr>
          <w:rFonts w:asciiTheme="minorHAnsi" w:eastAsia="SimSun" w:hAnsiTheme="minorHAnsi" w:cs="Arial"/>
          <w:sz w:val="22"/>
        </w:rPr>
        <w:t>r</w:t>
      </w:r>
      <w:r w:rsidRPr="006A7CC4">
        <w:rPr>
          <w:rFonts w:asciiTheme="minorHAnsi" w:eastAsia="SimSun" w:hAnsiTheme="minorHAnsi" w:cs="Arial"/>
          <w:sz w:val="22"/>
        </w:rPr>
        <w:t xml:space="preserve">eview of the AOD </w:t>
      </w:r>
      <w:r w:rsidR="008E5C38">
        <w:rPr>
          <w:rFonts w:asciiTheme="minorHAnsi" w:eastAsia="SimSun" w:hAnsiTheme="minorHAnsi" w:cs="Arial"/>
          <w:sz w:val="22"/>
        </w:rPr>
        <w:t>t</w:t>
      </w:r>
      <w:r w:rsidR="008E5C38" w:rsidRPr="006A7CC4">
        <w:rPr>
          <w:rFonts w:asciiTheme="minorHAnsi" w:eastAsia="SimSun" w:hAnsiTheme="minorHAnsi" w:cs="Arial"/>
          <w:sz w:val="22"/>
        </w:rPr>
        <w:t xml:space="preserve">reatment </w:t>
      </w:r>
      <w:r w:rsidR="008E5C38">
        <w:rPr>
          <w:rFonts w:asciiTheme="minorHAnsi" w:eastAsia="SimSun" w:hAnsiTheme="minorHAnsi" w:cs="Arial"/>
          <w:sz w:val="22"/>
        </w:rPr>
        <w:t>s</w:t>
      </w:r>
      <w:r w:rsidR="008E5C38" w:rsidRPr="006A7CC4">
        <w:rPr>
          <w:rFonts w:asciiTheme="minorHAnsi" w:eastAsia="SimSun" w:hAnsiTheme="minorHAnsi" w:cs="Arial"/>
          <w:sz w:val="22"/>
        </w:rPr>
        <w:t xml:space="preserve">ervice </w:t>
      </w:r>
      <w:r w:rsidR="008E5C38">
        <w:rPr>
          <w:rFonts w:asciiTheme="minorHAnsi" w:eastAsia="SimSun" w:hAnsiTheme="minorHAnsi" w:cs="Arial"/>
          <w:sz w:val="22"/>
        </w:rPr>
        <w:t>s</w:t>
      </w:r>
      <w:r w:rsidR="008E5C38" w:rsidRPr="006A7CC4">
        <w:rPr>
          <w:rFonts w:asciiTheme="minorHAnsi" w:eastAsia="SimSun" w:hAnsiTheme="minorHAnsi" w:cs="Arial"/>
          <w:sz w:val="22"/>
        </w:rPr>
        <w:t>ector</w:t>
      </w:r>
      <w:r w:rsidR="008E5C38">
        <w:rPr>
          <w:rFonts w:asciiTheme="minorHAnsi" w:eastAsia="SimSun" w:hAnsiTheme="minorHAnsi" w:cs="Arial"/>
          <w:sz w:val="22"/>
        </w:rPr>
        <w:t xml:space="preserve"> (DPMP, 2014)</w:t>
      </w:r>
      <w:r w:rsidR="00CA409D">
        <w:rPr>
          <w:rFonts w:asciiTheme="minorHAnsi" w:eastAsia="SimSun" w:hAnsiTheme="minorHAnsi" w:cs="Arial"/>
          <w:sz w:val="22"/>
        </w:rPr>
        <w:t>’</w:t>
      </w:r>
      <w:r w:rsidRPr="006A7CC4">
        <w:rPr>
          <w:rFonts w:asciiTheme="minorHAnsi" w:eastAsia="SimSun" w:hAnsiTheme="minorHAnsi" w:cs="Arial"/>
          <w:sz w:val="22"/>
        </w:rPr>
        <w:t>, it is timely to consider funding models that promote continuity and service integration. Funding models should accommodate and promote treatment journeys that involve multiple treatment modalities and greater linkage to follow-up care</w:t>
      </w:r>
      <w:r w:rsidRPr="006A7CC4">
        <w:rPr>
          <w:rFonts w:asciiTheme="minorHAnsi" w:eastAsia="SimSun" w:hAnsiTheme="minorHAnsi" w:cs="Arial"/>
        </w:rPr>
        <w:t>.</w:t>
      </w:r>
    </w:p>
    <w:p w:rsidR="0026107A" w:rsidRDefault="0026107A" w:rsidP="0026107A">
      <w:pPr>
        <w:pStyle w:val="ListParagraph"/>
        <w:spacing w:after="80" w:line="240" w:lineRule="auto"/>
        <w:jc w:val="both"/>
        <w:rPr>
          <w:rFonts w:asciiTheme="minorHAnsi" w:eastAsia="SimSun" w:hAnsiTheme="minorHAnsi" w:cs="Arial"/>
          <w:sz w:val="22"/>
        </w:rPr>
      </w:pPr>
    </w:p>
    <w:p w:rsidR="0026107A" w:rsidRPr="00C30595" w:rsidRDefault="0026107A" w:rsidP="0026107A">
      <w:pPr>
        <w:pStyle w:val="ListParagraph"/>
        <w:numPr>
          <w:ilvl w:val="0"/>
          <w:numId w:val="23"/>
        </w:numPr>
        <w:spacing w:after="80" w:line="240" w:lineRule="auto"/>
        <w:jc w:val="both"/>
        <w:rPr>
          <w:rFonts w:asciiTheme="minorHAnsi" w:eastAsia="SimSun" w:hAnsiTheme="minorHAnsi" w:cs="Arial"/>
          <w:i/>
          <w:sz w:val="22"/>
        </w:rPr>
      </w:pPr>
      <w:r w:rsidRPr="00633C7D">
        <w:rPr>
          <w:rFonts w:asciiTheme="minorHAnsi" w:eastAsia="SimSun" w:hAnsiTheme="minorHAnsi" w:cs="Arial"/>
          <w:i/>
          <w:sz w:val="22"/>
        </w:rPr>
        <w:t xml:space="preserve">Encourage services to engage in assertive follow-up of clients. </w:t>
      </w:r>
      <w:r>
        <w:rPr>
          <w:rFonts w:asciiTheme="minorHAnsi" w:eastAsia="SimSun" w:hAnsiTheme="minorHAnsi" w:cs="Arial"/>
          <w:sz w:val="22"/>
        </w:rPr>
        <w:t xml:space="preserve">Supported by the qualitative data, assertive follow-up of clients following treatment promotes continuity and re-engagement with the treatment system when needed. Examples could include introducing a </w:t>
      </w:r>
      <w:r w:rsidRPr="00633C7D">
        <w:rPr>
          <w:rFonts w:asciiTheme="minorHAnsi" w:eastAsia="SimSun" w:hAnsiTheme="minorHAnsi" w:cs="Arial"/>
          <w:sz w:val="22"/>
        </w:rPr>
        <w:t xml:space="preserve">routine </w:t>
      </w:r>
      <w:r>
        <w:rPr>
          <w:rFonts w:asciiTheme="minorHAnsi" w:eastAsia="SimSun" w:hAnsiTheme="minorHAnsi" w:cs="Arial"/>
          <w:sz w:val="22"/>
        </w:rPr>
        <w:t xml:space="preserve">telephone follow-up call 4-8 weeks </w:t>
      </w:r>
      <w:r w:rsidRPr="00633C7D">
        <w:rPr>
          <w:rFonts w:asciiTheme="minorHAnsi" w:eastAsia="SimSun" w:hAnsiTheme="minorHAnsi" w:cs="Arial"/>
          <w:sz w:val="22"/>
        </w:rPr>
        <w:t xml:space="preserve">after completing a treatment </w:t>
      </w:r>
      <w:r w:rsidR="00F45708">
        <w:rPr>
          <w:rFonts w:asciiTheme="minorHAnsi" w:eastAsia="SimSun" w:hAnsiTheme="minorHAnsi" w:cs="Arial"/>
          <w:sz w:val="22"/>
        </w:rPr>
        <w:t>episode</w:t>
      </w:r>
      <w:r w:rsidRPr="00633C7D">
        <w:rPr>
          <w:rFonts w:asciiTheme="minorHAnsi" w:eastAsia="SimSun" w:hAnsiTheme="minorHAnsi" w:cs="Arial"/>
          <w:i/>
          <w:sz w:val="22"/>
        </w:rPr>
        <w:t>.</w:t>
      </w:r>
      <w:r w:rsidRPr="00C30595">
        <w:rPr>
          <w:rFonts w:asciiTheme="minorHAnsi" w:eastAsia="SimSun" w:hAnsiTheme="minorHAnsi" w:cs="Arial"/>
          <w:i/>
          <w:sz w:val="22"/>
        </w:rPr>
        <w:t xml:space="preserve"> </w:t>
      </w:r>
    </w:p>
    <w:p w:rsidR="0026107A" w:rsidRDefault="0026107A" w:rsidP="0026107A">
      <w:pPr>
        <w:spacing w:after="80" w:line="240" w:lineRule="auto"/>
        <w:jc w:val="both"/>
        <w:rPr>
          <w:rFonts w:asciiTheme="minorHAnsi" w:eastAsia="SimSun" w:hAnsiTheme="minorHAnsi" w:cs="Arial"/>
          <w:b/>
        </w:rPr>
      </w:pPr>
    </w:p>
    <w:p w:rsidR="0026107A" w:rsidRPr="00377B74" w:rsidRDefault="0026107A" w:rsidP="0026107A">
      <w:pPr>
        <w:spacing w:after="80" w:line="240" w:lineRule="auto"/>
        <w:jc w:val="both"/>
        <w:rPr>
          <w:rFonts w:asciiTheme="minorHAnsi" w:eastAsia="SimSun" w:hAnsiTheme="minorHAnsi" w:cs="Arial"/>
          <w:b/>
        </w:rPr>
      </w:pPr>
      <w:r w:rsidRPr="00F1574B">
        <w:rPr>
          <w:b/>
        </w:rPr>
        <w:t xml:space="preserve">Recommendation </w:t>
      </w:r>
      <w:r>
        <w:rPr>
          <w:b/>
        </w:rPr>
        <w:t>for</w:t>
      </w:r>
      <w:r w:rsidRPr="00377B74">
        <w:rPr>
          <w:rFonts w:asciiTheme="minorHAnsi" w:eastAsia="SimSun" w:hAnsiTheme="minorHAnsi" w:cs="Arial"/>
          <w:b/>
        </w:rPr>
        <w:t xml:space="preserve"> accessibility</w:t>
      </w:r>
      <w:r>
        <w:rPr>
          <w:rFonts w:asciiTheme="minorHAnsi" w:eastAsia="SimSun" w:hAnsiTheme="minorHAnsi" w:cs="Arial"/>
          <w:b/>
        </w:rPr>
        <w:t xml:space="preserve"> of</w:t>
      </w:r>
      <w:r w:rsidRPr="00377B74">
        <w:rPr>
          <w:rFonts w:asciiTheme="minorHAnsi" w:eastAsia="SimSun" w:hAnsiTheme="minorHAnsi" w:cs="Arial"/>
          <w:b/>
        </w:rPr>
        <w:t xml:space="preserve"> </w:t>
      </w:r>
      <w:r w:rsidR="00225DFE">
        <w:rPr>
          <w:rFonts w:asciiTheme="minorHAnsi" w:eastAsia="SimSun" w:hAnsiTheme="minorHAnsi" w:cs="Arial"/>
          <w:b/>
        </w:rPr>
        <w:t>long-term</w:t>
      </w:r>
      <w:r w:rsidRPr="00377B74">
        <w:rPr>
          <w:rFonts w:asciiTheme="minorHAnsi" w:eastAsia="SimSun" w:hAnsiTheme="minorHAnsi" w:cs="Arial"/>
          <w:b/>
        </w:rPr>
        <w:t xml:space="preserve"> residential care</w:t>
      </w:r>
    </w:p>
    <w:p w:rsidR="0026107A" w:rsidRPr="00C71C00" w:rsidRDefault="0026107A" w:rsidP="0026107A">
      <w:pPr>
        <w:pStyle w:val="ListParagraph"/>
        <w:numPr>
          <w:ilvl w:val="0"/>
          <w:numId w:val="23"/>
        </w:numPr>
        <w:spacing w:after="80" w:line="240" w:lineRule="auto"/>
        <w:jc w:val="both"/>
        <w:rPr>
          <w:rFonts w:asciiTheme="minorHAnsi" w:eastAsia="SimSun" w:hAnsiTheme="minorHAnsi" w:cs="Arial"/>
          <w:sz w:val="22"/>
        </w:rPr>
      </w:pPr>
      <w:r w:rsidRPr="00C71C00">
        <w:rPr>
          <w:rFonts w:asciiTheme="minorHAnsi" w:eastAsia="SimSun" w:hAnsiTheme="minorHAnsi" w:cs="Arial"/>
          <w:i/>
          <w:sz w:val="22"/>
        </w:rPr>
        <w:t xml:space="preserve">Increase availability of rehabilitation places and reduce the waiting list for </w:t>
      </w:r>
      <w:r w:rsidR="00225DFE">
        <w:rPr>
          <w:rFonts w:asciiTheme="minorHAnsi" w:eastAsia="SimSun" w:hAnsiTheme="minorHAnsi" w:cs="Arial"/>
          <w:i/>
          <w:sz w:val="22"/>
        </w:rPr>
        <w:t>long-term</w:t>
      </w:r>
      <w:r w:rsidRPr="00C71C00">
        <w:rPr>
          <w:rFonts w:asciiTheme="minorHAnsi" w:eastAsia="SimSun" w:hAnsiTheme="minorHAnsi" w:cs="Arial"/>
          <w:i/>
          <w:sz w:val="22"/>
        </w:rPr>
        <w:t xml:space="preserve"> residential care</w:t>
      </w:r>
      <w:r w:rsidRPr="00C71C00">
        <w:rPr>
          <w:rFonts w:asciiTheme="minorHAnsi" w:eastAsia="SimSun" w:hAnsiTheme="minorHAnsi" w:cs="Arial"/>
          <w:sz w:val="22"/>
        </w:rPr>
        <w:t>. Given the evidence from both the client survey and linkage data that better outcomes are achieved among those receiving long</w:t>
      </w:r>
      <w:r>
        <w:rPr>
          <w:rFonts w:asciiTheme="minorHAnsi" w:eastAsia="SimSun" w:hAnsiTheme="minorHAnsi" w:cs="Arial"/>
          <w:sz w:val="22"/>
        </w:rPr>
        <w:t>-</w:t>
      </w:r>
      <w:r w:rsidRPr="00C71C00">
        <w:rPr>
          <w:rFonts w:asciiTheme="minorHAnsi" w:eastAsia="SimSun" w:hAnsiTheme="minorHAnsi" w:cs="Arial"/>
          <w:sz w:val="22"/>
        </w:rPr>
        <w:t>term residential care, it is crucial that funders and specialist service providers recognise the critical role that rehabilitative services play in a comprehensive specialist treatment system</w:t>
      </w:r>
      <w:r>
        <w:rPr>
          <w:rFonts w:asciiTheme="minorHAnsi" w:eastAsia="SimSun" w:hAnsiTheme="minorHAnsi" w:cs="Arial"/>
          <w:sz w:val="22"/>
        </w:rPr>
        <w:t>, particularly for individuals who have greater levels of complexity</w:t>
      </w:r>
      <w:r w:rsidRPr="00C71C00">
        <w:rPr>
          <w:rFonts w:asciiTheme="minorHAnsi" w:eastAsia="SimSun" w:hAnsiTheme="minorHAnsi" w:cs="Arial"/>
          <w:sz w:val="22"/>
        </w:rPr>
        <w:t>. The qualitative findings indicate that</w:t>
      </w:r>
      <w:r>
        <w:rPr>
          <w:rFonts w:asciiTheme="minorHAnsi" w:eastAsia="SimSun" w:hAnsiTheme="minorHAnsi" w:cs="Arial"/>
          <w:sz w:val="22"/>
        </w:rPr>
        <w:t xml:space="preserve"> long</w:t>
      </w:r>
      <w:r w:rsidRPr="00C71C00">
        <w:rPr>
          <w:rFonts w:asciiTheme="minorHAnsi" w:eastAsia="SimSun" w:hAnsiTheme="minorHAnsi" w:cs="Arial"/>
          <w:sz w:val="22"/>
        </w:rPr>
        <w:t xml:space="preserve"> waiting</w:t>
      </w:r>
      <w:r>
        <w:rPr>
          <w:rFonts w:asciiTheme="minorHAnsi" w:eastAsia="SimSun" w:hAnsiTheme="minorHAnsi" w:cs="Arial"/>
          <w:sz w:val="22"/>
        </w:rPr>
        <w:t xml:space="preserve"> times for access to residential treatment</w:t>
      </w:r>
      <w:r w:rsidRPr="00C71C00">
        <w:rPr>
          <w:rFonts w:asciiTheme="minorHAnsi" w:eastAsia="SimSun" w:hAnsiTheme="minorHAnsi" w:cs="Arial"/>
          <w:sz w:val="22"/>
        </w:rPr>
        <w:t xml:space="preserve"> are a key barrier to </w:t>
      </w:r>
      <w:r>
        <w:rPr>
          <w:rFonts w:asciiTheme="minorHAnsi" w:eastAsia="SimSun" w:hAnsiTheme="minorHAnsi" w:cs="Arial"/>
          <w:sz w:val="22"/>
        </w:rPr>
        <w:t>treatment</w:t>
      </w:r>
      <w:r w:rsidR="0047604B">
        <w:rPr>
          <w:rFonts w:asciiTheme="minorHAnsi" w:eastAsia="SimSun" w:hAnsiTheme="minorHAnsi" w:cs="Arial"/>
          <w:sz w:val="22"/>
        </w:rPr>
        <w:t xml:space="preserve"> engagement</w:t>
      </w:r>
      <w:r>
        <w:rPr>
          <w:rFonts w:asciiTheme="minorHAnsi" w:eastAsia="SimSun" w:hAnsiTheme="minorHAnsi" w:cs="Arial"/>
          <w:sz w:val="22"/>
        </w:rPr>
        <w:t>. It</w:t>
      </w:r>
      <w:r w:rsidRPr="00C71C00">
        <w:rPr>
          <w:rFonts w:asciiTheme="minorHAnsi" w:eastAsia="SimSun" w:hAnsiTheme="minorHAnsi" w:cs="Arial"/>
          <w:sz w:val="22"/>
        </w:rPr>
        <w:t xml:space="preserve"> is imperative that such unmet needs are addressed, and that the benefits of residential rehabilitation are promoted among clinicians and clients. </w:t>
      </w:r>
    </w:p>
    <w:p w:rsidR="0026107A" w:rsidRDefault="0026107A" w:rsidP="0026107A">
      <w:pPr>
        <w:spacing w:after="80" w:line="240" w:lineRule="auto"/>
        <w:jc w:val="both"/>
        <w:rPr>
          <w:rFonts w:asciiTheme="minorHAnsi" w:eastAsia="SimSun" w:hAnsiTheme="minorHAnsi" w:cs="Arial"/>
        </w:rPr>
      </w:pPr>
      <w:r w:rsidRPr="00F1574B">
        <w:rPr>
          <w:b/>
        </w:rPr>
        <w:lastRenderedPageBreak/>
        <w:t xml:space="preserve">Recommendation </w:t>
      </w:r>
      <w:r>
        <w:rPr>
          <w:b/>
        </w:rPr>
        <w:t>for</w:t>
      </w:r>
      <w:r w:rsidRPr="00377B74">
        <w:rPr>
          <w:rFonts w:asciiTheme="minorHAnsi" w:eastAsia="SimSun" w:hAnsiTheme="minorHAnsi" w:cs="Arial"/>
          <w:b/>
        </w:rPr>
        <w:t xml:space="preserve"> </w:t>
      </w:r>
      <w:r>
        <w:rPr>
          <w:rFonts w:asciiTheme="minorHAnsi" w:eastAsia="SimSun" w:hAnsiTheme="minorHAnsi" w:cs="Arial"/>
          <w:b/>
        </w:rPr>
        <w:t>c</w:t>
      </w:r>
      <w:r w:rsidRPr="007C294E">
        <w:rPr>
          <w:rFonts w:asciiTheme="minorHAnsi" w:eastAsia="SimSun" w:hAnsiTheme="minorHAnsi" w:cs="Arial"/>
          <w:b/>
        </w:rPr>
        <w:t>are coordination</w:t>
      </w:r>
      <w:r>
        <w:rPr>
          <w:rFonts w:asciiTheme="minorHAnsi" w:eastAsia="SimSun" w:hAnsiTheme="minorHAnsi" w:cs="Arial"/>
        </w:rPr>
        <w:t xml:space="preserve"> </w:t>
      </w:r>
    </w:p>
    <w:p w:rsidR="0026107A" w:rsidRPr="00BD0CCD" w:rsidRDefault="0026107A" w:rsidP="0026107A">
      <w:pPr>
        <w:pStyle w:val="ListParagraph"/>
        <w:numPr>
          <w:ilvl w:val="0"/>
          <w:numId w:val="23"/>
        </w:numPr>
        <w:spacing w:after="80" w:line="240" w:lineRule="auto"/>
        <w:jc w:val="both"/>
        <w:rPr>
          <w:rFonts w:asciiTheme="minorHAnsi" w:eastAsia="SimSun" w:hAnsiTheme="minorHAnsi" w:cs="Arial"/>
        </w:rPr>
      </w:pPr>
      <w:r w:rsidRPr="00BD0CCD">
        <w:rPr>
          <w:rFonts w:asciiTheme="minorHAnsi" w:eastAsia="SimSun" w:hAnsiTheme="minorHAnsi" w:cs="Arial"/>
          <w:i/>
          <w:sz w:val="22"/>
        </w:rPr>
        <w:t>Support care coordination</w:t>
      </w:r>
      <w:r w:rsidRPr="00BD0CCD">
        <w:rPr>
          <w:rFonts w:asciiTheme="minorHAnsi" w:eastAsia="SimSun" w:hAnsiTheme="minorHAnsi" w:cs="Arial"/>
          <w:sz w:val="22"/>
        </w:rPr>
        <w:t>. Linked to the issue of continuity of care, and identified as a key theme in the qualitative interviews, was limited availability of care coordination. Our findings highlight the importance of supporting complex clients effectively transition through the AOD treatment system and engage with relevant health and welfare services when needed, so as to enhance treatment retention and completion. While this role could be performed within agencies, there are opportunities to explore low-cost options such as telephone and online support, provided in every jurisdiction, to assist in both coordinating care and providing a vehicle for long-term engagement and follow-up</w:t>
      </w:r>
      <w:r w:rsidRPr="00BD0CCD">
        <w:rPr>
          <w:rFonts w:asciiTheme="minorHAnsi" w:eastAsia="SimSun" w:hAnsiTheme="minorHAnsi" w:cs="Arial"/>
        </w:rPr>
        <w:t>.</w:t>
      </w:r>
    </w:p>
    <w:p w:rsidR="0026107A" w:rsidRDefault="0026107A" w:rsidP="0026107A">
      <w:pPr>
        <w:spacing w:after="80" w:line="240" w:lineRule="auto"/>
        <w:jc w:val="both"/>
        <w:rPr>
          <w:rFonts w:asciiTheme="minorHAnsi" w:eastAsia="SimSun" w:hAnsiTheme="minorHAnsi" w:cs="Arial"/>
          <w:b/>
        </w:rPr>
      </w:pPr>
    </w:p>
    <w:p w:rsidR="0026107A" w:rsidRPr="007D59D6" w:rsidRDefault="0026107A" w:rsidP="0026107A">
      <w:pPr>
        <w:spacing w:after="80" w:line="240" w:lineRule="auto"/>
        <w:jc w:val="both"/>
        <w:rPr>
          <w:rFonts w:asciiTheme="minorHAnsi" w:eastAsia="SimSun" w:hAnsiTheme="minorHAnsi" w:cs="Arial"/>
          <w:b/>
        </w:rPr>
      </w:pPr>
      <w:r w:rsidRPr="00F1574B">
        <w:rPr>
          <w:b/>
        </w:rPr>
        <w:t xml:space="preserve">Recommendation </w:t>
      </w:r>
      <w:r>
        <w:rPr>
          <w:b/>
        </w:rPr>
        <w:t xml:space="preserve">for </w:t>
      </w:r>
      <w:r>
        <w:rPr>
          <w:rFonts w:asciiTheme="minorHAnsi" w:eastAsia="SimSun" w:hAnsiTheme="minorHAnsi" w:cs="Arial"/>
          <w:b/>
        </w:rPr>
        <w:t>p</w:t>
      </w:r>
      <w:r w:rsidRPr="007D59D6">
        <w:rPr>
          <w:rFonts w:asciiTheme="minorHAnsi" w:eastAsia="SimSun" w:hAnsiTheme="minorHAnsi" w:cs="Arial"/>
          <w:b/>
        </w:rPr>
        <w:t>romotion of aftercare and mutual aid/peer support</w:t>
      </w:r>
    </w:p>
    <w:p w:rsidR="0026107A" w:rsidRPr="007D59D6" w:rsidRDefault="0026107A" w:rsidP="0026107A">
      <w:pPr>
        <w:pStyle w:val="ListParagraph"/>
        <w:numPr>
          <w:ilvl w:val="0"/>
          <w:numId w:val="23"/>
        </w:numPr>
        <w:spacing w:after="80" w:line="240" w:lineRule="auto"/>
        <w:jc w:val="both"/>
        <w:rPr>
          <w:rFonts w:asciiTheme="minorHAnsi" w:eastAsia="SimSun" w:hAnsiTheme="minorHAnsi" w:cs="Arial"/>
        </w:rPr>
      </w:pPr>
      <w:r w:rsidRPr="007D59D6">
        <w:rPr>
          <w:rFonts w:asciiTheme="minorHAnsi" w:eastAsia="SimSun" w:hAnsiTheme="minorHAnsi" w:cs="Arial"/>
          <w:i/>
          <w:sz w:val="22"/>
        </w:rPr>
        <w:t>Specialist AOD services should develop and promote interventions and pathways to aftercare</w:t>
      </w:r>
      <w:r w:rsidRPr="007D59D6">
        <w:rPr>
          <w:rFonts w:asciiTheme="minorHAnsi" w:eastAsia="SimSun" w:hAnsiTheme="minorHAnsi" w:cs="Arial"/>
          <w:sz w:val="22"/>
        </w:rPr>
        <w:t xml:space="preserve"> such as supportive community groups, including but not restricted to mutual aid groups. This could include assertive linkage to peer support groups, such as 12-step and SMART Recovery, using readily available and evidenced-based models that improve engagement with mutual aid (such as the MAAEZ model developed by </w:t>
      </w:r>
      <w:proofErr w:type="spellStart"/>
      <w:r w:rsidR="007B7602" w:rsidRPr="004663DC">
        <w:rPr>
          <w:rFonts w:asciiTheme="minorHAnsi" w:eastAsia="SimSun" w:hAnsiTheme="minorHAnsi" w:cs="Arial"/>
          <w:sz w:val="22"/>
        </w:rPr>
        <w:t>Kaskutas</w:t>
      </w:r>
      <w:proofErr w:type="spellEnd"/>
      <w:r w:rsidR="007B7602" w:rsidRPr="004663DC">
        <w:rPr>
          <w:rFonts w:asciiTheme="minorHAnsi" w:eastAsia="SimSun" w:hAnsiTheme="minorHAnsi" w:cs="Arial"/>
          <w:sz w:val="22"/>
        </w:rPr>
        <w:t xml:space="preserve"> </w:t>
      </w:r>
      <w:r w:rsidRPr="004663DC">
        <w:rPr>
          <w:rFonts w:asciiTheme="minorHAnsi" w:eastAsia="SimSun" w:hAnsiTheme="minorHAnsi" w:cs="Arial"/>
          <w:sz w:val="22"/>
        </w:rPr>
        <w:t>and</w:t>
      </w:r>
      <w:r w:rsidRPr="007D59D6">
        <w:rPr>
          <w:rFonts w:asciiTheme="minorHAnsi" w:eastAsia="SimSun" w:hAnsiTheme="minorHAnsi" w:cs="Arial"/>
          <w:sz w:val="22"/>
        </w:rPr>
        <w:t xml:space="preserve"> colleagues in the US). Being free and widely available (including online meetings), such support groups can be cost-effective models of aftercare</w:t>
      </w:r>
      <w:r w:rsidR="0047604B">
        <w:rPr>
          <w:rFonts w:asciiTheme="minorHAnsi" w:eastAsia="SimSun" w:hAnsiTheme="minorHAnsi" w:cs="Arial"/>
          <w:sz w:val="22"/>
        </w:rPr>
        <w:t>, at least for some clients</w:t>
      </w:r>
      <w:r w:rsidRPr="007D59D6">
        <w:rPr>
          <w:rFonts w:asciiTheme="minorHAnsi" w:eastAsia="SimSun" w:hAnsiTheme="minorHAnsi" w:cs="Arial"/>
          <w:sz w:val="22"/>
        </w:rPr>
        <w:t>. Previous research has shown that such approaches require workforce training to support staff to make these initial connections and to develop relationships with mutual aid groups.</w:t>
      </w:r>
    </w:p>
    <w:p w:rsidR="0026107A" w:rsidRPr="00377B74" w:rsidRDefault="0026107A" w:rsidP="0026107A">
      <w:pPr>
        <w:pStyle w:val="ListParagraph"/>
        <w:spacing w:after="80" w:line="240" w:lineRule="auto"/>
        <w:jc w:val="both"/>
        <w:rPr>
          <w:rFonts w:asciiTheme="minorHAnsi" w:eastAsia="SimSun" w:hAnsiTheme="minorHAnsi" w:cs="Arial"/>
        </w:rPr>
      </w:pPr>
      <w:r w:rsidRPr="00377B74">
        <w:rPr>
          <w:rFonts w:asciiTheme="minorHAnsi" w:eastAsia="SimSun" w:hAnsiTheme="minorHAnsi" w:cs="Arial"/>
          <w:sz w:val="22"/>
        </w:rPr>
        <w:t xml:space="preserve"> </w:t>
      </w:r>
    </w:p>
    <w:p w:rsidR="0026107A" w:rsidRPr="00633C7D" w:rsidRDefault="0026107A" w:rsidP="0026107A">
      <w:pPr>
        <w:spacing w:after="80" w:line="240" w:lineRule="auto"/>
        <w:jc w:val="both"/>
        <w:rPr>
          <w:rFonts w:asciiTheme="minorHAnsi" w:eastAsia="SimSun" w:hAnsiTheme="minorHAnsi" w:cs="Arial"/>
          <w:b/>
        </w:rPr>
      </w:pPr>
      <w:r w:rsidRPr="00F1574B">
        <w:rPr>
          <w:b/>
        </w:rPr>
        <w:t>Recommendation</w:t>
      </w:r>
      <w:r>
        <w:rPr>
          <w:b/>
        </w:rPr>
        <w:t>s</w:t>
      </w:r>
      <w:r w:rsidRPr="00F1574B">
        <w:rPr>
          <w:b/>
        </w:rPr>
        <w:t xml:space="preserve"> </w:t>
      </w:r>
      <w:r>
        <w:rPr>
          <w:b/>
        </w:rPr>
        <w:t>for</w:t>
      </w:r>
      <w:r w:rsidRPr="00377B74">
        <w:rPr>
          <w:rFonts w:asciiTheme="minorHAnsi" w:eastAsia="SimSun" w:hAnsiTheme="minorHAnsi" w:cs="Arial"/>
          <w:b/>
        </w:rPr>
        <w:t xml:space="preserve"> </w:t>
      </w:r>
      <w:r>
        <w:rPr>
          <w:rFonts w:asciiTheme="minorHAnsi" w:eastAsia="SimSun" w:hAnsiTheme="minorHAnsi" w:cs="Arial"/>
          <w:b/>
        </w:rPr>
        <w:t>treatment intensity and pathways tailored to client characteristics</w:t>
      </w:r>
    </w:p>
    <w:p w:rsidR="0026107A" w:rsidRPr="00F45708" w:rsidRDefault="0026107A" w:rsidP="0026107A">
      <w:pPr>
        <w:pStyle w:val="ListParagraph"/>
        <w:numPr>
          <w:ilvl w:val="0"/>
          <w:numId w:val="23"/>
        </w:numPr>
        <w:spacing w:after="80" w:line="240" w:lineRule="auto"/>
        <w:jc w:val="both"/>
        <w:rPr>
          <w:rFonts w:asciiTheme="minorHAnsi" w:eastAsia="SimSun" w:hAnsiTheme="minorHAnsi" w:cs="Arial"/>
          <w:sz w:val="22"/>
        </w:rPr>
      </w:pPr>
      <w:r w:rsidRPr="0063218D">
        <w:rPr>
          <w:rFonts w:asciiTheme="minorHAnsi" w:eastAsia="SimSun" w:hAnsiTheme="minorHAnsi" w:cs="Arial"/>
          <w:i/>
          <w:sz w:val="22"/>
        </w:rPr>
        <w:t>Improve continuity of care and optimal care pathways for alcohol-dependent clients.</w:t>
      </w:r>
      <w:r w:rsidRPr="00633C7D">
        <w:rPr>
          <w:rFonts w:asciiTheme="minorHAnsi" w:eastAsia="SimSun" w:hAnsiTheme="minorHAnsi" w:cs="Arial"/>
          <w:sz w:val="22"/>
        </w:rPr>
        <w:t xml:space="preserve"> </w:t>
      </w:r>
      <w:r>
        <w:rPr>
          <w:rFonts w:asciiTheme="minorHAnsi" w:eastAsia="SimSun" w:hAnsiTheme="minorHAnsi" w:cs="Arial"/>
          <w:sz w:val="22"/>
        </w:rPr>
        <w:t>Clients with a primary alcohol problem were less likely to have good</w:t>
      </w:r>
      <w:r w:rsidRPr="00633C7D">
        <w:rPr>
          <w:rFonts w:asciiTheme="minorHAnsi" w:eastAsia="SimSun" w:hAnsiTheme="minorHAnsi" w:cs="Arial"/>
          <w:sz w:val="22"/>
        </w:rPr>
        <w:t xml:space="preserve"> outcomes</w:t>
      </w:r>
      <w:r>
        <w:rPr>
          <w:rFonts w:asciiTheme="minorHAnsi" w:eastAsia="SimSun" w:hAnsiTheme="minorHAnsi" w:cs="Arial"/>
          <w:sz w:val="22"/>
        </w:rPr>
        <w:t xml:space="preserve"> across all arms of the study</w:t>
      </w:r>
      <w:r w:rsidRPr="00633C7D">
        <w:rPr>
          <w:rFonts w:asciiTheme="minorHAnsi" w:eastAsia="SimSun" w:hAnsiTheme="minorHAnsi" w:cs="Arial"/>
          <w:sz w:val="22"/>
        </w:rPr>
        <w:t>,</w:t>
      </w:r>
      <w:r>
        <w:rPr>
          <w:rFonts w:asciiTheme="minorHAnsi" w:eastAsia="SimSun" w:hAnsiTheme="minorHAnsi" w:cs="Arial"/>
          <w:sz w:val="22"/>
        </w:rPr>
        <w:t xml:space="preserve"> yet </w:t>
      </w:r>
      <w:r w:rsidRPr="00633C7D">
        <w:rPr>
          <w:rFonts w:asciiTheme="minorHAnsi" w:eastAsia="SimSun" w:hAnsiTheme="minorHAnsi" w:cs="Arial"/>
          <w:sz w:val="22"/>
        </w:rPr>
        <w:t>benefit</w:t>
      </w:r>
      <w:r>
        <w:rPr>
          <w:rFonts w:asciiTheme="minorHAnsi" w:eastAsia="SimSun" w:hAnsiTheme="minorHAnsi" w:cs="Arial"/>
          <w:sz w:val="22"/>
        </w:rPr>
        <w:t>ed the most</w:t>
      </w:r>
      <w:r w:rsidRPr="00633C7D">
        <w:rPr>
          <w:rFonts w:asciiTheme="minorHAnsi" w:eastAsia="SimSun" w:hAnsiTheme="minorHAnsi" w:cs="Arial"/>
          <w:sz w:val="22"/>
        </w:rPr>
        <w:t xml:space="preserve"> from having optimal care pathways. This </w:t>
      </w:r>
      <w:r>
        <w:rPr>
          <w:rFonts w:asciiTheme="minorHAnsi" w:eastAsia="SimSun" w:hAnsiTheme="minorHAnsi" w:cs="Arial"/>
          <w:sz w:val="22"/>
        </w:rPr>
        <w:t>suggests more intense treatment is likely to be required for these clients, but also that achieving change is more challenging in a context of high alcohol availability and acceptability. As much as possible, clients s</w:t>
      </w:r>
      <w:r w:rsidRPr="00633C7D">
        <w:rPr>
          <w:rFonts w:asciiTheme="minorHAnsi" w:eastAsia="SimSun" w:hAnsiTheme="minorHAnsi" w:cs="Arial"/>
          <w:sz w:val="22"/>
        </w:rPr>
        <w:t>hould be encouraged to continue engaging in on-going AOD treatment</w:t>
      </w:r>
      <w:r>
        <w:rPr>
          <w:rFonts w:asciiTheme="minorHAnsi" w:eastAsia="SimSun" w:hAnsiTheme="minorHAnsi" w:cs="Arial"/>
          <w:sz w:val="22"/>
        </w:rPr>
        <w:t xml:space="preserve"> after completion of a treatment episode</w:t>
      </w:r>
      <w:r w:rsidRPr="00633C7D">
        <w:rPr>
          <w:rFonts w:asciiTheme="minorHAnsi" w:eastAsia="SimSun" w:hAnsiTheme="minorHAnsi" w:cs="Arial"/>
          <w:sz w:val="22"/>
        </w:rPr>
        <w:t xml:space="preserve">, </w:t>
      </w:r>
      <w:r>
        <w:rPr>
          <w:rFonts w:asciiTheme="minorHAnsi" w:eastAsia="SimSun" w:hAnsiTheme="minorHAnsi" w:cs="Arial"/>
          <w:sz w:val="22"/>
        </w:rPr>
        <w:t>make use of</w:t>
      </w:r>
      <w:r w:rsidRPr="00633C7D">
        <w:rPr>
          <w:rFonts w:asciiTheme="minorHAnsi" w:eastAsia="SimSun" w:hAnsiTheme="minorHAnsi" w:cs="Arial"/>
          <w:sz w:val="22"/>
        </w:rPr>
        <w:t xml:space="preserve"> </w:t>
      </w:r>
      <w:r>
        <w:rPr>
          <w:rFonts w:asciiTheme="minorHAnsi" w:eastAsia="SimSun" w:hAnsiTheme="minorHAnsi" w:cs="Arial"/>
          <w:sz w:val="22"/>
        </w:rPr>
        <w:t xml:space="preserve">appropriate </w:t>
      </w:r>
      <w:r w:rsidRPr="00633C7D">
        <w:rPr>
          <w:rFonts w:asciiTheme="minorHAnsi" w:eastAsia="SimSun" w:hAnsiTheme="minorHAnsi" w:cs="Arial"/>
          <w:sz w:val="22"/>
        </w:rPr>
        <w:t xml:space="preserve">community services </w:t>
      </w:r>
      <w:r>
        <w:rPr>
          <w:rFonts w:asciiTheme="minorHAnsi" w:eastAsia="SimSun" w:hAnsiTheme="minorHAnsi" w:cs="Arial"/>
          <w:sz w:val="22"/>
        </w:rPr>
        <w:t xml:space="preserve">and </w:t>
      </w:r>
      <w:r w:rsidRPr="00F45708">
        <w:rPr>
          <w:rFonts w:asciiTheme="minorHAnsi" w:eastAsia="SimSun" w:hAnsiTheme="minorHAnsi" w:cs="Arial"/>
          <w:sz w:val="22"/>
        </w:rPr>
        <w:t>receive on-going support and aftercare (e.g., mutual</w:t>
      </w:r>
      <w:r w:rsidR="00DE06CC" w:rsidRPr="00F45708">
        <w:rPr>
          <w:rFonts w:asciiTheme="minorHAnsi" w:eastAsia="SimSun" w:hAnsiTheme="minorHAnsi" w:cs="Arial"/>
          <w:sz w:val="22"/>
        </w:rPr>
        <w:t xml:space="preserve"> </w:t>
      </w:r>
      <w:r w:rsidRPr="00F45708">
        <w:rPr>
          <w:rFonts w:asciiTheme="minorHAnsi" w:eastAsia="SimSun" w:hAnsiTheme="minorHAnsi" w:cs="Arial"/>
          <w:sz w:val="22"/>
        </w:rPr>
        <w:t xml:space="preserve">aid attendance). </w:t>
      </w:r>
      <w:r w:rsidR="0084203E" w:rsidRPr="00F45708">
        <w:rPr>
          <w:rFonts w:asciiTheme="minorHAnsi" w:eastAsia="SimSun" w:hAnsiTheme="minorHAnsi" w:cs="Arial"/>
          <w:sz w:val="22"/>
        </w:rPr>
        <w:t xml:space="preserve">Efforts to enhance retention and early re-engagement for those who drop out of treatment are likely to improve outcomes with this population, and should be piloted. </w:t>
      </w:r>
      <w:r w:rsidR="0084203E" w:rsidRPr="005723E2">
        <w:rPr>
          <w:rFonts w:asciiTheme="minorHAnsi" w:eastAsia="SimSun" w:hAnsiTheme="minorHAnsi" w:cs="Arial"/>
          <w:sz w:val="22"/>
        </w:rPr>
        <w:t xml:space="preserve">Investment in public health/community based approaches to reduce consumption and availability also warrant continued investigation </w:t>
      </w:r>
      <w:r w:rsidR="00F45708" w:rsidRPr="005723E2">
        <w:rPr>
          <w:rFonts w:asciiTheme="minorHAnsi" w:eastAsia="SimSun" w:hAnsiTheme="minorHAnsi" w:cs="Arial"/>
          <w:sz w:val="22"/>
        </w:rPr>
        <w:t xml:space="preserve">so as to support </w:t>
      </w:r>
      <w:r w:rsidR="0084203E" w:rsidRPr="005723E2">
        <w:rPr>
          <w:rFonts w:asciiTheme="minorHAnsi" w:eastAsia="SimSun" w:hAnsiTheme="minorHAnsi" w:cs="Arial"/>
          <w:sz w:val="22"/>
        </w:rPr>
        <w:t xml:space="preserve">individuals adversely affected by alcohol </w:t>
      </w:r>
      <w:r w:rsidR="00F45708" w:rsidRPr="005723E2">
        <w:rPr>
          <w:rFonts w:asciiTheme="minorHAnsi" w:eastAsia="SimSun" w:hAnsiTheme="minorHAnsi" w:cs="Arial"/>
          <w:sz w:val="22"/>
        </w:rPr>
        <w:t xml:space="preserve">to reduce their drinking, </w:t>
      </w:r>
      <w:r w:rsidR="0084203E" w:rsidRPr="005723E2">
        <w:rPr>
          <w:rFonts w:asciiTheme="minorHAnsi" w:eastAsia="SimSun" w:hAnsiTheme="minorHAnsi" w:cs="Arial"/>
          <w:sz w:val="22"/>
        </w:rPr>
        <w:t xml:space="preserve">as well as </w:t>
      </w:r>
      <w:r w:rsidR="00F45708" w:rsidRPr="005723E2">
        <w:rPr>
          <w:rFonts w:asciiTheme="minorHAnsi" w:eastAsia="SimSun" w:hAnsiTheme="minorHAnsi" w:cs="Arial"/>
          <w:sz w:val="22"/>
        </w:rPr>
        <w:t xml:space="preserve">reducing and preventing </w:t>
      </w:r>
      <w:r w:rsidR="0084203E" w:rsidRPr="005723E2">
        <w:rPr>
          <w:rFonts w:asciiTheme="minorHAnsi" w:eastAsia="SimSun" w:hAnsiTheme="minorHAnsi" w:cs="Arial"/>
          <w:sz w:val="22"/>
        </w:rPr>
        <w:t>alcohol-related problems</w:t>
      </w:r>
      <w:r w:rsidR="00F45708" w:rsidRPr="005723E2">
        <w:rPr>
          <w:rFonts w:asciiTheme="minorHAnsi" w:eastAsia="SimSun" w:hAnsiTheme="minorHAnsi" w:cs="Arial"/>
          <w:sz w:val="22"/>
        </w:rPr>
        <w:t xml:space="preserve"> across the community</w:t>
      </w:r>
      <w:r w:rsidR="0084203E" w:rsidRPr="005723E2">
        <w:rPr>
          <w:rFonts w:asciiTheme="minorHAnsi" w:eastAsia="SimSun" w:hAnsiTheme="minorHAnsi" w:cs="Arial"/>
          <w:sz w:val="22"/>
        </w:rPr>
        <w:t>.</w:t>
      </w:r>
    </w:p>
    <w:p w:rsidR="0026107A" w:rsidRPr="00516DA3" w:rsidRDefault="0026107A" w:rsidP="0026107A">
      <w:pPr>
        <w:spacing w:after="80" w:line="240" w:lineRule="auto"/>
        <w:jc w:val="both"/>
        <w:rPr>
          <w:rFonts w:asciiTheme="minorHAnsi" w:eastAsia="SimSun" w:hAnsiTheme="minorHAnsi" w:cs="Arial"/>
        </w:rPr>
      </w:pPr>
    </w:p>
    <w:p w:rsidR="0026107A" w:rsidRPr="00C30B05" w:rsidRDefault="0026107A" w:rsidP="0026107A">
      <w:pPr>
        <w:pStyle w:val="ListParagraph"/>
        <w:numPr>
          <w:ilvl w:val="0"/>
          <w:numId w:val="23"/>
        </w:numPr>
        <w:spacing w:after="80" w:line="240" w:lineRule="auto"/>
        <w:jc w:val="both"/>
        <w:rPr>
          <w:rFonts w:asciiTheme="minorHAnsi" w:eastAsia="SimSun" w:hAnsiTheme="minorHAnsi" w:cs="Arial"/>
          <w:sz w:val="22"/>
        </w:rPr>
      </w:pPr>
      <w:r w:rsidRPr="00C30B05">
        <w:rPr>
          <w:rFonts w:asciiTheme="minorHAnsi" w:eastAsia="SimSun" w:hAnsiTheme="minorHAnsi" w:cs="Arial"/>
          <w:i/>
          <w:sz w:val="22"/>
        </w:rPr>
        <w:t>Develop mechanisms for the assertive engagement of individuals with problematic meth</w:t>
      </w:r>
      <w:r w:rsidR="00E977AF">
        <w:rPr>
          <w:rFonts w:asciiTheme="minorHAnsi" w:eastAsia="SimSun" w:hAnsiTheme="minorHAnsi" w:cs="Arial"/>
          <w:i/>
          <w:sz w:val="22"/>
        </w:rPr>
        <w:t>/</w:t>
      </w:r>
      <w:r w:rsidRPr="00C30B05">
        <w:rPr>
          <w:rFonts w:asciiTheme="minorHAnsi" w:eastAsia="SimSun" w:hAnsiTheme="minorHAnsi" w:cs="Arial"/>
          <w:i/>
          <w:sz w:val="22"/>
        </w:rPr>
        <w:t>amphetamine use into treatment</w:t>
      </w:r>
      <w:r w:rsidRPr="00C30B05">
        <w:rPr>
          <w:rFonts w:asciiTheme="minorHAnsi" w:eastAsia="SimSun" w:hAnsiTheme="minorHAnsi" w:cs="Arial"/>
          <w:sz w:val="22"/>
        </w:rPr>
        <w:t>. The positive treatment outcomes achieved in this population, combined with the significant community harms accrued by those not in treatment suggests that this group should be actively engaged in treatment. This should include enhancing pathways to treatment through promoting referrals from agencies where these clients typically present (</w:t>
      </w:r>
      <w:r w:rsidR="00DE06CC">
        <w:rPr>
          <w:rFonts w:asciiTheme="minorHAnsi" w:eastAsia="SimSun" w:hAnsiTheme="minorHAnsi" w:cs="Arial"/>
          <w:sz w:val="22"/>
        </w:rPr>
        <w:t>e.g. m</w:t>
      </w:r>
      <w:r w:rsidR="00DE06CC" w:rsidRPr="00C30B05">
        <w:rPr>
          <w:rFonts w:asciiTheme="minorHAnsi" w:eastAsia="SimSun" w:hAnsiTheme="minorHAnsi" w:cs="Arial"/>
          <w:sz w:val="22"/>
        </w:rPr>
        <w:t>ental</w:t>
      </w:r>
      <w:r w:rsidRPr="00C30B05">
        <w:rPr>
          <w:rFonts w:asciiTheme="minorHAnsi" w:eastAsia="SimSun" w:hAnsiTheme="minorHAnsi" w:cs="Arial"/>
          <w:sz w:val="22"/>
        </w:rPr>
        <w:t xml:space="preserve"> health, primary care and criminal justice</w:t>
      </w:r>
      <w:r w:rsidR="00DE06CC">
        <w:rPr>
          <w:rFonts w:asciiTheme="minorHAnsi" w:eastAsia="SimSun" w:hAnsiTheme="minorHAnsi" w:cs="Arial"/>
          <w:sz w:val="22"/>
        </w:rPr>
        <w:t xml:space="preserve"> services</w:t>
      </w:r>
      <w:r w:rsidRPr="00C30B05">
        <w:rPr>
          <w:rFonts w:asciiTheme="minorHAnsi" w:eastAsia="SimSun" w:hAnsiTheme="minorHAnsi" w:cs="Arial"/>
          <w:sz w:val="22"/>
        </w:rPr>
        <w:t>).</w:t>
      </w:r>
    </w:p>
    <w:p w:rsidR="0026107A" w:rsidRDefault="0026107A" w:rsidP="0026107A">
      <w:pPr>
        <w:spacing w:after="80" w:line="240" w:lineRule="auto"/>
        <w:jc w:val="both"/>
        <w:rPr>
          <w:rFonts w:asciiTheme="minorHAnsi" w:eastAsia="SimSun" w:hAnsiTheme="minorHAnsi" w:cs="Arial"/>
        </w:rPr>
      </w:pPr>
    </w:p>
    <w:p w:rsidR="007A4CA5" w:rsidRDefault="007A4CA5">
      <w:pPr>
        <w:spacing w:after="120" w:line="240" w:lineRule="auto"/>
        <w:ind w:left="1191" w:hanging="1134"/>
        <w:jc w:val="both"/>
        <w:rPr>
          <w:b/>
        </w:rPr>
      </w:pPr>
      <w:r>
        <w:rPr>
          <w:b/>
        </w:rPr>
        <w:br w:type="page"/>
      </w:r>
    </w:p>
    <w:p w:rsidR="0026107A" w:rsidRPr="00633C7D" w:rsidRDefault="0026107A" w:rsidP="0026107A">
      <w:pPr>
        <w:spacing w:after="80" w:line="240" w:lineRule="auto"/>
        <w:jc w:val="both"/>
        <w:rPr>
          <w:rFonts w:asciiTheme="minorHAnsi" w:eastAsia="SimSun" w:hAnsiTheme="minorHAnsi" w:cs="Arial"/>
          <w:b/>
        </w:rPr>
      </w:pPr>
      <w:r w:rsidRPr="00F1574B">
        <w:rPr>
          <w:b/>
        </w:rPr>
        <w:lastRenderedPageBreak/>
        <w:t>Recommendation</w:t>
      </w:r>
      <w:r>
        <w:rPr>
          <w:b/>
        </w:rPr>
        <w:t>s</w:t>
      </w:r>
      <w:r w:rsidRPr="00F1574B">
        <w:rPr>
          <w:b/>
        </w:rPr>
        <w:t xml:space="preserve"> </w:t>
      </w:r>
      <w:r>
        <w:rPr>
          <w:b/>
        </w:rPr>
        <w:t>for</w:t>
      </w:r>
      <w:r w:rsidRPr="00377B74">
        <w:rPr>
          <w:rFonts w:asciiTheme="minorHAnsi" w:eastAsia="SimSun" w:hAnsiTheme="minorHAnsi" w:cs="Arial"/>
          <w:b/>
        </w:rPr>
        <w:t xml:space="preserve"> </w:t>
      </w:r>
      <w:r>
        <w:rPr>
          <w:rFonts w:asciiTheme="minorHAnsi" w:eastAsia="SimSun" w:hAnsiTheme="minorHAnsi" w:cs="Arial"/>
          <w:b/>
        </w:rPr>
        <w:t>f</w:t>
      </w:r>
      <w:r w:rsidRPr="00633C7D">
        <w:rPr>
          <w:rFonts w:asciiTheme="minorHAnsi" w:eastAsia="SimSun" w:hAnsiTheme="minorHAnsi" w:cs="Arial"/>
          <w:b/>
        </w:rPr>
        <w:t xml:space="preserve">uture </w:t>
      </w:r>
      <w:r>
        <w:rPr>
          <w:rFonts w:asciiTheme="minorHAnsi" w:eastAsia="SimSun" w:hAnsiTheme="minorHAnsi" w:cs="Arial"/>
          <w:b/>
        </w:rPr>
        <w:t>research</w:t>
      </w:r>
    </w:p>
    <w:p w:rsidR="00BA6C75" w:rsidRPr="00BA6C75" w:rsidRDefault="00DE06CC" w:rsidP="00BA6C75">
      <w:pPr>
        <w:pStyle w:val="ListParagraph"/>
        <w:numPr>
          <w:ilvl w:val="0"/>
          <w:numId w:val="23"/>
        </w:numPr>
        <w:spacing w:after="80" w:line="240" w:lineRule="auto"/>
        <w:jc w:val="both"/>
        <w:rPr>
          <w:rFonts w:asciiTheme="minorHAnsi" w:eastAsia="SimSun" w:hAnsiTheme="minorHAnsi" w:cs="Arial"/>
          <w:i/>
          <w:sz w:val="22"/>
        </w:rPr>
      </w:pPr>
      <w:r>
        <w:rPr>
          <w:rFonts w:asciiTheme="minorHAnsi" w:eastAsia="SimSun" w:hAnsiTheme="minorHAnsi" w:cs="Arial"/>
          <w:i/>
          <w:sz w:val="22"/>
        </w:rPr>
        <w:t xml:space="preserve"> </w:t>
      </w:r>
      <w:r w:rsidR="0026107A">
        <w:rPr>
          <w:rFonts w:asciiTheme="minorHAnsi" w:eastAsia="SimSun" w:hAnsiTheme="minorHAnsi" w:cs="Arial"/>
          <w:i/>
          <w:sz w:val="22"/>
        </w:rPr>
        <w:t>Extend</w:t>
      </w:r>
      <w:r w:rsidR="0026107A" w:rsidRPr="00C30595">
        <w:rPr>
          <w:rFonts w:asciiTheme="minorHAnsi" w:eastAsia="SimSun" w:hAnsiTheme="minorHAnsi" w:cs="Arial"/>
          <w:i/>
          <w:sz w:val="22"/>
        </w:rPr>
        <w:t xml:space="preserve"> the use of linkage data</w:t>
      </w:r>
      <w:r w:rsidR="0026107A">
        <w:rPr>
          <w:rFonts w:asciiTheme="minorHAnsi" w:eastAsia="SimSun" w:hAnsiTheme="minorHAnsi" w:cs="Arial"/>
          <w:i/>
          <w:sz w:val="22"/>
        </w:rPr>
        <w:t>, as piloted in Chapter 4</w:t>
      </w:r>
      <w:r w:rsidR="0026107A" w:rsidRPr="00C30595">
        <w:rPr>
          <w:rFonts w:asciiTheme="minorHAnsi" w:eastAsia="SimSun" w:hAnsiTheme="minorHAnsi" w:cs="Arial"/>
          <w:i/>
          <w:sz w:val="22"/>
        </w:rPr>
        <w:t>.</w:t>
      </w:r>
      <w:r w:rsidR="0026107A" w:rsidRPr="00C30595">
        <w:rPr>
          <w:rFonts w:asciiTheme="minorHAnsi" w:eastAsia="SimSun" w:hAnsiTheme="minorHAnsi" w:cs="Arial"/>
          <w:sz w:val="22"/>
        </w:rPr>
        <w:t xml:space="preserve"> </w:t>
      </w:r>
      <w:r w:rsidR="0026107A">
        <w:rPr>
          <w:rFonts w:asciiTheme="minorHAnsi" w:eastAsia="SimSun" w:hAnsiTheme="minorHAnsi" w:cs="Arial"/>
          <w:sz w:val="22"/>
        </w:rPr>
        <w:t>As</w:t>
      </w:r>
      <w:r w:rsidR="0026107A" w:rsidRPr="00C30595">
        <w:rPr>
          <w:rFonts w:asciiTheme="minorHAnsi" w:eastAsia="SimSun" w:hAnsiTheme="minorHAnsi" w:cs="Arial"/>
          <w:sz w:val="22"/>
        </w:rPr>
        <w:t xml:space="preserve"> the </w:t>
      </w:r>
      <w:r w:rsidR="004C17BA">
        <w:rPr>
          <w:rFonts w:asciiTheme="minorHAnsi" w:eastAsia="SimSun" w:hAnsiTheme="minorHAnsi" w:cs="Arial"/>
          <w:sz w:val="22"/>
        </w:rPr>
        <w:t>‘</w:t>
      </w:r>
      <w:r w:rsidR="004C17BA" w:rsidRPr="004C17BA">
        <w:rPr>
          <w:rFonts w:asciiTheme="minorHAnsi" w:eastAsia="SimSun" w:hAnsiTheme="minorHAnsi" w:cs="Arial"/>
          <w:sz w:val="22"/>
        </w:rPr>
        <w:t>Tracking Residential Addiction Clients for Effectiveness Research (</w:t>
      </w:r>
      <w:r w:rsidR="0026107A" w:rsidRPr="00C30595">
        <w:rPr>
          <w:rFonts w:asciiTheme="minorHAnsi" w:eastAsia="SimSun" w:hAnsiTheme="minorHAnsi" w:cs="Arial"/>
          <w:sz w:val="22"/>
        </w:rPr>
        <w:t>TRACER</w:t>
      </w:r>
      <w:r w:rsidR="004C17BA">
        <w:rPr>
          <w:rFonts w:asciiTheme="minorHAnsi" w:eastAsia="SimSun" w:hAnsiTheme="minorHAnsi" w:cs="Arial"/>
          <w:sz w:val="22"/>
        </w:rPr>
        <w:t>)’</w:t>
      </w:r>
      <w:r w:rsidR="0026107A" w:rsidRPr="00C30595">
        <w:rPr>
          <w:rFonts w:asciiTheme="minorHAnsi" w:eastAsia="SimSun" w:hAnsiTheme="minorHAnsi" w:cs="Arial"/>
          <w:sz w:val="22"/>
        </w:rPr>
        <w:t xml:space="preserve"> study in the UK </w:t>
      </w:r>
      <w:r w:rsidR="0026107A">
        <w:rPr>
          <w:rFonts w:asciiTheme="minorHAnsi" w:eastAsia="SimSun" w:hAnsiTheme="minorHAnsi" w:cs="Arial"/>
          <w:sz w:val="22"/>
        </w:rPr>
        <w:t>has shown, gaining client consent for ongoing linkage work</w:t>
      </w:r>
      <w:r w:rsidR="0026107A" w:rsidRPr="00C30595">
        <w:rPr>
          <w:rFonts w:asciiTheme="minorHAnsi" w:eastAsia="SimSun" w:hAnsiTheme="minorHAnsi" w:cs="Arial"/>
          <w:sz w:val="22"/>
        </w:rPr>
        <w:t xml:space="preserve"> allow</w:t>
      </w:r>
      <w:r w:rsidR="0026107A">
        <w:rPr>
          <w:rFonts w:asciiTheme="minorHAnsi" w:eastAsia="SimSun" w:hAnsiTheme="minorHAnsi" w:cs="Arial"/>
          <w:sz w:val="22"/>
        </w:rPr>
        <w:t>s</w:t>
      </w:r>
      <w:r w:rsidR="0026107A" w:rsidRPr="00C30595">
        <w:rPr>
          <w:rFonts w:asciiTheme="minorHAnsi" w:eastAsia="SimSun" w:hAnsiTheme="minorHAnsi" w:cs="Arial"/>
          <w:sz w:val="22"/>
        </w:rPr>
        <w:t xml:space="preserve"> the mapping of long-term outcomes </w:t>
      </w:r>
      <w:r w:rsidR="0026107A">
        <w:rPr>
          <w:rFonts w:asciiTheme="minorHAnsi" w:eastAsia="SimSun" w:hAnsiTheme="minorHAnsi" w:cs="Arial"/>
          <w:sz w:val="22"/>
        </w:rPr>
        <w:t xml:space="preserve">while </w:t>
      </w:r>
      <w:r w:rsidR="0026107A" w:rsidRPr="00C30595">
        <w:rPr>
          <w:rFonts w:asciiTheme="minorHAnsi" w:eastAsia="SimSun" w:hAnsiTheme="minorHAnsi" w:cs="Arial"/>
          <w:sz w:val="22"/>
        </w:rPr>
        <w:t xml:space="preserve">requiring </w:t>
      </w:r>
      <w:r w:rsidR="0026107A">
        <w:rPr>
          <w:rFonts w:asciiTheme="minorHAnsi" w:eastAsia="SimSun" w:hAnsiTheme="minorHAnsi" w:cs="Arial"/>
          <w:sz w:val="22"/>
        </w:rPr>
        <w:t>only limited</w:t>
      </w:r>
      <w:r w:rsidR="0026107A" w:rsidRPr="00C30595">
        <w:rPr>
          <w:rFonts w:asciiTheme="minorHAnsi" w:eastAsia="SimSun" w:hAnsiTheme="minorHAnsi" w:cs="Arial"/>
          <w:sz w:val="22"/>
        </w:rPr>
        <w:t xml:space="preserve"> resources</w:t>
      </w:r>
      <w:r w:rsidR="0026107A">
        <w:rPr>
          <w:rFonts w:asciiTheme="minorHAnsi" w:eastAsia="SimSun" w:hAnsiTheme="minorHAnsi" w:cs="Arial"/>
          <w:sz w:val="22"/>
        </w:rPr>
        <w:t>, and is an important adjunct to treatment outcome research</w:t>
      </w:r>
      <w:r w:rsidR="0026107A" w:rsidRPr="00C30595">
        <w:rPr>
          <w:rFonts w:asciiTheme="minorHAnsi" w:eastAsia="SimSun" w:hAnsiTheme="minorHAnsi" w:cs="Arial"/>
          <w:i/>
          <w:sz w:val="22"/>
        </w:rPr>
        <w:t xml:space="preserve">. </w:t>
      </w:r>
      <w:r w:rsidR="0026107A">
        <w:rPr>
          <w:rFonts w:asciiTheme="minorHAnsi" w:eastAsia="SimSun" w:hAnsiTheme="minorHAnsi" w:cs="Arial"/>
          <w:sz w:val="22"/>
        </w:rPr>
        <w:t xml:space="preserve">Such data </w:t>
      </w:r>
      <w:r w:rsidR="001F26CB">
        <w:rPr>
          <w:rFonts w:asciiTheme="minorHAnsi" w:eastAsia="SimSun" w:hAnsiTheme="minorHAnsi" w:cs="Arial"/>
          <w:sz w:val="22"/>
        </w:rPr>
        <w:t xml:space="preserve">are </w:t>
      </w:r>
      <w:r w:rsidR="0026107A">
        <w:rPr>
          <w:rFonts w:asciiTheme="minorHAnsi" w:eastAsia="SimSun" w:hAnsiTheme="minorHAnsi" w:cs="Arial"/>
          <w:sz w:val="22"/>
        </w:rPr>
        <w:t>essential for sophisticated outcome monitoring, system planning and mapping of health care and welfare service utilisation to clinical outcomes.</w:t>
      </w:r>
    </w:p>
    <w:p w:rsidR="00BA6C75" w:rsidRPr="00BA6C75" w:rsidRDefault="00BA6C75" w:rsidP="00BA6C75">
      <w:pPr>
        <w:spacing w:after="80" w:line="240" w:lineRule="auto"/>
        <w:jc w:val="both"/>
        <w:rPr>
          <w:rFonts w:asciiTheme="minorHAnsi" w:eastAsia="SimSun" w:hAnsiTheme="minorHAnsi" w:cs="Arial"/>
          <w:i/>
        </w:rPr>
      </w:pPr>
    </w:p>
    <w:p w:rsidR="00BA6C75" w:rsidRDefault="0026107A" w:rsidP="00BA6C75">
      <w:pPr>
        <w:pStyle w:val="ListParagraph"/>
        <w:numPr>
          <w:ilvl w:val="0"/>
          <w:numId w:val="23"/>
        </w:numPr>
        <w:spacing w:after="80" w:line="240" w:lineRule="auto"/>
        <w:jc w:val="both"/>
        <w:rPr>
          <w:rFonts w:asciiTheme="minorHAnsi" w:eastAsia="SimSun" w:hAnsiTheme="minorHAnsi" w:cs="Arial"/>
          <w:sz w:val="22"/>
        </w:rPr>
      </w:pPr>
      <w:r w:rsidRPr="003C4681">
        <w:rPr>
          <w:rFonts w:asciiTheme="minorHAnsi" w:eastAsia="SimSun" w:hAnsiTheme="minorHAnsi" w:cs="Arial"/>
          <w:sz w:val="22"/>
        </w:rPr>
        <w:t xml:space="preserve"> </w:t>
      </w:r>
      <w:r>
        <w:rPr>
          <w:rFonts w:asciiTheme="minorHAnsi" w:eastAsia="SimSun" w:hAnsiTheme="minorHAnsi" w:cs="Arial"/>
          <w:i/>
          <w:sz w:val="22"/>
        </w:rPr>
        <w:t>Add a</w:t>
      </w:r>
      <w:r w:rsidRPr="003C4681">
        <w:rPr>
          <w:rFonts w:asciiTheme="minorHAnsi" w:eastAsia="SimSun" w:hAnsiTheme="minorHAnsi" w:cs="Arial"/>
          <w:i/>
          <w:sz w:val="22"/>
        </w:rPr>
        <w:t xml:space="preserve"> health economic</w:t>
      </w:r>
      <w:r>
        <w:rPr>
          <w:rFonts w:asciiTheme="minorHAnsi" w:eastAsia="SimSun" w:hAnsiTheme="minorHAnsi" w:cs="Arial"/>
          <w:i/>
          <w:sz w:val="22"/>
        </w:rPr>
        <w:t>s</w:t>
      </w:r>
      <w:r w:rsidRPr="003C4681">
        <w:rPr>
          <w:rFonts w:asciiTheme="minorHAnsi" w:eastAsia="SimSun" w:hAnsiTheme="minorHAnsi" w:cs="Arial"/>
          <w:i/>
          <w:sz w:val="22"/>
        </w:rPr>
        <w:t xml:space="preserve"> </w:t>
      </w:r>
      <w:r>
        <w:rPr>
          <w:rFonts w:asciiTheme="minorHAnsi" w:eastAsia="SimSun" w:hAnsiTheme="minorHAnsi" w:cs="Arial"/>
          <w:i/>
          <w:sz w:val="22"/>
        </w:rPr>
        <w:t>dimension</w:t>
      </w:r>
      <w:r w:rsidRPr="003C4681">
        <w:rPr>
          <w:rFonts w:asciiTheme="minorHAnsi" w:eastAsia="SimSun" w:hAnsiTheme="minorHAnsi" w:cs="Arial"/>
          <w:i/>
          <w:sz w:val="22"/>
        </w:rPr>
        <w:t xml:space="preserve"> to </w:t>
      </w:r>
      <w:r>
        <w:rPr>
          <w:rFonts w:asciiTheme="minorHAnsi" w:eastAsia="SimSun" w:hAnsiTheme="minorHAnsi" w:cs="Arial"/>
          <w:i/>
          <w:sz w:val="22"/>
        </w:rPr>
        <w:t xml:space="preserve">such </w:t>
      </w:r>
      <w:r w:rsidRPr="003C4681">
        <w:rPr>
          <w:rFonts w:asciiTheme="minorHAnsi" w:eastAsia="SimSun" w:hAnsiTheme="minorHAnsi" w:cs="Arial"/>
          <w:i/>
          <w:sz w:val="22"/>
        </w:rPr>
        <w:t xml:space="preserve">linkage </w:t>
      </w:r>
      <w:r>
        <w:rPr>
          <w:rFonts w:asciiTheme="minorHAnsi" w:eastAsia="SimSun" w:hAnsiTheme="minorHAnsi" w:cs="Arial"/>
          <w:i/>
          <w:sz w:val="22"/>
        </w:rPr>
        <w:t>studies</w:t>
      </w:r>
      <w:r w:rsidRPr="003C4681">
        <w:rPr>
          <w:rFonts w:asciiTheme="minorHAnsi" w:eastAsia="SimSun" w:hAnsiTheme="minorHAnsi" w:cs="Arial"/>
          <w:i/>
          <w:sz w:val="22"/>
        </w:rPr>
        <w:t xml:space="preserve">. </w:t>
      </w:r>
      <w:r w:rsidRPr="00C30595">
        <w:rPr>
          <w:rFonts w:asciiTheme="minorHAnsi" w:eastAsia="SimSun" w:hAnsiTheme="minorHAnsi" w:cs="Arial"/>
          <w:sz w:val="22"/>
        </w:rPr>
        <w:t>The linkage data offer an ideal platform for a health economic</w:t>
      </w:r>
      <w:r>
        <w:rPr>
          <w:rFonts w:asciiTheme="minorHAnsi" w:eastAsia="SimSun" w:hAnsiTheme="minorHAnsi" w:cs="Arial"/>
          <w:sz w:val="22"/>
        </w:rPr>
        <w:t>s</w:t>
      </w:r>
      <w:r w:rsidRPr="00C30595">
        <w:rPr>
          <w:rFonts w:asciiTheme="minorHAnsi" w:eastAsia="SimSun" w:hAnsiTheme="minorHAnsi" w:cs="Arial"/>
          <w:sz w:val="22"/>
        </w:rPr>
        <w:t xml:space="preserve"> analysis of the savings associated with treatment engagement and completion by treatment type. The </w:t>
      </w:r>
      <w:r>
        <w:rPr>
          <w:rFonts w:asciiTheme="minorHAnsi" w:eastAsia="SimSun" w:hAnsiTheme="minorHAnsi" w:cs="Arial"/>
          <w:sz w:val="22"/>
        </w:rPr>
        <w:t xml:space="preserve">linkage </w:t>
      </w:r>
      <w:r w:rsidRPr="00C30595">
        <w:rPr>
          <w:rFonts w:asciiTheme="minorHAnsi" w:eastAsia="SimSun" w:hAnsiTheme="minorHAnsi" w:cs="Arial"/>
          <w:sz w:val="22"/>
        </w:rPr>
        <w:t xml:space="preserve">data presented here </w:t>
      </w:r>
      <w:r>
        <w:rPr>
          <w:rFonts w:asciiTheme="minorHAnsi" w:eastAsia="SimSun" w:hAnsiTheme="minorHAnsi" w:cs="Arial"/>
          <w:sz w:val="22"/>
        </w:rPr>
        <w:t>demonstrate</w:t>
      </w:r>
      <w:r w:rsidRPr="00C30595">
        <w:rPr>
          <w:rFonts w:asciiTheme="minorHAnsi" w:eastAsia="SimSun" w:hAnsiTheme="minorHAnsi" w:cs="Arial"/>
          <w:sz w:val="22"/>
        </w:rPr>
        <w:t xml:space="preserve"> significant benefits in reduced acute health care utilisation</w:t>
      </w:r>
      <w:r>
        <w:rPr>
          <w:rFonts w:asciiTheme="minorHAnsi" w:eastAsia="SimSun" w:hAnsiTheme="minorHAnsi" w:cs="Arial"/>
          <w:sz w:val="22"/>
        </w:rPr>
        <w:t>,</w:t>
      </w:r>
      <w:r w:rsidRPr="00C30595">
        <w:rPr>
          <w:rFonts w:asciiTheme="minorHAnsi" w:eastAsia="SimSun" w:hAnsiTheme="minorHAnsi" w:cs="Arial"/>
          <w:sz w:val="22"/>
        </w:rPr>
        <w:t xml:space="preserve"> and it would be a key next step to assess its economic impact using both linkage and self-reported outcome data.</w:t>
      </w:r>
    </w:p>
    <w:p w:rsidR="00BA6C75" w:rsidRPr="00BA6C75" w:rsidRDefault="00BA6C75" w:rsidP="00BA6C75">
      <w:pPr>
        <w:spacing w:after="80" w:line="240" w:lineRule="auto"/>
        <w:jc w:val="both"/>
        <w:rPr>
          <w:rFonts w:asciiTheme="minorHAnsi" w:eastAsia="SimSun" w:hAnsiTheme="minorHAnsi" w:cs="Arial"/>
        </w:rPr>
      </w:pPr>
    </w:p>
    <w:p w:rsidR="0026107A" w:rsidRDefault="0026107A" w:rsidP="0026107A">
      <w:pPr>
        <w:numPr>
          <w:ilvl w:val="0"/>
          <w:numId w:val="23"/>
        </w:numPr>
        <w:spacing w:after="80" w:line="240" w:lineRule="auto"/>
        <w:jc w:val="both"/>
        <w:rPr>
          <w:rFonts w:asciiTheme="minorHAnsi" w:eastAsia="SimSun" w:hAnsiTheme="minorHAnsi" w:cs="Arial"/>
        </w:rPr>
      </w:pPr>
      <w:r>
        <w:rPr>
          <w:rFonts w:asciiTheme="minorHAnsi" w:eastAsia="SimSun" w:hAnsiTheme="minorHAnsi" w:cs="Arial"/>
        </w:rPr>
        <w:t xml:space="preserve"> </w:t>
      </w:r>
      <w:r>
        <w:rPr>
          <w:rFonts w:asciiTheme="minorHAnsi" w:eastAsia="SimSun" w:hAnsiTheme="minorHAnsi" w:cs="Arial"/>
          <w:i/>
        </w:rPr>
        <w:t>Explore longer-term outcomes and pathways following AOD treatment</w:t>
      </w:r>
      <w:r w:rsidRPr="001D44C4">
        <w:rPr>
          <w:rFonts w:asciiTheme="minorHAnsi" w:eastAsia="SimSun" w:hAnsiTheme="minorHAnsi" w:cs="Arial"/>
          <w:i/>
        </w:rPr>
        <w:t>.</w:t>
      </w:r>
      <w:r>
        <w:rPr>
          <w:rFonts w:asciiTheme="minorHAnsi" w:eastAsia="SimSun" w:hAnsiTheme="minorHAnsi" w:cs="Arial"/>
        </w:rPr>
        <w:t xml:space="preserve"> </w:t>
      </w:r>
      <w:r w:rsidRPr="00516DA3">
        <w:rPr>
          <w:rFonts w:asciiTheme="minorHAnsi" w:eastAsia="SimSun" w:hAnsiTheme="minorHAnsi" w:cs="Arial"/>
        </w:rPr>
        <w:t xml:space="preserve">Given </w:t>
      </w:r>
      <w:r>
        <w:rPr>
          <w:rFonts w:asciiTheme="minorHAnsi" w:eastAsia="SimSun" w:hAnsiTheme="minorHAnsi" w:cs="Arial"/>
        </w:rPr>
        <w:t xml:space="preserve">international research highlighting the broader benefits of treatment over time (up to 9 years), </w:t>
      </w:r>
      <w:r w:rsidRPr="00516DA3">
        <w:rPr>
          <w:rFonts w:asciiTheme="minorHAnsi" w:eastAsia="SimSun" w:hAnsiTheme="minorHAnsi" w:cs="Arial"/>
        </w:rPr>
        <w:t>it is important that a further wave of follow-up is conducted to effectively measure the full impact of treatment</w:t>
      </w:r>
      <w:r>
        <w:rPr>
          <w:rFonts w:asciiTheme="minorHAnsi" w:eastAsia="SimSun" w:hAnsiTheme="minorHAnsi" w:cs="Arial"/>
        </w:rPr>
        <w:t xml:space="preserve"> pathways</w:t>
      </w:r>
      <w:r w:rsidRPr="00516DA3">
        <w:rPr>
          <w:rFonts w:asciiTheme="minorHAnsi" w:eastAsia="SimSun" w:hAnsiTheme="minorHAnsi" w:cs="Arial"/>
        </w:rPr>
        <w:t xml:space="preserve"> and map trajectories of recovery.</w:t>
      </w:r>
      <w:r>
        <w:rPr>
          <w:rFonts w:asciiTheme="minorHAnsi" w:eastAsia="SimSun" w:hAnsiTheme="minorHAnsi" w:cs="Arial"/>
        </w:rPr>
        <w:t xml:space="preserve"> Such work is particularly relevant here given that the majority of clients were still engaged with treatment services at the one year follow-up, and the full benefits of treatment engagement are unlikely to have been fully realised.</w:t>
      </w:r>
    </w:p>
    <w:p w:rsidR="0026107A" w:rsidRDefault="0026107A" w:rsidP="0026107A">
      <w:pPr>
        <w:spacing w:after="80" w:line="240" w:lineRule="auto"/>
        <w:jc w:val="both"/>
        <w:rPr>
          <w:rFonts w:asciiTheme="minorHAnsi" w:eastAsia="SimSun" w:hAnsiTheme="minorHAnsi" w:cs="Arial"/>
        </w:rPr>
      </w:pPr>
    </w:p>
    <w:p w:rsidR="0026107A" w:rsidRPr="001D44C4" w:rsidRDefault="0026107A" w:rsidP="0026107A">
      <w:pPr>
        <w:numPr>
          <w:ilvl w:val="0"/>
          <w:numId w:val="23"/>
        </w:numPr>
        <w:shd w:val="clear" w:color="auto" w:fill="FFFFFF"/>
        <w:spacing w:after="166" w:line="240" w:lineRule="auto"/>
        <w:jc w:val="both"/>
        <w:rPr>
          <w:rFonts w:asciiTheme="minorHAnsi" w:eastAsia="SimSun" w:hAnsiTheme="minorHAnsi" w:cs="Arial"/>
          <w:i/>
        </w:rPr>
      </w:pPr>
      <w:r>
        <w:rPr>
          <w:rFonts w:asciiTheme="minorHAnsi" w:eastAsia="SimSun" w:hAnsiTheme="minorHAnsi" w:cs="Arial"/>
          <w:i/>
        </w:rPr>
        <w:t xml:space="preserve"> Ongoing</w:t>
      </w:r>
      <w:r w:rsidRPr="001D44C4">
        <w:rPr>
          <w:rFonts w:asciiTheme="minorHAnsi" w:eastAsia="SimSun" w:hAnsiTheme="minorHAnsi" w:cs="Arial"/>
          <w:i/>
        </w:rPr>
        <w:t xml:space="preserve"> i</w:t>
      </w:r>
      <w:r>
        <w:rPr>
          <w:rFonts w:asciiTheme="minorHAnsi" w:eastAsia="SimSun" w:hAnsiTheme="minorHAnsi" w:cs="Arial"/>
          <w:i/>
        </w:rPr>
        <w:t xml:space="preserve">nvestment in treatment systems research. </w:t>
      </w:r>
      <w:r w:rsidRPr="008F1B71">
        <w:rPr>
          <w:rFonts w:asciiTheme="minorHAnsi" w:eastAsia="SimSun" w:hAnsiTheme="minorHAnsi" w:cs="Arial"/>
        </w:rPr>
        <w:t>The present study</w:t>
      </w:r>
      <w:r>
        <w:rPr>
          <w:rFonts w:asciiTheme="minorHAnsi" w:eastAsia="SimSun" w:hAnsiTheme="minorHAnsi" w:cs="Arial"/>
        </w:rPr>
        <w:t xml:space="preserve"> highlights the importance of treatment systems research that considers the effectiveness of the AOD service sector itself, as well as being an integral component of a broader health and welfare system. Such studies are needed to complement the already well-established tradition of controlled studies of particular treatment modalities, which by design tell us little about the influence of context (e.g., setting, funding, workforce) and implementation challenges. Further investment in treatment system research is essential for informing the design of the Australian AOD sector, and identifying the strengths and weaknesses of particular models of care. One opportunity that exists, but is as yet unexplored, is comparing the e</w:t>
      </w:r>
      <w:r w:rsidRPr="007D2630">
        <w:rPr>
          <w:rFonts w:asciiTheme="minorHAnsi" w:eastAsia="SimSun" w:hAnsiTheme="minorHAnsi" w:cs="Arial"/>
        </w:rPr>
        <w:t xml:space="preserve">xisting </w:t>
      </w:r>
      <w:r>
        <w:rPr>
          <w:rFonts w:asciiTheme="minorHAnsi" w:eastAsia="SimSun" w:hAnsiTheme="minorHAnsi" w:cs="Arial"/>
        </w:rPr>
        <w:t>j</w:t>
      </w:r>
      <w:r w:rsidRPr="00CD4475">
        <w:rPr>
          <w:rFonts w:asciiTheme="minorHAnsi" w:eastAsia="SimSun" w:hAnsiTheme="minorHAnsi" w:cs="Arial"/>
        </w:rPr>
        <w:t>urisdictional</w:t>
      </w:r>
      <w:r w:rsidRPr="001D44C4">
        <w:rPr>
          <w:rFonts w:asciiTheme="minorHAnsi" w:eastAsia="SimSun" w:hAnsiTheme="minorHAnsi" w:cs="Arial"/>
          <w:i/>
        </w:rPr>
        <w:t xml:space="preserve"> </w:t>
      </w:r>
      <w:r w:rsidRPr="007D2630">
        <w:rPr>
          <w:rFonts w:asciiTheme="minorHAnsi" w:eastAsia="SimSun" w:hAnsiTheme="minorHAnsi" w:cs="Arial"/>
        </w:rPr>
        <w:t>differences</w:t>
      </w:r>
      <w:r>
        <w:rPr>
          <w:rFonts w:asciiTheme="minorHAnsi" w:eastAsia="SimSun" w:hAnsiTheme="minorHAnsi" w:cs="Arial"/>
        </w:rPr>
        <w:t xml:space="preserve"> in the configuration of the AOD treatment system to inform </w:t>
      </w:r>
      <w:r w:rsidRPr="007D2630">
        <w:rPr>
          <w:rFonts w:asciiTheme="minorHAnsi" w:eastAsia="SimSun" w:hAnsiTheme="minorHAnsi" w:cs="Arial"/>
        </w:rPr>
        <w:t>the most effective</w:t>
      </w:r>
      <w:r>
        <w:rPr>
          <w:rFonts w:asciiTheme="minorHAnsi" w:eastAsia="SimSun" w:hAnsiTheme="minorHAnsi" w:cs="Arial"/>
        </w:rPr>
        <w:t xml:space="preserve"> system design</w:t>
      </w:r>
      <w:r w:rsidRPr="007D2630">
        <w:rPr>
          <w:rFonts w:asciiTheme="minorHAnsi" w:eastAsia="SimSun" w:hAnsiTheme="minorHAnsi" w:cs="Arial"/>
        </w:rPr>
        <w:t xml:space="preserve"> </w:t>
      </w:r>
      <w:r>
        <w:rPr>
          <w:rFonts w:asciiTheme="minorHAnsi" w:eastAsia="SimSun" w:hAnsiTheme="minorHAnsi" w:cs="Arial"/>
        </w:rPr>
        <w:t xml:space="preserve">at a national level. Further research is also needed on how best to support the broader health and welfare system in enhancing client outcomes and reducing societal costs. </w:t>
      </w:r>
    </w:p>
    <w:p w:rsidR="0026107A" w:rsidRPr="001D44C4" w:rsidRDefault="0026107A" w:rsidP="0026107A">
      <w:pPr>
        <w:shd w:val="clear" w:color="auto" w:fill="FFFFFF"/>
        <w:spacing w:after="166" w:line="240" w:lineRule="auto"/>
        <w:ind w:left="720"/>
        <w:jc w:val="both"/>
        <w:rPr>
          <w:rFonts w:asciiTheme="minorHAnsi" w:eastAsia="SimSun" w:hAnsiTheme="minorHAnsi" w:cs="Arial"/>
          <w:i/>
        </w:rPr>
      </w:pPr>
    </w:p>
    <w:p w:rsidR="008C03AA" w:rsidRDefault="008C03AA" w:rsidP="00A539EC">
      <w:pPr>
        <w:pStyle w:val="FAREnormaltext"/>
        <w:sectPr w:rsidR="008C03AA" w:rsidSect="00C369A8">
          <w:headerReference w:type="default" r:id="rId16"/>
          <w:headerReference w:type="first" r:id="rId17"/>
          <w:pgSz w:w="11906" w:h="16838"/>
          <w:pgMar w:top="1440" w:right="1440" w:bottom="1440" w:left="1440" w:header="708" w:footer="708" w:gutter="0"/>
          <w:pgNumType w:fmt="upperRoman" w:start="1"/>
          <w:cols w:space="708"/>
          <w:docGrid w:linePitch="360"/>
        </w:sectPr>
      </w:pPr>
    </w:p>
    <w:p w:rsidR="00901D28" w:rsidRPr="00C2662D" w:rsidRDefault="00901D28" w:rsidP="00C2662D">
      <w:pPr>
        <w:pStyle w:val="Heading1"/>
      </w:pPr>
      <w:bookmarkStart w:id="61" w:name="_Toc398105037"/>
      <w:r w:rsidRPr="00C2662D">
        <w:lastRenderedPageBreak/>
        <w:t>Introduction and overview</w:t>
      </w:r>
      <w:bookmarkEnd w:id="59"/>
      <w:bookmarkEnd w:id="61"/>
      <w:r w:rsidRPr="00C2662D">
        <w:t xml:space="preserve"> </w:t>
      </w:r>
    </w:p>
    <w:p w:rsidR="00DF4F77" w:rsidRDefault="00DF4F77" w:rsidP="00DF4F77">
      <w:pPr>
        <w:pStyle w:val="FAREnormaltext"/>
      </w:pPr>
      <w:r w:rsidRPr="00F5760F">
        <w:t>This report summarises a major program of work undertaken by Turning Point in partnership with the National Drug Research Institute</w:t>
      </w:r>
      <w:r w:rsidR="006C4481">
        <w:t xml:space="preserve"> (NDRI)</w:t>
      </w:r>
      <w:r w:rsidR="00151364">
        <w:t>, and Monash University</w:t>
      </w:r>
      <w:r w:rsidRPr="00F5760F">
        <w:t xml:space="preserve"> and is part of a larger program of </w:t>
      </w:r>
      <w:r w:rsidR="00C61B72">
        <w:t>alcohol and other drug (</w:t>
      </w:r>
      <w:r w:rsidRPr="00F5760F">
        <w:t>AOD</w:t>
      </w:r>
      <w:r w:rsidR="00C61B72">
        <w:t>)</w:t>
      </w:r>
      <w:r w:rsidRPr="00F5760F">
        <w:t xml:space="preserve"> research funded by the Commonwealth. </w:t>
      </w:r>
      <w:r w:rsidR="00D121B6">
        <w:t>It is part of a wider program of research funded by the Commonwealth Government that includes:</w:t>
      </w:r>
    </w:p>
    <w:p w:rsidR="00D121B6" w:rsidRDefault="00D121B6" w:rsidP="0026107A">
      <w:pPr>
        <w:pStyle w:val="FAREnormaltext"/>
        <w:numPr>
          <w:ilvl w:val="0"/>
          <w:numId w:val="22"/>
        </w:numPr>
      </w:pPr>
      <w:r>
        <w:t xml:space="preserve">The development of a quality framework for funded specialist AOD services (also a consortium project led by Turning Point) </w:t>
      </w:r>
    </w:p>
    <w:p w:rsidR="00D121B6" w:rsidRDefault="00D121B6" w:rsidP="0026107A">
      <w:pPr>
        <w:pStyle w:val="FAREnormaltext"/>
        <w:numPr>
          <w:ilvl w:val="0"/>
          <w:numId w:val="22"/>
        </w:numPr>
      </w:pPr>
      <w:r>
        <w:t>A review of AOD treatment services and underpinning funding arrangements (undertaken by DPMP)</w:t>
      </w:r>
    </w:p>
    <w:p w:rsidR="00D121B6" w:rsidRPr="00F5760F" w:rsidRDefault="00D121B6" w:rsidP="0026107A">
      <w:pPr>
        <w:pStyle w:val="FAREnormaltext"/>
        <w:numPr>
          <w:ilvl w:val="0"/>
          <w:numId w:val="22"/>
        </w:numPr>
      </w:pPr>
      <w:r>
        <w:t>A review of workforce development processes and practices (undertaken by NCETA)</w:t>
      </w:r>
      <w:r w:rsidR="00084E6F">
        <w:t>.</w:t>
      </w:r>
    </w:p>
    <w:p w:rsidR="00DF4F77" w:rsidRPr="007925F3" w:rsidRDefault="00DF4F77" w:rsidP="00C2662D">
      <w:pPr>
        <w:keepNext/>
        <w:keepLines/>
        <w:spacing w:before="120" w:after="120" w:line="240" w:lineRule="auto"/>
        <w:outlineLvl w:val="1"/>
        <w:rPr>
          <w:rFonts w:ascii="Cambria" w:eastAsia="SimSun" w:hAnsi="Cambria"/>
          <w:bCs/>
          <w:i/>
          <w:sz w:val="24"/>
          <w:szCs w:val="24"/>
        </w:rPr>
      </w:pPr>
      <w:r w:rsidRPr="007925F3">
        <w:rPr>
          <w:rFonts w:ascii="Cambria" w:eastAsia="SimSun" w:hAnsi="Cambria"/>
          <w:bCs/>
          <w:i/>
          <w:sz w:val="24"/>
          <w:szCs w:val="24"/>
        </w:rPr>
        <w:t>Extent of the problem and help seeking</w:t>
      </w:r>
    </w:p>
    <w:p w:rsidR="006F77B8" w:rsidRDefault="00DF4F77" w:rsidP="00DF4F77">
      <w:pPr>
        <w:pStyle w:val="FAREnormaltext"/>
      </w:pPr>
      <w:r w:rsidRPr="00563A69">
        <w:t>Alcohol and drug misuse is a significant issue for Australia. According to the 2010 National Drug Strategy Household Survey (AIHW, 2011),</w:t>
      </w:r>
      <w:r w:rsidR="003015AC">
        <w:t xml:space="preserve"> one in five</w:t>
      </w:r>
      <w:r w:rsidRPr="00563A69">
        <w:t xml:space="preserve"> (20.1%) </w:t>
      </w:r>
      <w:r w:rsidR="00B83433">
        <w:t>Australians</w:t>
      </w:r>
      <w:r w:rsidR="00B83433" w:rsidRPr="00563A69">
        <w:t xml:space="preserve"> </w:t>
      </w:r>
      <w:r w:rsidRPr="00563A69">
        <w:t xml:space="preserve">consumed alcohol at levels that put them at risk of harm over their lifetime (more than </w:t>
      </w:r>
      <w:r w:rsidR="003015AC">
        <w:t>two</w:t>
      </w:r>
      <w:r w:rsidRPr="00563A69">
        <w:t xml:space="preserve"> standard drinks a day on average), with 28.4% drinking at least once a month at levels that put them at risk of accident or injury (more than 4 standard drinks in a session). </w:t>
      </w:r>
      <w:r w:rsidR="0082223B" w:rsidRPr="00563A69">
        <w:t xml:space="preserve">Recent illicit drug use (past year) was reported by 14.7% of those aged 14 and above, including cannabis (10.3%), pharmaceuticals for non-medical purposes (4.2%), ecstasy (3%), </w:t>
      </w:r>
      <w:r w:rsidR="0082223B">
        <w:t>amphetamines (2.1%),</w:t>
      </w:r>
      <w:r w:rsidR="0082223B" w:rsidRPr="00563A69">
        <w:t xml:space="preserve"> cocaine (2.1%), hallucinogens (1.4%), and with heroin used by 0.2% in the last 12 months.</w:t>
      </w:r>
      <w:r w:rsidRPr="00563A69">
        <w:t xml:space="preserve"> </w:t>
      </w:r>
    </w:p>
    <w:p w:rsidR="00DF4F77" w:rsidRPr="00563A69" w:rsidRDefault="00DF4F77" w:rsidP="00DF4F77">
      <w:pPr>
        <w:pStyle w:val="FAREnormaltext"/>
      </w:pPr>
      <w:r w:rsidRPr="00563A69">
        <w:t xml:space="preserve">In 2007, the National Survey of Mental Health and Wellbeing showed that one in </w:t>
      </w:r>
      <w:r w:rsidR="003015AC">
        <w:t>20</w:t>
      </w:r>
      <w:r w:rsidRPr="00563A69">
        <w:t xml:space="preserve"> Australians (5.1%) met</w:t>
      </w:r>
      <w:r w:rsidR="00E36F2D">
        <w:t xml:space="preserve"> the</w:t>
      </w:r>
      <w:r w:rsidRPr="00563A69">
        <w:t xml:space="preserve"> criteria for a substance use disorder, including more than one tenth (12.7%) of those aged 16-24 years (</w:t>
      </w:r>
      <w:proofErr w:type="spellStart"/>
      <w:r w:rsidRPr="00563A69">
        <w:t>Reavley</w:t>
      </w:r>
      <w:proofErr w:type="spellEnd"/>
      <w:r w:rsidRPr="00563A69">
        <w:t xml:space="preserve"> et </w:t>
      </w:r>
      <w:r w:rsidR="008758D0" w:rsidRPr="00563A69">
        <w:t>al</w:t>
      </w:r>
      <w:r w:rsidR="008758D0">
        <w:t>.</w:t>
      </w:r>
      <w:r w:rsidRPr="00563A69">
        <w:t>, 2010). The most recent analysis of burden of disease for Australia, in 2003, showed that alcohol accounted for 3.3% of the burden of disease, while 2% was attributed to illicit drug use (</w:t>
      </w:r>
      <w:proofErr w:type="spellStart"/>
      <w:r w:rsidRPr="00563A69">
        <w:t>Begg</w:t>
      </w:r>
      <w:proofErr w:type="spellEnd"/>
      <w:r w:rsidRPr="00563A69">
        <w:t xml:space="preserve"> et al</w:t>
      </w:r>
      <w:r w:rsidR="008758D0">
        <w:t>.</w:t>
      </w:r>
      <w:r w:rsidRPr="00563A69">
        <w:t xml:space="preserve">, 2007). This burden is significantly reduced when individuals with alcohol or drug problems engage in specialist </w:t>
      </w:r>
      <w:r w:rsidRPr="00D57802">
        <w:t>AOD treatment (</w:t>
      </w:r>
      <w:proofErr w:type="spellStart"/>
      <w:r w:rsidR="00EE4C37" w:rsidRPr="00D57802">
        <w:t>Teesson</w:t>
      </w:r>
      <w:proofErr w:type="spellEnd"/>
      <w:r w:rsidR="00EE4C37" w:rsidRPr="00D57802">
        <w:t xml:space="preserve"> et al. 2008</w:t>
      </w:r>
      <w:r w:rsidR="00D57802" w:rsidRPr="00D57802">
        <w:t>;</w:t>
      </w:r>
      <w:r w:rsidR="00EE4C37" w:rsidRPr="00D57802">
        <w:t xml:space="preserve"> </w:t>
      </w:r>
      <w:proofErr w:type="spellStart"/>
      <w:r w:rsidR="00EE4C37" w:rsidRPr="00D57802">
        <w:t>McKetin</w:t>
      </w:r>
      <w:proofErr w:type="spellEnd"/>
      <w:r w:rsidR="00EE4C37" w:rsidRPr="00D57802">
        <w:t xml:space="preserve"> et al 2012</w:t>
      </w:r>
      <w:r w:rsidR="00D57802" w:rsidRPr="00D57802">
        <w:t>;</w:t>
      </w:r>
      <w:r w:rsidR="00EE4C37" w:rsidRPr="00D57802">
        <w:t xml:space="preserve"> </w:t>
      </w:r>
      <w:proofErr w:type="spellStart"/>
      <w:r w:rsidR="00EE4C37" w:rsidRPr="00D57802">
        <w:t>Gossop</w:t>
      </w:r>
      <w:proofErr w:type="spellEnd"/>
      <w:r w:rsidR="00EE4C37" w:rsidRPr="00D57802">
        <w:t xml:space="preserve"> et al 20</w:t>
      </w:r>
      <w:r w:rsidR="00D57802" w:rsidRPr="00D57802">
        <w:t xml:space="preserve">00; </w:t>
      </w:r>
      <w:proofErr w:type="spellStart"/>
      <w:r w:rsidR="00D57802" w:rsidRPr="00D57802">
        <w:t>Donmall</w:t>
      </w:r>
      <w:proofErr w:type="spellEnd"/>
      <w:r w:rsidR="00D57802" w:rsidRPr="00D57802">
        <w:t xml:space="preserve"> et al, 2009)</w:t>
      </w:r>
      <w:r w:rsidRPr="00D57802">
        <w:t>.</w:t>
      </w:r>
      <w:r w:rsidRPr="00563A69">
        <w:t xml:space="preserve"> </w:t>
      </w:r>
    </w:p>
    <w:p w:rsidR="006F77B8" w:rsidRPr="007A4CA5" w:rsidRDefault="00777F47" w:rsidP="007A4CA5">
      <w:pPr>
        <w:pStyle w:val="FAREnormaltext"/>
      </w:pPr>
      <w:r w:rsidRPr="007A4CA5">
        <w:t xml:space="preserve">A report by the Australian Institute of Health and Welfare (2013) indicates that a total of 659 AOD </w:t>
      </w:r>
      <w:r w:rsidR="00C61B72" w:rsidRPr="007A4CA5">
        <w:t>a</w:t>
      </w:r>
      <w:r w:rsidRPr="007A4CA5">
        <w:t>gencies provided 153,668 episodes of treatment that were closed in 2011–12, of wh</w:t>
      </w:r>
      <w:r w:rsidR="00C61B72" w:rsidRPr="007A4CA5">
        <w:t>ich</w:t>
      </w:r>
      <w:r w:rsidRPr="007A4CA5">
        <w:t xml:space="preserve"> two-thirds (68%) were for male clients. More than three-quarters (78%) of closed episodes ended within </w:t>
      </w:r>
      <w:r w:rsidR="003015AC" w:rsidRPr="007A4CA5">
        <w:t xml:space="preserve">three </w:t>
      </w:r>
      <w:r w:rsidRPr="007A4CA5">
        <w:t xml:space="preserve">months, more than half (53%) ended within </w:t>
      </w:r>
      <w:r w:rsidR="003015AC" w:rsidRPr="007A4CA5">
        <w:t>one</w:t>
      </w:r>
      <w:r w:rsidRPr="007A4CA5">
        <w:t xml:space="preserve"> month</w:t>
      </w:r>
      <w:r w:rsidR="003015AC" w:rsidRPr="007A4CA5">
        <w:t>, one-fifth (21%) ended within one</w:t>
      </w:r>
      <w:r w:rsidRPr="007A4CA5">
        <w:t xml:space="preserve"> day and only </w:t>
      </w:r>
      <w:r w:rsidR="003015AC" w:rsidRPr="007A4CA5">
        <w:t xml:space="preserve">one in 11 (9%) lasted six </w:t>
      </w:r>
      <w:r w:rsidRPr="007A4CA5">
        <w:t xml:space="preserve">months or longer. Alcohol was the most common principal drug of concern (46%), followed by cannabis (22%), amphetamines (11%) and heroin (9%), though in 4 out of 5 (81%) closed episodes, the client reported additional drugs of concern. Of these, 34% reported </w:t>
      </w:r>
      <w:r w:rsidR="00DD3DCE" w:rsidRPr="007A4CA5">
        <w:t>one</w:t>
      </w:r>
      <w:r w:rsidRPr="007A4CA5">
        <w:t xml:space="preserve"> additional drug and 24% reported </w:t>
      </w:r>
      <w:r w:rsidR="00DD3DCE" w:rsidRPr="007A4CA5">
        <w:t>two</w:t>
      </w:r>
      <w:r w:rsidRPr="007A4CA5">
        <w:t xml:space="preserve">. Nicotine (21%) was the second most common additional drug after cannabis (22%), but it was the principal drug for only 1% of episodes. </w:t>
      </w:r>
    </w:p>
    <w:p w:rsidR="00777F47" w:rsidRPr="007A4CA5" w:rsidRDefault="00777F47" w:rsidP="007A4CA5">
      <w:pPr>
        <w:pStyle w:val="FAREnormaltext"/>
      </w:pPr>
      <w:r w:rsidRPr="007A4CA5">
        <w:t xml:space="preserve">Alcohol was the most common principal drug of concern in all states and territories and cannabis the second in all states and territories except South Australia, where amphetamines were more common. Counselling was the most common type of treatment in 43% of episodes. Withdrawal </w:t>
      </w:r>
      <w:r w:rsidRPr="007A4CA5">
        <w:lastRenderedPageBreak/>
        <w:t>management and assessment only were also common</w:t>
      </w:r>
      <w:r w:rsidR="006F77B8" w:rsidRPr="007A4CA5">
        <w:t>:</w:t>
      </w:r>
      <w:r w:rsidRPr="007A4CA5">
        <w:t xml:space="preserve"> withdrawal management was a treatment type in 18% of episodes and the main treatment type in 17%, while assessment only was the main treatment type in 14% of episodes. Alcohol was the most common principal drug for most treatment types, although cannabis (50%) was the most common principal drug in episodes among services providing information and education only. Nationally, the most common source of referral for clients receiving treatment for their own drug use in 2011–12 was self or family (41%), in all states and territories except South Australia. The report provides a breakdown of service use by states and territories. Whilst the median length of episodes of care nationally was 26 days, Victoria had the highest median length of episodes of care at 38 days and South Australia the shortest at just 8 days; the proportion of episodes of care that closed within three months ranged from 72% in Queensland to 81% in Victoria. </w:t>
      </w:r>
    </w:p>
    <w:p w:rsidR="006F77B8" w:rsidRDefault="00DD3DCE" w:rsidP="00777F47">
      <w:pPr>
        <w:jc w:val="both"/>
      </w:pPr>
      <w:r>
        <w:t xml:space="preserve">Victoria: </w:t>
      </w:r>
      <w:r w:rsidR="00777F47" w:rsidRPr="00777F47">
        <w:t xml:space="preserve">Among the two states that are the focus of the current project, Victorian AOD agencies provided 50,004 episodes of treatment that were closed in 2011-12, of whom almost two-thirds (66%) were male. Similarly, 66% of the 17,403 episodes of care provided by AOD agencies in Western Australia were for males. In Victoria, alcohol was the most common principal drug of concern (45%), followed by cannabis (23%), heroin (12%) and amphetamines (10%). When taking into account both principal and </w:t>
      </w:r>
      <w:proofErr w:type="gramStart"/>
      <w:r w:rsidR="00777F47" w:rsidRPr="00777F47">
        <w:t>additional drugs of concern, alcohol was</w:t>
      </w:r>
      <w:proofErr w:type="gramEnd"/>
      <w:r w:rsidR="00777F47" w:rsidRPr="00777F47">
        <w:t xml:space="preserve"> still the most common substance, accounting for 66% of episodes, whilst cannabis (49%) and amphetamines (26%) were also high. </w:t>
      </w:r>
    </w:p>
    <w:p w:rsidR="00777F47" w:rsidRPr="00777F47" w:rsidRDefault="006F77B8" w:rsidP="00777F47">
      <w:pPr>
        <w:jc w:val="both"/>
      </w:pPr>
      <w:r>
        <w:t xml:space="preserve">Western Australia: </w:t>
      </w:r>
      <w:r w:rsidR="00777F47" w:rsidRPr="00777F47">
        <w:t xml:space="preserve">Alcohol was the most common principal drug of concern in WA, accounting for 43% of episodes, followed by cannabis (21%), amphetamines (18%) and heroin (8%). Again, when taking into account both principal and </w:t>
      </w:r>
      <w:proofErr w:type="gramStart"/>
      <w:r w:rsidR="00777F47" w:rsidRPr="00777F47">
        <w:t>additional drugs of concern, alcohol was</w:t>
      </w:r>
      <w:proofErr w:type="gramEnd"/>
      <w:r w:rsidR="00777F47" w:rsidRPr="00777F47">
        <w:t xml:space="preserve"> still the most common (65%), followed by cannabis (43%), amphetamines (34%) and nicotine (30%). Similar to the national average, counselling was the most common type of primary treatment in Victoria, accounting for 54% of closed episodes, followed by withdrawal management (21%) and support and case management only (12%). Similarly, in WA counselling was again the most common type of main treatment, but accounted for a higher proportion (60%) of the main treatment types than</w:t>
      </w:r>
      <w:r w:rsidR="00723D30">
        <w:t xml:space="preserve"> in</w:t>
      </w:r>
      <w:r w:rsidR="00777F47" w:rsidRPr="00777F47">
        <w:t xml:space="preserve"> Victoria, and nationally. Withdrawal management was also the second highest main treatment type in WA (14%). </w:t>
      </w:r>
    </w:p>
    <w:p w:rsidR="00DF4F77" w:rsidRPr="007925F3" w:rsidRDefault="00DF4F77" w:rsidP="00C2662D">
      <w:pPr>
        <w:keepNext/>
        <w:keepLines/>
        <w:spacing w:before="120" w:after="120" w:line="240" w:lineRule="auto"/>
        <w:outlineLvl w:val="1"/>
        <w:rPr>
          <w:rFonts w:ascii="Cambria" w:eastAsia="SimSun" w:hAnsi="Cambria"/>
          <w:bCs/>
          <w:i/>
          <w:sz w:val="24"/>
          <w:szCs w:val="24"/>
        </w:rPr>
      </w:pPr>
      <w:r w:rsidRPr="007925F3">
        <w:rPr>
          <w:rFonts w:ascii="Cambria" w:eastAsia="SimSun" w:hAnsi="Cambria"/>
          <w:bCs/>
          <w:i/>
          <w:sz w:val="24"/>
          <w:szCs w:val="24"/>
        </w:rPr>
        <w:t>Multiple and complex needs of AOD clients</w:t>
      </w:r>
    </w:p>
    <w:p w:rsidR="00DF4F77" w:rsidRPr="008A0AA4" w:rsidRDefault="00DF4F77" w:rsidP="00DF4F77">
      <w:pPr>
        <w:pStyle w:val="FAREnormaltext"/>
      </w:pPr>
      <w:r w:rsidRPr="008A0AA4">
        <w:t xml:space="preserve">Individuals presenting to public AOD services are highly marginalised and typically present with multiple, severe and complex problems. In addition to substance </w:t>
      </w:r>
      <w:r w:rsidR="00723D30" w:rsidRPr="008A0AA4">
        <w:t xml:space="preserve">use </w:t>
      </w:r>
      <w:r w:rsidRPr="008A0AA4">
        <w:t xml:space="preserve">disorders, </w:t>
      </w:r>
      <w:r w:rsidR="00723D30" w:rsidRPr="008A0AA4">
        <w:t>AOD service users</w:t>
      </w:r>
      <w:r w:rsidRPr="008A0AA4">
        <w:t xml:space="preserve"> frequently experience unemployment, homelessness, physical and mental health comorbidity, criminal justice involvement, social exclusion and related adversity (</w:t>
      </w:r>
      <w:proofErr w:type="spellStart"/>
      <w:r w:rsidRPr="008A0AA4">
        <w:t>Laudet</w:t>
      </w:r>
      <w:proofErr w:type="spellEnd"/>
      <w:r w:rsidRPr="008A0AA4">
        <w:t xml:space="preserve"> and White</w:t>
      </w:r>
      <w:r w:rsidR="003015AC">
        <w:t>, 2010;</w:t>
      </w:r>
      <w:r w:rsidRPr="008A0AA4">
        <w:t xml:space="preserve"> Hesse et </w:t>
      </w:r>
      <w:r w:rsidR="008758D0" w:rsidRPr="008A0AA4">
        <w:t>al.</w:t>
      </w:r>
      <w:r w:rsidR="00EE4C37" w:rsidRPr="008A0AA4">
        <w:t>, 2007</w:t>
      </w:r>
      <w:r w:rsidR="003015AC">
        <w:t>; Department of Health, 2012;</w:t>
      </w:r>
      <w:r w:rsidR="008A0AA4" w:rsidRPr="008A0AA4">
        <w:t xml:space="preserve"> VAGO, 2011</w:t>
      </w:r>
      <w:r w:rsidRPr="008A0AA4">
        <w:t>). As a consequence, they place heavy demands on the healthcare system, in particular acute medical services such as presentations to emergency departments, ambulance call-outs, and inpatient admissions (</w:t>
      </w:r>
      <w:proofErr w:type="spellStart"/>
      <w:r w:rsidRPr="008A0AA4">
        <w:t>Parthasarathy</w:t>
      </w:r>
      <w:proofErr w:type="spellEnd"/>
      <w:r w:rsidRPr="008A0AA4">
        <w:t xml:space="preserve"> et </w:t>
      </w:r>
      <w:r w:rsidR="008758D0" w:rsidRPr="008A0AA4">
        <w:t>al.</w:t>
      </w:r>
      <w:r w:rsidRPr="008A0AA4">
        <w:t xml:space="preserve">, 2001; 2003; </w:t>
      </w:r>
      <w:proofErr w:type="spellStart"/>
      <w:r w:rsidRPr="008A0AA4">
        <w:t>Parthasarathy</w:t>
      </w:r>
      <w:proofErr w:type="spellEnd"/>
      <w:r w:rsidRPr="008A0AA4">
        <w:t xml:space="preserve"> and </w:t>
      </w:r>
      <w:proofErr w:type="spellStart"/>
      <w:r w:rsidRPr="008A0AA4">
        <w:t>Weisner</w:t>
      </w:r>
      <w:proofErr w:type="spellEnd"/>
      <w:r w:rsidRPr="008A0AA4">
        <w:t xml:space="preserve"> 2005</w:t>
      </w:r>
      <w:r w:rsidR="008A0AA4" w:rsidRPr="008A0AA4">
        <w:t>, Ll</w:t>
      </w:r>
      <w:r w:rsidR="0012602B">
        <w:t>oyd</w:t>
      </w:r>
      <w:r w:rsidR="008A0AA4" w:rsidRPr="008A0AA4">
        <w:t xml:space="preserve"> et al.</w:t>
      </w:r>
      <w:r w:rsidR="0012602B">
        <w:t>,</w:t>
      </w:r>
      <w:r w:rsidR="008A0AA4" w:rsidRPr="008A0AA4">
        <w:t xml:space="preserve"> 2013</w:t>
      </w:r>
      <w:r w:rsidRPr="008A0AA4">
        <w:t xml:space="preserve">). </w:t>
      </w:r>
    </w:p>
    <w:p w:rsidR="00777F47" w:rsidRPr="007A4CA5" w:rsidRDefault="00777F47" w:rsidP="00777F47">
      <w:pPr>
        <w:pStyle w:val="FAREnormaltext"/>
      </w:pPr>
      <w:r w:rsidRPr="007A4CA5">
        <w:t xml:space="preserve">The chronic, relapsing nature of alcohol and drug addiction is characterised by cycles of treatment, recovery, relapse, and repeated treatments (Scott et al., </w:t>
      </w:r>
      <w:r w:rsidR="0012602B" w:rsidRPr="007A4CA5">
        <w:t xml:space="preserve">2005; Dennis and Scott, 2007). </w:t>
      </w:r>
      <w:r w:rsidRPr="007A4CA5">
        <w:t xml:space="preserve">However AOD treatment is often episodic, fragmented, delivered in isolation and structured to provide episodes of care rather than a continuing and integrated program of care (O’Brien and McLellan, </w:t>
      </w:r>
      <w:r w:rsidRPr="007A4CA5">
        <w:lastRenderedPageBreak/>
        <w:t>1996)</w:t>
      </w:r>
      <w:r w:rsidR="00BB4F84" w:rsidRPr="007A4CA5">
        <w:t xml:space="preserve"> </w:t>
      </w:r>
      <w:r w:rsidR="00DA442C" w:rsidRPr="007A4CA5">
        <w:t xml:space="preserve">that </w:t>
      </w:r>
      <w:r w:rsidRPr="007A4CA5">
        <w:t>match</w:t>
      </w:r>
      <w:r w:rsidR="00DA442C" w:rsidRPr="007A4CA5">
        <w:t>ed</w:t>
      </w:r>
      <w:r w:rsidRPr="007A4CA5">
        <w:t xml:space="preserve"> client need to intervention. This </w:t>
      </w:r>
      <w:r w:rsidR="005722FC" w:rsidRPr="007A4CA5">
        <w:t xml:space="preserve">fragmented approach </w:t>
      </w:r>
      <w:r w:rsidRPr="007A4CA5">
        <w:t xml:space="preserve">is particularly </w:t>
      </w:r>
      <w:r w:rsidR="005722FC" w:rsidRPr="007A4CA5">
        <w:t xml:space="preserve">salient in the context </w:t>
      </w:r>
      <w:r w:rsidRPr="007A4CA5">
        <w:t xml:space="preserve">of residential treatment, which targets the most complex and severely affected </w:t>
      </w:r>
      <w:proofErr w:type="gramStart"/>
      <w:r w:rsidRPr="007A4CA5">
        <w:t>individuals,</w:t>
      </w:r>
      <w:proofErr w:type="gramEnd"/>
      <w:r w:rsidRPr="007A4CA5">
        <w:t xml:space="preserve"> and where continuity of care is regarded as essential (</w:t>
      </w:r>
      <w:proofErr w:type="spellStart"/>
      <w:r w:rsidRPr="007A4CA5">
        <w:t>Popovici</w:t>
      </w:r>
      <w:proofErr w:type="spellEnd"/>
      <w:r w:rsidRPr="007A4CA5">
        <w:t xml:space="preserve"> et al., 2008). </w:t>
      </w:r>
    </w:p>
    <w:p w:rsidR="00777F47" w:rsidRPr="007A4CA5" w:rsidRDefault="00777F47" w:rsidP="00777F47">
      <w:pPr>
        <w:pStyle w:val="FAREnormaltext"/>
      </w:pPr>
      <w:r w:rsidRPr="007A4CA5">
        <w:t xml:space="preserve">A study conducted more than </w:t>
      </w:r>
      <w:r w:rsidR="003015AC" w:rsidRPr="007A4CA5">
        <w:t>20</w:t>
      </w:r>
      <w:r w:rsidRPr="007A4CA5">
        <w:t xml:space="preserve"> years ago showed that clients receiving the most intensive packages of care (including regular plus onsite medical, psychiatric, family and employment counselling) during methadone maintenance treatment achieved the best outcomes (McLellan et al., 1993). However, whilst exposure to treatment is an important factor, increasing the dose of any one treatment modality alone does not improve clinical outcome. There is increasing recognition that substance use disorders, like other chronic health problems such as diabetes, asthma, schizophrenia etc., are best managed by ongoing monitoring and extended services than by an acute treatment approach (McLellan et </w:t>
      </w:r>
      <w:r w:rsidR="008758D0" w:rsidRPr="00563A69">
        <w:t>al</w:t>
      </w:r>
      <w:r w:rsidR="008758D0">
        <w:t>.</w:t>
      </w:r>
      <w:r w:rsidRPr="007A4CA5">
        <w:t xml:space="preserve">, 2000; </w:t>
      </w:r>
      <w:proofErr w:type="spellStart"/>
      <w:r w:rsidRPr="007A4CA5">
        <w:t>Lorig</w:t>
      </w:r>
      <w:proofErr w:type="spellEnd"/>
      <w:r w:rsidRPr="007A4CA5">
        <w:t xml:space="preserve"> et </w:t>
      </w:r>
      <w:r w:rsidR="008758D0" w:rsidRPr="00563A69">
        <w:t>al</w:t>
      </w:r>
      <w:r w:rsidR="008758D0">
        <w:t>.</w:t>
      </w:r>
      <w:r w:rsidRPr="007A4CA5">
        <w:t xml:space="preserve">, 1999; </w:t>
      </w:r>
      <w:proofErr w:type="spellStart"/>
      <w:r w:rsidRPr="007A4CA5">
        <w:t>Bodenheimer</w:t>
      </w:r>
      <w:proofErr w:type="spellEnd"/>
      <w:r w:rsidRPr="007A4CA5">
        <w:t xml:space="preserve"> et </w:t>
      </w:r>
      <w:r w:rsidR="008758D0" w:rsidRPr="00563A69">
        <w:t>al</w:t>
      </w:r>
      <w:r w:rsidR="008758D0">
        <w:t>.</w:t>
      </w:r>
      <w:r w:rsidRPr="007A4CA5">
        <w:t xml:space="preserve">, 2002, Dennis et </w:t>
      </w:r>
      <w:r w:rsidR="008758D0" w:rsidRPr="00563A69">
        <w:t>al</w:t>
      </w:r>
      <w:r w:rsidR="008758D0">
        <w:t>.</w:t>
      </w:r>
      <w:r w:rsidRPr="007A4CA5">
        <w:t xml:space="preserve">, 2007). </w:t>
      </w:r>
    </w:p>
    <w:p w:rsidR="006F77B8" w:rsidRPr="007A4CA5" w:rsidRDefault="006F77B8" w:rsidP="00777F47">
      <w:pPr>
        <w:pStyle w:val="FAREnormaltext"/>
      </w:pPr>
      <w:r w:rsidRPr="007A4CA5">
        <w:t>The multiple and disparate needs of AOD clients must be met through a comprehensive package of care that integrates specialist AOD treatment with non-specialist services supporting recovery and community reintegration through housing, employment and family support (Hesse et al., 2007). However, we know little about the extent and usefulness of service utilisation in other parts of health and welfare since this is seldom captured in treatment outcome studies of AOD clients. The mismatch betw</w:t>
      </w:r>
      <w:r w:rsidR="001038B1" w:rsidRPr="007A4CA5">
        <w:t>een client severity and treatment intensity</w:t>
      </w:r>
      <w:r w:rsidR="003015AC" w:rsidRPr="007A4CA5">
        <w:t>,</w:t>
      </w:r>
      <w:r w:rsidR="001038B1" w:rsidRPr="007A4CA5">
        <w:t xml:space="preserve"> as well as the mismatch between client </w:t>
      </w:r>
      <w:r w:rsidRPr="007A4CA5">
        <w:t>complexity and extensity and service integration</w:t>
      </w:r>
      <w:r w:rsidR="003015AC" w:rsidRPr="007A4CA5">
        <w:t>,</w:t>
      </w:r>
      <w:r w:rsidRPr="007A4CA5">
        <w:t xml:space="preserve"> results in serial episodes of acute care as they encounter crisis situations whilst cycling in and out of AOD treatment, resulting in a significantly higher cost to society (AIHW, 2013). </w:t>
      </w:r>
    </w:p>
    <w:p w:rsidR="00777F47" w:rsidRPr="007A4CA5" w:rsidRDefault="00777F47" w:rsidP="00777F47">
      <w:pPr>
        <w:pStyle w:val="FAREnormaltext"/>
      </w:pPr>
      <w:r w:rsidRPr="007A4CA5">
        <w:t>These issues have been identified in government documents both at federal and state levels. A 2011 Victorian Auditor-General’s report criticises the AOD sector for its failure to meaningfully integrate with non-specialist services and for inadequate pathways through specialist treatment (Victorian Auditor-General, 2011). Within the National Drug Strategy for Australia 2010-2015 (Commonwealth Government, 2011), under the demand reduction pillar, objective 3 is to support people to recover from dependence and reconnect with the community, recognising that support for longer-term recovery after treatment is most effective when the individual’s needs are placed at the centre of their care and treatment. It highlights the role of treatment services in providing interventions tailored to the varying needs of individuals (including the potential for access to substance-specific treatment and services) and in referring and linking clients to a range</w:t>
      </w:r>
      <w:r w:rsidR="002D0669" w:rsidRPr="007A4CA5">
        <w:t xml:space="preserve"> of</w:t>
      </w:r>
      <w:r w:rsidRPr="007A4CA5">
        <w:t xml:space="preserve"> external services and support (such as stable accommodation, education, vocational and employment support and social connections). Some of the related ‘actions’ include improving communication and flow of information between primary health care and specialist AOD providers and between clinical and community support services, to promote continuity of care and the development of cooperative service models. Another action is to improve links and coordination between health, education, employment</w:t>
      </w:r>
      <w:r w:rsidR="002D0669" w:rsidRPr="007A4CA5">
        <w:t>,</w:t>
      </w:r>
      <w:r w:rsidRPr="007A4CA5">
        <w:t xml:space="preserve"> housing and other sectors to expand the capacity to effectively link individuals from treatment to the support required for them to reconnect with the community.</w:t>
      </w:r>
    </w:p>
    <w:p w:rsidR="009807E0" w:rsidRDefault="009807E0" w:rsidP="00DF4F77">
      <w:pPr>
        <w:pStyle w:val="FAREnormaltext"/>
      </w:pPr>
      <w:r w:rsidRPr="007A4CA5">
        <w:t>This care co-ordination can be achieved through c</w:t>
      </w:r>
      <w:r w:rsidR="00777F47" w:rsidRPr="007A4CA5">
        <w:t>ase management</w:t>
      </w:r>
      <w:r w:rsidRPr="007A4CA5">
        <w:t xml:space="preserve"> which </w:t>
      </w:r>
      <w:r w:rsidR="00777F47" w:rsidRPr="007A4CA5">
        <w:t xml:space="preserve">has a long and relatively successful history for the treatment and support of several mental health conditions in the United States, Canada, European countries and Australia (Burns, </w:t>
      </w:r>
      <w:proofErr w:type="spellStart"/>
      <w:r w:rsidR="00777F47" w:rsidRPr="007A4CA5">
        <w:t>Fioritti</w:t>
      </w:r>
      <w:proofErr w:type="spellEnd"/>
      <w:r w:rsidR="00777F47" w:rsidRPr="007A4CA5">
        <w:t xml:space="preserve">, Holloway, </w:t>
      </w:r>
      <w:proofErr w:type="spellStart"/>
      <w:r w:rsidR="00777F47" w:rsidRPr="007A4CA5">
        <w:t>Malm</w:t>
      </w:r>
      <w:proofErr w:type="spellEnd"/>
      <w:r w:rsidR="00777F47" w:rsidRPr="007A4CA5">
        <w:t xml:space="preserve">, &amp; </w:t>
      </w:r>
      <w:proofErr w:type="spellStart"/>
      <w:r w:rsidR="00777F47" w:rsidRPr="007A4CA5">
        <w:t>Rössler</w:t>
      </w:r>
      <w:proofErr w:type="spellEnd"/>
      <w:r w:rsidR="00777F47" w:rsidRPr="007A4CA5">
        <w:t xml:space="preserve">, 2001). </w:t>
      </w:r>
      <w:r w:rsidR="00DF4F77" w:rsidRPr="00563A69">
        <w:t xml:space="preserve">Case management is a client-centred strategy that includes assessment, planning, linking, monitoring and advocacy as part of the enhancement of coordination and continuity of services, and </w:t>
      </w:r>
      <w:r w:rsidR="00DF4F77" w:rsidRPr="00563A69">
        <w:lastRenderedPageBreak/>
        <w:t>is particularly suited to AOD clients with multiple and complex needs. In particular the brokerage case management component (</w:t>
      </w:r>
      <w:proofErr w:type="spellStart"/>
      <w:r w:rsidR="00DF4F77" w:rsidRPr="00563A69">
        <w:t>Vanderplasschen</w:t>
      </w:r>
      <w:proofErr w:type="spellEnd"/>
      <w:r w:rsidR="00DF4F77" w:rsidRPr="00563A69">
        <w:t xml:space="preserve"> et al., 2004) facilitates ongoing supportive care, linking clients with appropriate helping resources in the community. As well as increasing engagement in substance use disorder treatments, and active linkage to other services, it facilitates cross agency collaboration and a transition to employment to assist clients in moving towards self-sufficiency as they recover from AOD problems. </w:t>
      </w:r>
      <w:r w:rsidR="00506DE9">
        <w:t>However, a</w:t>
      </w:r>
      <w:r w:rsidR="00DF4F77" w:rsidRPr="00563A69">
        <w:t xml:space="preserve"> Cochrane review on the effectiveness of case management for persons with </w:t>
      </w:r>
      <w:r w:rsidR="003015AC">
        <w:t>AOD problems</w:t>
      </w:r>
      <w:r w:rsidR="00DF4F77" w:rsidRPr="00563A69">
        <w:t xml:space="preserve"> concluded that there is evidence supporting its role in enhancing linkage with other services, but that evidence that it reduces drug use or produce</w:t>
      </w:r>
      <w:r w:rsidR="003015AC">
        <w:t>s</w:t>
      </w:r>
      <w:r w:rsidR="00DF4F77" w:rsidRPr="00563A69">
        <w:t xml:space="preserve"> other beneficial outcome is not conclusive (Hesse et </w:t>
      </w:r>
      <w:r w:rsidR="008758D0" w:rsidRPr="00563A69">
        <w:t>al</w:t>
      </w:r>
      <w:r w:rsidR="008758D0">
        <w:t>.</w:t>
      </w:r>
      <w:r w:rsidR="00DF4F77" w:rsidRPr="00563A69">
        <w:t xml:space="preserve">, 2007). </w:t>
      </w:r>
    </w:p>
    <w:p w:rsidR="00777F47" w:rsidRPr="007A4CA5" w:rsidRDefault="009807E0" w:rsidP="00777F47">
      <w:pPr>
        <w:pStyle w:val="FAREnormaltext"/>
      </w:pPr>
      <w:r>
        <w:t xml:space="preserve"> </w:t>
      </w:r>
      <w:r w:rsidR="00777F47" w:rsidRPr="007A4CA5">
        <w:t>In the US, Morgenstern et al</w:t>
      </w:r>
      <w:r w:rsidR="007F568F" w:rsidRPr="007A4CA5">
        <w:t>.</w:t>
      </w:r>
      <w:r w:rsidR="00777F47" w:rsidRPr="007A4CA5">
        <w:t xml:space="preserve"> (2009) ran a practical clinical trial within welfare agencies comparing a continuity of care intervention for SUDs in the form of Co-ordinated Care Management (CCM), to usual welfare management among participants not enrolled in methadone maintenance programs. Those receiving CCM received significantly more suitable treatment programs and ancillary services matc</w:t>
      </w:r>
      <w:r w:rsidR="003147FC" w:rsidRPr="007A4CA5">
        <w:t>hed to client need (</w:t>
      </w:r>
      <w:proofErr w:type="spellStart"/>
      <w:r w:rsidR="003147FC" w:rsidRPr="007A4CA5">
        <w:t>e.g</w:t>
      </w:r>
      <w:proofErr w:type="spellEnd"/>
      <w:r w:rsidR="00777F47" w:rsidRPr="007A4CA5">
        <w:t xml:space="preserve"> drug treatment, work activity, medical and mental health care, domestic violence programs, housing, </w:t>
      </w:r>
      <w:r w:rsidR="003147FC" w:rsidRPr="007A4CA5">
        <w:t>or</w:t>
      </w:r>
      <w:r w:rsidR="00777F47" w:rsidRPr="007A4CA5">
        <w:t xml:space="preserve"> childcare) than usual care clients and the likelihood of abstinence at the one-year follow-up was 75% higher. The authors concluded that CCM is </w:t>
      </w:r>
      <w:r w:rsidR="00895610" w:rsidRPr="007A4CA5">
        <w:t xml:space="preserve">a </w:t>
      </w:r>
      <w:r w:rsidR="00777F47" w:rsidRPr="007A4CA5">
        <w:t xml:space="preserve">promising SUD treatment for welfare recipients, though its impact was not observed among patients receiving methadone maintenance.  An earlier Victorian report ‘Pathways- a review of the Victorian drug treatment service system’ noted that variable connections to the other health, welfare and employment services </w:t>
      </w:r>
      <w:r w:rsidR="007F568F" w:rsidRPr="007A4CA5">
        <w:t xml:space="preserve">are </w:t>
      </w:r>
      <w:r w:rsidR="00777F47" w:rsidRPr="007A4CA5">
        <w:t xml:space="preserve">required to support clients with a range of needs (Ritter et </w:t>
      </w:r>
      <w:r w:rsidR="008758D0" w:rsidRPr="00563A69">
        <w:t>al</w:t>
      </w:r>
      <w:r w:rsidR="008758D0">
        <w:t>.</w:t>
      </w:r>
      <w:r w:rsidR="00777F47" w:rsidRPr="007A4CA5">
        <w:t xml:space="preserve">, 2003). The solution proposed in this service system review, however, was establishing cross-sectoral linkage workers based in community health services, with waiting list management, assertive follow-up and assessment carried out through a central intake unit rather than case management. </w:t>
      </w:r>
    </w:p>
    <w:p w:rsidR="00DF4F77" w:rsidRPr="00563A69" w:rsidRDefault="003147FC" w:rsidP="004F6D5F">
      <w:pPr>
        <w:pStyle w:val="FAREnormaltext"/>
      </w:pPr>
      <w:r>
        <w:t>The Victorian ‘</w:t>
      </w:r>
      <w:r w:rsidR="00DF4F77" w:rsidRPr="00563A69">
        <w:t xml:space="preserve">New directions for alcohol and drug treatment services – a roadmap’ document (Department of Health, 2012) describes the new Care and Recovery Coordination role which enables clients to be supported through treatment and connected with the other service or support needed. </w:t>
      </w:r>
      <w:r w:rsidR="00624E1C">
        <w:t xml:space="preserve">The term recovery is highlighted as a key focus of the National Drug Strategy 2010-2015 (under Objective 3 of </w:t>
      </w:r>
      <w:r w:rsidR="004F6D5F">
        <w:t>a demand r</w:t>
      </w:r>
      <w:r w:rsidR="00624E1C">
        <w:t>eduction</w:t>
      </w:r>
      <w:r w:rsidR="004F6D5F">
        <w:t xml:space="preserve"> approach [Pillar 1</w:t>
      </w:r>
      <w:r w:rsidR="00624E1C">
        <w:t xml:space="preserve">]), </w:t>
      </w:r>
      <w:r w:rsidR="004F6D5F">
        <w:t>and</w:t>
      </w:r>
      <w:r w:rsidR="00624E1C">
        <w:t xml:space="preserve"> states</w:t>
      </w:r>
      <w:r w:rsidR="00624E1C" w:rsidRPr="00624E1C">
        <w:t xml:space="preserve"> </w:t>
      </w:r>
      <w:r w:rsidR="00624E1C">
        <w:t>‘</w:t>
      </w:r>
      <w:r w:rsidR="004F6D5F">
        <w:t>r</w:t>
      </w:r>
      <w:r w:rsidR="00624E1C" w:rsidRPr="00624E1C">
        <w:t>ecovering from drug dependence can be a long-term process in which individuals need support and empowerment to achieve independence, a healthy self-esteem and a meaningful life in the community. Successful support for longer-term recovery after treatment requires strategies that are focused on the whole individual and look across the life span. While different people will have different routes to recovery, support for recovery is most effective when the individual’s needs are placed at the centre of their care and treatment. Treatment service providers can help individuals recover from drug dependence, help the individual access the internal resources they need (such as resilience, coping skills and physical health) and ensure referral and links to a range of external services and support (such as stable accommodation, education, vocational and employment support and social connections)</w:t>
      </w:r>
      <w:r w:rsidR="004F6D5F">
        <w:t>’</w:t>
      </w:r>
      <w:r w:rsidR="00BB076B">
        <w:t xml:space="preserve"> </w:t>
      </w:r>
      <w:r w:rsidR="00902782">
        <w:t>(Ministerial Council on Drug Strategy, 2011, p.11).</w:t>
      </w:r>
      <w:r w:rsidR="00B473EE">
        <w:t xml:space="preserve"> </w:t>
      </w:r>
      <w:r w:rsidR="001C692B" w:rsidRPr="00B473EE">
        <w:t>A</w:t>
      </w:r>
      <w:r w:rsidR="001C692B" w:rsidRPr="00563A69">
        <w:t xml:space="preserve"> </w:t>
      </w:r>
      <w:r w:rsidR="00DF4F77" w:rsidRPr="00563A69">
        <w:t xml:space="preserve">recovery-oriented approach addresses a person’s holistic needs and circumstances with attention to what happens after formal treatment ends. Care and recovery coordinators help reconnect AOD users with their families and communities </w:t>
      </w:r>
      <w:r w:rsidR="004F6D5F">
        <w:t>(</w:t>
      </w:r>
      <w:r w:rsidR="00DF4F77" w:rsidRPr="00563A69">
        <w:t>e.g.</w:t>
      </w:r>
      <w:r w:rsidR="004F6D5F">
        <w:t>,</w:t>
      </w:r>
      <w:r w:rsidR="00DF4F77" w:rsidRPr="00563A69">
        <w:t xml:space="preserve"> by engaging with GPs, pharmacists, primary health services and other health and human services, peer support workers, or with communities that are under</w:t>
      </w:r>
      <w:r>
        <w:t>-</w:t>
      </w:r>
      <w:r w:rsidR="00DF4F77" w:rsidRPr="00563A69">
        <w:t>represented in treatment</w:t>
      </w:r>
      <w:r w:rsidR="004F6D5F">
        <w:t>)</w:t>
      </w:r>
      <w:r w:rsidR="00DF4F77" w:rsidRPr="00563A69">
        <w:t xml:space="preserve">, recognising that more intensive case management will be required for some. </w:t>
      </w:r>
    </w:p>
    <w:p w:rsidR="00DF4F77" w:rsidRPr="00563A69" w:rsidRDefault="00777F47" w:rsidP="00DF4F77">
      <w:pPr>
        <w:pStyle w:val="FAREnormaltext"/>
      </w:pPr>
      <w:r w:rsidRPr="00777F47">
        <w:lastRenderedPageBreak/>
        <w:t xml:space="preserve">Increasing community concern about health problems and service expenditure has prompted a national program of healthcare reform in Australia, to support the efficient use of public funds. </w:t>
      </w:r>
      <w:r w:rsidR="00DF4F77" w:rsidRPr="00563A69">
        <w:t>Changes in governance, funding, and accountability arrangements are being impleme</w:t>
      </w:r>
      <w:r w:rsidR="00B473EE">
        <w:t xml:space="preserve">nted by the Federal </w:t>
      </w:r>
      <w:r w:rsidR="00DF4F77" w:rsidRPr="00563A69">
        <w:t xml:space="preserve">Government; </w:t>
      </w:r>
      <w:r w:rsidR="0093557B">
        <w:t>and at state level in Victoria, through the introduction of a new AOD strategy (Victorian Department of Health, 2012) and linked structural changes in service provision. H</w:t>
      </w:r>
      <w:r w:rsidR="00DF4F77" w:rsidRPr="00563A69">
        <w:t>owever</w:t>
      </w:r>
      <w:r w:rsidR="003147FC">
        <w:t>,</w:t>
      </w:r>
      <w:r w:rsidR="00DF4F77" w:rsidRPr="00563A69">
        <w:t xml:space="preserve"> there is limited evidence to guide health system design in relation to alcohol and drug treatment – services that currently sit outside Australia’s program of reform. A</w:t>
      </w:r>
      <w:r w:rsidR="003147FC">
        <w:t>OD</w:t>
      </w:r>
      <w:r w:rsidR="00DF4F77" w:rsidRPr="00563A69">
        <w:t xml:space="preserve"> clients often use a range of other services and systems; however, little is known about the magnitude and significance of this service use. Furthermore, there is no Australian data currently available on whether</w:t>
      </w:r>
      <w:r w:rsidR="003147FC">
        <w:t>,</w:t>
      </w:r>
      <w:r w:rsidR="00DF4F77" w:rsidRPr="00563A69">
        <w:t xml:space="preserve"> and to what extent</w:t>
      </w:r>
      <w:r w:rsidR="003147FC">
        <w:t>, AOD trea</w:t>
      </w:r>
      <w:r w:rsidR="00DF4F77" w:rsidRPr="00563A69">
        <w:t>tment outcomes result in better use of routine health care and reduce demand for more intensive and costly healthcare interventions.</w:t>
      </w:r>
    </w:p>
    <w:p w:rsidR="00DF4F77" w:rsidRPr="00C2662D" w:rsidRDefault="00DF4F77" w:rsidP="007925F3">
      <w:pPr>
        <w:pStyle w:val="heading3pp"/>
        <w:rPr>
          <w:rFonts w:ascii="Times New Roman" w:hAnsi="Times New Roman"/>
        </w:rPr>
      </w:pPr>
      <w:r w:rsidRPr="007925F3">
        <w:t xml:space="preserve">Treatment effectiveness / outcome studies </w:t>
      </w:r>
    </w:p>
    <w:p w:rsidR="00777F47" w:rsidRPr="00777F47" w:rsidRDefault="006F77B8" w:rsidP="00777F47">
      <w:pPr>
        <w:pStyle w:val="FAREnormaltext"/>
      </w:pPr>
      <w:r>
        <w:t>N</w:t>
      </w:r>
      <w:r w:rsidR="00777F47" w:rsidRPr="00777F47">
        <w:t>ational</w:t>
      </w:r>
      <w:r w:rsidR="008E1353">
        <w:t xml:space="preserve"> data on </w:t>
      </w:r>
      <w:r w:rsidR="00777F47" w:rsidRPr="00777F47">
        <w:t>the demand for services, characteristics of the population in need of treatment and response to different treatment trajectories are needed to inform policy around the planning/design of the broader treatment system and to facilitate the effective allocation of resources th</w:t>
      </w:r>
      <w:r w:rsidR="003147FC">
        <w:t xml:space="preserve">at will reduce the overall cost and </w:t>
      </w:r>
      <w:r w:rsidR="00777F47" w:rsidRPr="00777F47">
        <w:t xml:space="preserve">burden to Australian society. Large-scale, prospective, multi-site treatment outcome studies are imperative to understanding the dynamics of treatment and its impact on client outcomes and addiction careers over extended periods of time. However there remains a paucity of longitudinal studies largely because of the high costs in money, effort and organisational commitment necessary to implement, coordinate and sustain such data collection systems over many years. The treatment outcome literature is almost entirely dominated by research findings from the US and UK (for a summary of these studies, see Table 1). </w:t>
      </w:r>
    </w:p>
    <w:p w:rsidR="005D4F10" w:rsidRDefault="005D4F10" w:rsidP="005D4F10">
      <w:pPr>
        <w:pStyle w:val="FAREnormaltext"/>
        <w:spacing w:after="0"/>
      </w:pPr>
      <w:r>
        <w:t>A</w:t>
      </w:r>
      <w:r w:rsidR="00777F47" w:rsidRPr="00777F47">
        <w:t xml:space="preserve"> review of the international literature on drug treatment effectiveness</w:t>
      </w:r>
      <w:r>
        <w:t xml:space="preserve"> undertaken</w:t>
      </w:r>
      <w:r w:rsidR="00777F47" w:rsidRPr="00777F47">
        <w:t xml:space="preserve"> for the Scottish government</w:t>
      </w:r>
      <w:r>
        <w:t xml:space="preserve"> </w:t>
      </w:r>
      <w:r w:rsidRPr="00777F47">
        <w:t xml:space="preserve">(Best et </w:t>
      </w:r>
      <w:r w:rsidR="007F568F">
        <w:t>al.,</w:t>
      </w:r>
      <w:r w:rsidRPr="00777F47">
        <w:t xml:space="preserve"> 201</w:t>
      </w:r>
      <w:r w:rsidR="00AD0EEB">
        <w:t>0</w:t>
      </w:r>
      <w:r>
        <w:t>) concluded that:</w:t>
      </w:r>
    </w:p>
    <w:p w:rsidR="005D4F10" w:rsidRDefault="00777F47" w:rsidP="0084455C">
      <w:pPr>
        <w:pStyle w:val="FAREdotpoints"/>
      </w:pPr>
      <w:r w:rsidRPr="00777F47">
        <w:t xml:space="preserve">significant improvements </w:t>
      </w:r>
      <w:r w:rsidR="002D0669">
        <w:t xml:space="preserve">in the wake of treatment </w:t>
      </w:r>
      <w:r w:rsidRPr="00777F47">
        <w:t>are seen across a range of indicators, including health, offending, risk-taking, subst</w:t>
      </w:r>
      <w:r w:rsidR="003147FC">
        <w:t>ance use and social functioning;</w:t>
      </w:r>
    </w:p>
    <w:p w:rsidR="005D4F10" w:rsidRDefault="0084455C" w:rsidP="0084455C">
      <w:pPr>
        <w:pStyle w:val="FAREdotpoints"/>
      </w:pPr>
      <w:r>
        <w:t xml:space="preserve"> </w:t>
      </w:r>
      <w:r w:rsidR="00777F47" w:rsidRPr="00777F47">
        <w:t>a range of treatment modalities demonstrate value for money, with the most recent estimate from</w:t>
      </w:r>
      <w:r w:rsidR="003147FC">
        <w:t xml:space="preserve"> the</w:t>
      </w:r>
      <w:r w:rsidR="00777F47" w:rsidRPr="00777F47">
        <w:t xml:space="preserve"> D</w:t>
      </w:r>
      <w:r w:rsidR="003147FC">
        <w:t xml:space="preserve">rug </w:t>
      </w:r>
      <w:r w:rsidR="00777F47" w:rsidRPr="00777F47">
        <w:t>T</w:t>
      </w:r>
      <w:r w:rsidR="003147FC">
        <w:t xml:space="preserve">reatment </w:t>
      </w:r>
      <w:r w:rsidR="00777F47" w:rsidRPr="00777F47">
        <w:t>O</w:t>
      </w:r>
      <w:r w:rsidR="003147FC">
        <w:t xml:space="preserve">utcome </w:t>
      </w:r>
      <w:r w:rsidR="00777F47" w:rsidRPr="00777F47">
        <w:t>R</w:t>
      </w:r>
      <w:r w:rsidR="003147FC">
        <w:t xml:space="preserve">esearch </w:t>
      </w:r>
      <w:r w:rsidR="00777F47" w:rsidRPr="00777F47">
        <w:t>S</w:t>
      </w:r>
      <w:r w:rsidR="003147FC">
        <w:t>tudy</w:t>
      </w:r>
      <w:r w:rsidR="00777F47" w:rsidRPr="00777F47">
        <w:t xml:space="preserve"> of a cost effectiveness ratio of 2.5:1 for savings in health and social c</w:t>
      </w:r>
      <w:r w:rsidR="003147FC">
        <w:t>are relative to treatment costs;</w:t>
      </w:r>
      <w:r w:rsidR="00777F47" w:rsidRPr="00777F47">
        <w:t xml:space="preserve"> </w:t>
      </w:r>
    </w:p>
    <w:p w:rsidR="005D4F10" w:rsidRDefault="00777F47" w:rsidP="0084455C">
      <w:pPr>
        <w:pStyle w:val="FAREdotpoints"/>
      </w:pPr>
      <w:r w:rsidRPr="00777F47">
        <w:t>therapeutic relationships and overall service quality are important predictors of treatment enga</w:t>
      </w:r>
      <w:r w:rsidR="003147FC">
        <w:t>gement and outcomes for clients;</w:t>
      </w:r>
      <w:r w:rsidRPr="00777F47">
        <w:t xml:space="preserve"> </w:t>
      </w:r>
    </w:p>
    <w:p w:rsidR="005D4F10" w:rsidRDefault="00777F47" w:rsidP="0084455C">
      <w:pPr>
        <w:pStyle w:val="FAREdotpoints"/>
      </w:pPr>
      <w:r w:rsidRPr="00777F47">
        <w:t xml:space="preserve">retention in treatment for </w:t>
      </w:r>
      <w:r w:rsidR="00895610">
        <w:t xml:space="preserve">at least </w:t>
      </w:r>
      <w:r w:rsidRPr="00777F47">
        <w:t>90 days has been shown to be the threshold for ‘treatme</w:t>
      </w:r>
      <w:r w:rsidR="003147FC">
        <w:t>nt gain’ in community settings;</w:t>
      </w:r>
    </w:p>
    <w:p w:rsidR="005D4F10" w:rsidRDefault="00777F47" w:rsidP="0084455C">
      <w:pPr>
        <w:pStyle w:val="FAREdotpoints"/>
      </w:pPr>
      <w:r w:rsidRPr="00777F47">
        <w:t>a strong evidence base exists supporting methadone substitution treatment in maintenance settings, but that it requires adequate psychosocial support and links to</w:t>
      </w:r>
      <w:r w:rsidR="00895610">
        <w:t xml:space="preserve"> multiple addressing complex needs </w:t>
      </w:r>
      <w:r w:rsidR="003147FC">
        <w:t>in addition to prescribing;</w:t>
      </w:r>
    </w:p>
    <w:p w:rsidR="005D4F10" w:rsidRDefault="00777F47" w:rsidP="0084455C">
      <w:pPr>
        <w:pStyle w:val="FAREdotpoints"/>
      </w:pPr>
      <w:r w:rsidRPr="00777F47">
        <w:t>continuity of care is a critical component</w:t>
      </w:r>
      <w:r w:rsidR="002D0669">
        <w:t xml:space="preserve"> of effective treatment systems; </w:t>
      </w:r>
      <w:r w:rsidRPr="00777F47">
        <w:t>a strong evidence base exists around linkage to peer and community ‘aftercare’ support</w:t>
      </w:r>
      <w:r w:rsidR="003147FC">
        <w:t>;</w:t>
      </w:r>
      <w:r w:rsidRPr="00777F47">
        <w:t xml:space="preserve"> and </w:t>
      </w:r>
    </w:p>
    <w:p w:rsidR="00777F47" w:rsidRDefault="00777F47" w:rsidP="0084455C">
      <w:pPr>
        <w:pStyle w:val="FAREdotpoints"/>
      </w:pPr>
      <w:proofErr w:type="gramStart"/>
      <w:r w:rsidRPr="00777F47">
        <w:lastRenderedPageBreak/>
        <w:t>structured</w:t>
      </w:r>
      <w:proofErr w:type="gramEnd"/>
      <w:r w:rsidRPr="00777F47">
        <w:t xml:space="preserve"> psychosocial interventions with proven efficacy in clinical trials are not routinely translated into everyday clinical practice, due to p</w:t>
      </w:r>
      <w:r w:rsidR="003147FC">
        <w:t>roblems around service delivery.</w:t>
      </w:r>
    </w:p>
    <w:p w:rsidR="00777F47" w:rsidRPr="00777F47" w:rsidRDefault="00777F47" w:rsidP="00777F47">
      <w:pPr>
        <w:pStyle w:val="FAREnormaltext"/>
      </w:pPr>
      <w:r w:rsidRPr="00777F47">
        <w:t>To date, only two treatment outcome studies have been conducted in Australia. The first is the Australian Treatment Outcomes Study (ATOS), which recruited 825 heroin users upon entry to maintenance therapies (methadone or buprenorphine), residential rehabilitation, and detoxification in Sydney, Melbourne and Adelaide</w:t>
      </w:r>
      <w:r w:rsidR="003147FC">
        <w:t>. The</w:t>
      </w:r>
      <w:r w:rsidRPr="00777F47">
        <w:t xml:space="preserve"> sample was followed up at </w:t>
      </w:r>
      <w:r w:rsidR="003147FC">
        <w:t xml:space="preserve">one and three </w:t>
      </w:r>
      <w:r w:rsidRPr="00777F47">
        <w:t>years (</w:t>
      </w:r>
      <w:proofErr w:type="spellStart"/>
      <w:r w:rsidRPr="00777F47">
        <w:t>Teesson</w:t>
      </w:r>
      <w:proofErr w:type="spellEnd"/>
      <w:r w:rsidRPr="00777F47">
        <w:t xml:space="preserve"> et al., 2008) and a further sample was recruited of 80 heroin users who were </w:t>
      </w:r>
      <w:r w:rsidR="003147FC">
        <w:t>not currently in treatment. At one</w:t>
      </w:r>
      <w:r w:rsidRPr="00777F47">
        <w:t>-year follow-up ATOS participants had received a median of two treatment episodes since their baseline interview. There were reductions in heroin use</w:t>
      </w:r>
      <w:r w:rsidR="00084E6F">
        <w:t xml:space="preserve"> in the past month</w:t>
      </w:r>
      <w:r w:rsidRPr="00777F47">
        <w:t xml:space="preserve"> from baseline to </w:t>
      </w:r>
      <w:r w:rsidR="00084E6F">
        <w:t xml:space="preserve">12-month follow-up </w:t>
      </w:r>
      <w:r w:rsidRPr="00777F47">
        <w:t xml:space="preserve">(99% </w:t>
      </w:r>
      <w:r w:rsidR="00084E6F">
        <w:t>to 41</w:t>
      </w:r>
      <w:r w:rsidRPr="00777F47">
        <w:t>%</w:t>
      </w:r>
      <w:r w:rsidR="00084E6F">
        <w:t xml:space="preserve">) which were sustained at </w:t>
      </w:r>
      <w:r w:rsidR="003147FC">
        <w:t>two-</w:t>
      </w:r>
      <w:r w:rsidR="00084E6F">
        <w:t>year (35%) and</w:t>
      </w:r>
      <w:r w:rsidRPr="00777F47">
        <w:t xml:space="preserve"> </w:t>
      </w:r>
      <w:r w:rsidR="003147FC">
        <w:t>three-</w:t>
      </w:r>
      <w:r w:rsidRPr="00777F47">
        <w:t>year follow-up (</w:t>
      </w:r>
      <w:proofErr w:type="spellStart"/>
      <w:r w:rsidRPr="00777F47">
        <w:t>Teesson</w:t>
      </w:r>
      <w:proofErr w:type="spellEnd"/>
      <w:r w:rsidRPr="00777F47">
        <w:t xml:space="preserve"> et </w:t>
      </w:r>
      <w:r w:rsidR="007F568F">
        <w:t>al.,</w:t>
      </w:r>
      <w:r w:rsidRPr="00777F47">
        <w:t xml:space="preserve"> 2008). Reductions in heroin use were accompanied by reductions in needle sharing and injection-related health problems. There were also substantial reductions in criminal involvement and improvements in general physical and mental health. Positive outcomes were associated with more time in maintenance therapies and residential rehabilitation and fewer treatment episodes. As in other studies, ATOS drew attention to the importance of stable retention in treatment as a consistent predictor of superior treatment outcome (</w:t>
      </w:r>
      <w:proofErr w:type="spellStart"/>
      <w:r w:rsidRPr="00777F47">
        <w:t>Darke</w:t>
      </w:r>
      <w:proofErr w:type="spellEnd"/>
      <w:r w:rsidRPr="00777F47">
        <w:t xml:space="preserve"> et </w:t>
      </w:r>
      <w:r w:rsidR="007F568F">
        <w:t>al.,</w:t>
      </w:r>
      <w:r w:rsidRPr="00777F47">
        <w:t xml:space="preserve"> 2007). The second Australian study, the Methamphetamines Treatment Evaluation Study (MATES) </w:t>
      </w:r>
      <w:r w:rsidR="00A93CBE">
        <w:t>of</w:t>
      </w:r>
      <w:r w:rsidRPr="00777F47">
        <w:t xml:space="preserve"> 360 methamphetamine or amphetamine users from Sydney and Brisbane (</w:t>
      </w:r>
      <w:proofErr w:type="spellStart"/>
      <w:r w:rsidRPr="00777F47">
        <w:t>McKetin</w:t>
      </w:r>
      <w:proofErr w:type="spellEnd"/>
      <w:r w:rsidRPr="00777F47">
        <w:t xml:space="preserve"> et al., 2012) with both 1 and 3 year follow-ups, had similar findings to ATOS. Almost half of the MATES participants received additional treatment in the three months </w:t>
      </w:r>
      <w:r w:rsidR="00A93CBE">
        <w:t xml:space="preserve">following their index episode. </w:t>
      </w:r>
      <w:r w:rsidRPr="00777F47">
        <w:t>Recovery in the MATES study was defined as continued abstinence, with</w:t>
      </w:r>
      <w:r w:rsidR="003147FC">
        <w:t xml:space="preserve"> reported rates of 33% at the three-</w:t>
      </w:r>
      <w:r w:rsidRPr="00777F47">
        <w:t xml:space="preserve">month follow-up, 14% at the </w:t>
      </w:r>
      <w:r w:rsidR="003147FC">
        <w:t>one</w:t>
      </w:r>
      <w:r w:rsidRPr="00777F47">
        <w:t xml:space="preserve">-year follow-up and only 6% at the </w:t>
      </w:r>
      <w:r w:rsidR="003147FC">
        <w:t>three</w:t>
      </w:r>
      <w:r w:rsidRPr="00777F47">
        <w:t>-year follow-up (</w:t>
      </w:r>
      <w:proofErr w:type="spellStart"/>
      <w:r w:rsidRPr="00777F47">
        <w:t>McKetin</w:t>
      </w:r>
      <w:proofErr w:type="spellEnd"/>
      <w:r w:rsidRPr="00777F47">
        <w:t xml:space="preserve"> et al., 2012).  </w:t>
      </w:r>
    </w:p>
    <w:p w:rsidR="00777F47" w:rsidRPr="00777F47" w:rsidRDefault="00777F47" w:rsidP="00777F47">
      <w:pPr>
        <w:pStyle w:val="FAREnormaltext"/>
      </w:pPr>
      <w:r w:rsidRPr="00777F47">
        <w:t>In addition to substance dependence, both studies gathered information on current problems, alcohol and drug treatment experience, and past involvement with the criminal justice system. ATOS showed that mental health and social issues were common</w:t>
      </w:r>
      <w:r w:rsidR="00471551">
        <w:t>,</w:t>
      </w:r>
      <w:r w:rsidRPr="00777F47">
        <w:t xml:space="preserve"> </w:t>
      </w:r>
      <w:r w:rsidR="00471551">
        <w:t xml:space="preserve">including </w:t>
      </w:r>
      <w:r w:rsidRPr="00777F47">
        <w:t xml:space="preserve">anti-social (72%) and borderline personality disorders (47%), along with high rates of attempted suicide (37%). Similarly, many of the participants in MATES had psychiatric problems, for example major depression (38%) and panic disorder (29%). Participants had a number of broader concerns. At baseline, half the ATOS participants were receiving social security allowances (50%) and 41% had a prison history (Ross et </w:t>
      </w:r>
      <w:r w:rsidR="007F568F">
        <w:t>al.,</w:t>
      </w:r>
      <w:r w:rsidRPr="00777F47">
        <w:t xml:space="preserve"> 2005). Just over half the MATES participants were unemployed (54%) and a substantial propo</w:t>
      </w:r>
      <w:r w:rsidR="00A93CBE">
        <w:t xml:space="preserve">rtion (31%) had been in prison </w:t>
      </w:r>
      <w:r w:rsidRPr="00777F47">
        <w:t>(</w:t>
      </w:r>
      <w:proofErr w:type="spellStart"/>
      <w:r w:rsidRPr="00777F47">
        <w:t>McKetin</w:t>
      </w:r>
      <w:proofErr w:type="spellEnd"/>
      <w:r w:rsidRPr="00777F47">
        <w:t xml:space="preserve"> et al., 2012). Whilst both studies demonstrated benefits from AOD treatment despite </w:t>
      </w:r>
      <w:r w:rsidR="00A93CBE">
        <w:t xml:space="preserve">the </w:t>
      </w:r>
      <w:r w:rsidRPr="00777F47">
        <w:t>high severity and complexity</w:t>
      </w:r>
      <w:r w:rsidR="00A93CBE">
        <w:t xml:space="preserve"> of these cases</w:t>
      </w:r>
      <w:r w:rsidRPr="00777F47">
        <w:t xml:space="preserve">, with substantial need for </w:t>
      </w:r>
      <w:r w:rsidR="001F2298">
        <w:t>community service engagement</w:t>
      </w:r>
      <w:r w:rsidRPr="00777F47">
        <w:t>, those with a larger treatment ‘dose’ had better outcomes in t</w:t>
      </w:r>
      <w:r w:rsidR="001F2298">
        <w:t xml:space="preserve">he ATOS study, </w:t>
      </w:r>
      <w:r w:rsidRPr="00777F47">
        <w:t xml:space="preserve">a single episode of drug treatment had only short-term benefits in the MATES study, with a large but time-limited decrease in use of methamphetamine among clients in residential rehabilitation. </w:t>
      </w:r>
    </w:p>
    <w:p w:rsidR="00DF4F77" w:rsidRPr="007925F3" w:rsidRDefault="00DF4F77" w:rsidP="007925F3">
      <w:pPr>
        <w:pStyle w:val="heading3pp"/>
      </w:pPr>
      <w:r w:rsidRPr="007925F3">
        <w:t xml:space="preserve">The move to a systems model </w:t>
      </w:r>
    </w:p>
    <w:p w:rsidR="00777F47" w:rsidRPr="00777F47" w:rsidRDefault="006F77B8" w:rsidP="00777F47">
      <w:pPr>
        <w:pStyle w:val="FAREnormaltext"/>
      </w:pPr>
      <w:r w:rsidRPr="00777F47">
        <w:t>Systems research can help to improve access, efficiency, economy, continuity of care, and effectiveness, thereby improving the population impact of treatment services (</w:t>
      </w:r>
      <w:proofErr w:type="spellStart"/>
      <w:r w:rsidRPr="00777F47">
        <w:t>Babor</w:t>
      </w:r>
      <w:proofErr w:type="spellEnd"/>
      <w:r w:rsidRPr="00777F47">
        <w:t xml:space="preserve"> et </w:t>
      </w:r>
      <w:r w:rsidR="007F568F">
        <w:t>al.,</w:t>
      </w:r>
      <w:r w:rsidRPr="00777F47">
        <w:t xml:space="preserve"> 2008). </w:t>
      </w:r>
      <w:r w:rsidR="00777F47" w:rsidRPr="00777F47">
        <w:t xml:space="preserve">As highlighted by </w:t>
      </w:r>
      <w:proofErr w:type="spellStart"/>
      <w:r w:rsidR="00777F47" w:rsidRPr="00777F47">
        <w:t>Babor</w:t>
      </w:r>
      <w:proofErr w:type="spellEnd"/>
      <w:r w:rsidR="00777F47" w:rsidRPr="00777F47">
        <w:t xml:space="preserve"> et al (200</w:t>
      </w:r>
      <w:r w:rsidR="00471551">
        <w:t>8)</w:t>
      </w:r>
      <w:r w:rsidR="00777F47" w:rsidRPr="00777F47">
        <w:t>, most of the treatment research to date has focussed on the efficacy of various psychotherapies</w:t>
      </w:r>
      <w:r>
        <w:t xml:space="preserve"> (and pharmacotherapies)</w:t>
      </w:r>
      <w:r w:rsidR="00777F47" w:rsidRPr="00777F47">
        <w:t xml:space="preserve"> and client factors or treatment process </w:t>
      </w:r>
      <w:r w:rsidR="00777F47" w:rsidRPr="00777F47">
        <w:lastRenderedPageBreak/>
        <w:t>characteristics that mediate response to treatment. Most outcome studies have been concerned with abstinence/reduced substance use and acute health in the short-term, focussed on a specific modality (e.g. inpatient detoxification) or a specific drug, with very limited data gathered on the impact of providing optimal treatment pathways for longer-term outcomes. While exposure to treatment is an important variable in determining alcohol/drug treatment outcomes (</w:t>
      </w:r>
      <w:proofErr w:type="spellStart"/>
      <w:r w:rsidR="00777F47" w:rsidRPr="00777F47">
        <w:t>Tee</w:t>
      </w:r>
      <w:r>
        <w:t>s</w:t>
      </w:r>
      <w:r w:rsidR="00777F47" w:rsidRPr="00777F47">
        <w:t>son</w:t>
      </w:r>
      <w:proofErr w:type="spellEnd"/>
      <w:r w:rsidR="00777F47" w:rsidRPr="00777F47">
        <w:t xml:space="preserve"> et </w:t>
      </w:r>
      <w:r w:rsidR="007F568F">
        <w:t>al.,</w:t>
      </w:r>
      <w:r w:rsidR="00777F47" w:rsidRPr="00777F47">
        <w:t xml:space="preserve"> 2008; </w:t>
      </w:r>
      <w:proofErr w:type="spellStart"/>
      <w:r w:rsidR="00777F47" w:rsidRPr="00777F47">
        <w:t>McKetin</w:t>
      </w:r>
      <w:proofErr w:type="spellEnd"/>
      <w:r w:rsidR="00777F47" w:rsidRPr="00777F47">
        <w:t xml:space="preserve"> et </w:t>
      </w:r>
      <w:r w:rsidR="007F568F">
        <w:t>al.,</w:t>
      </w:r>
      <w:r w:rsidR="00777F47" w:rsidRPr="00777F47">
        <w:t xml:space="preserve"> 2012), few studies have examined service utilisation within the broader social and welfare system, hence we have limited knowledge of the optimal dose and combination of services that best serve this complex and challenging population. </w:t>
      </w:r>
    </w:p>
    <w:p w:rsidR="00777F47" w:rsidRPr="00777F47" w:rsidRDefault="00777F47" w:rsidP="00777F47">
      <w:pPr>
        <w:pStyle w:val="FAREnormaltext"/>
      </w:pPr>
      <w:r w:rsidRPr="00777F47">
        <w:t>An optimal treatment pathway might include intake and assessment, inpatient withdrawal, counselling and residential rehabilitation and care and recovery co-ordination, and links with mental health and employment services for severely dependent clients with multiple complex needs</w:t>
      </w:r>
      <w:r w:rsidR="00A93CBE">
        <w:t>,</w:t>
      </w:r>
      <w:r w:rsidRPr="00777F47">
        <w:t xml:space="preserve"> or brief psychosocial interventions for lower severity clients without additional life complexities. Spearheading this body of research is a group of US researchers (</w:t>
      </w:r>
      <w:proofErr w:type="spellStart"/>
      <w:r w:rsidRPr="00777F47">
        <w:t>Weisner</w:t>
      </w:r>
      <w:proofErr w:type="spellEnd"/>
      <w:r w:rsidRPr="00777F47">
        <w:t xml:space="preserve">, </w:t>
      </w:r>
      <w:proofErr w:type="spellStart"/>
      <w:r w:rsidRPr="00777F47">
        <w:t>Parthasarathy</w:t>
      </w:r>
      <w:proofErr w:type="spellEnd"/>
      <w:r w:rsidRPr="00777F47">
        <w:t xml:space="preserve"> and colleagues) demonstrating how contact with medical, mental health, welfare and legal systems predicts clinical outcomes for this population. Engagement with such services predicted reduced consumption in a sample of problem drinkers (</w:t>
      </w:r>
      <w:proofErr w:type="spellStart"/>
      <w:r w:rsidRPr="00777F47">
        <w:t>Weisner</w:t>
      </w:r>
      <w:proofErr w:type="spellEnd"/>
      <w:r w:rsidRPr="00777F47">
        <w:t xml:space="preserve"> et </w:t>
      </w:r>
      <w:r w:rsidR="007F568F">
        <w:t>al.,</w:t>
      </w:r>
      <w:r w:rsidRPr="00777F47">
        <w:t xml:space="preserve"> 2003), and in a longitudinal observational study clients receiving continuing care (defined as having yearly primary care and speciality substance abuse treatment and psychiatric services when needed) had twice the odds of achieving remission at follow-ups (p&lt;.001) as those without (Chi </w:t>
      </w:r>
      <w:r w:rsidR="0085618F">
        <w:t xml:space="preserve">et </w:t>
      </w:r>
      <w:r w:rsidR="007F568F">
        <w:t>al.,</w:t>
      </w:r>
      <w:r w:rsidRPr="00777F47">
        <w:t xml:space="preserve"> 2011). Another US study involving </w:t>
      </w:r>
      <w:proofErr w:type="spellStart"/>
      <w:r w:rsidRPr="00777F47">
        <w:t>Weisner</w:t>
      </w:r>
      <w:proofErr w:type="spellEnd"/>
      <w:r w:rsidRPr="00777F47">
        <w:t xml:space="preserve">, which compared service use among private and public health clients over a </w:t>
      </w:r>
      <w:r w:rsidR="001F2298">
        <w:t>seven</w:t>
      </w:r>
      <w:r w:rsidRPr="00777F47">
        <w:t>-year period, had similar findings. However, service use predicted remission only for private clients, and the pattern of service use varied according to clients’ private / public status. Specifically, private clients used more primary health and psychiatric services, while public clients tended to cycle back into alcohol and drug treatment (</w:t>
      </w:r>
      <w:proofErr w:type="spellStart"/>
      <w:r w:rsidRPr="00777F47">
        <w:t>Delucchi</w:t>
      </w:r>
      <w:proofErr w:type="spellEnd"/>
      <w:r w:rsidRPr="00777F47">
        <w:t xml:space="preserve"> et </w:t>
      </w:r>
      <w:r w:rsidR="007F568F">
        <w:t>al.,</w:t>
      </w:r>
      <w:r w:rsidRPr="00777F47">
        <w:t xml:space="preserve"> 2012), a finding proba</w:t>
      </w:r>
      <w:r w:rsidR="001F2298">
        <w:t>bly influenced by the US health</w:t>
      </w:r>
      <w:r w:rsidRPr="00777F47">
        <w:t>care financing system</w:t>
      </w:r>
      <w:r w:rsidR="003F3E02">
        <w:t>.</w:t>
      </w:r>
    </w:p>
    <w:p w:rsidR="00777F47" w:rsidRPr="00777F47" w:rsidRDefault="00777F47" w:rsidP="00777F47">
      <w:pPr>
        <w:pStyle w:val="FAREnormaltext"/>
      </w:pPr>
      <w:r w:rsidRPr="00777F47">
        <w:t xml:space="preserve">Research by </w:t>
      </w:r>
      <w:proofErr w:type="spellStart"/>
      <w:r w:rsidRPr="00777F47">
        <w:t>Weisner</w:t>
      </w:r>
      <w:proofErr w:type="spellEnd"/>
      <w:r w:rsidRPr="00777F47">
        <w:t xml:space="preserve"> and colleagues also shows the pivotal role of general practitioners in reducing </w:t>
      </w:r>
      <w:r w:rsidR="001F2298">
        <w:t>AOD</w:t>
      </w:r>
      <w:r w:rsidRPr="00777F47">
        <w:t xml:space="preserve"> clients’ use of acute services. A longitudinal observational study involving </w:t>
      </w:r>
      <w:r w:rsidR="00A93CBE">
        <w:t>AOD</w:t>
      </w:r>
      <w:r w:rsidRPr="00777F47">
        <w:t xml:space="preserve"> clients in an integrated managed health care plan matched client need to services and examined service utilisation at 18 mont</w:t>
      </w:r>
      <w:r w:rsidR="001F2298">
        <w:t>hs, and then periodically over nine</w:t>
      </w:r>
      <w:r w:rsidRPr="00777F47">
        <w:t xml:space="preserve"> years. In the year before treatment, the clients’ use of acute services was high, because of co-morbid health conditions and extreme events such as injuries and overdose. In the year following treatment entry, clients used primary health services a lot (</w:t>
      </w:r>
      <w:proofErr w:type="spellStart"/>
      <w:r w:rsidRPr="00777F47">
        <w:t>Parthasarathy</w:t>
      </w:r>
      <w:proofErr w:type="spellEnd"/>
      <w:r w:rsidRPr="00777F47">
        <w:t xml:space="preserve"> et </w:t>
      </w:r>
      <w:r w:rsidR="007F568F">
        <w:t>al.,</w:t>
      </w:r>
      <w:r w:rsidRPr="00777F47">
        <w:t xml:space="preserve"> 2012), possibly a consequence of unattended-to health problems that had been overtaken and impacted by substance use problems. Interestingly, the frequency of presentations to emergency departments and hospitals decreased substantially in associati</w:t>
      </w:r>
      <w:r w:rsidR="001F2298">
        <w:t>on with ongoing GP visits. At five-</w:t>
      </w:r>
      <w:r w:rsidRPr="00777F47">
        <w:t xml:space="preserve">years, clients with 2-10 GP visits per annum had better alcohol and drug treatment outcomes than clients with fewer than </w:t>
      </w:r>
      <w:r w:rsidR="001F2298">
        <w:t>two</w:t>
      </w:r>
      <w:r w:rsidRPr="00777F47">
        <w:t xml:space="preserve"> visits (</w:t>
      </w:r>
      <w:proofErr w:type="spellStart"/>
      <w:r w:rsidRPr="00777F47">
        <w:t>Mertens</w:t>
      </w:r>
      <w:proofErr w:type="spellEnd"/>
      <w:r w:rsidRPr="00777F47">
        <w:t xml:space="preserve"> et </w:t>
      </w:r>
      <w:r w:rsidR="007F568F">
        <w:t>al.,</w:t>
      </w:r>
      <w:r w:rsidR="001F2298">
        <w:t xml:space="preserve"> 2008). At nine-</w:t>
      </w:r>
      <w:r w:rsidRPr="00777F47">
        <w:t>years, clients with a service pattern</w:t>
      </w:r>
      <w:r w:rsidR="001F2298">
        <w:t>,</w:t>
      </w:r>
      <w:r w:rsidRPr="00777F47">
        <w:t xml:space="preserve"> including at least one GP session per annum and specialist treatment as needed had lower overall health care costs (Chi </w:t>
      </w:r>
      <w:r w:rsidR="003A033E">
        <w:t xml:space="preserve">et </w:t>
      </w:r>
      <w:r w:rsidR="007F568F">
        <w:t>al.,</w:t>
      </w:r>
      <w:r w:rsidR="003A033E">
        <w:t xml:space="preserve"> 2011</w:t>
      </w:r>
      <w:r w:rsidRPr="00777F47">
        <w:t>). A ‘continui</w:t>
      </w:r>
      <w:r w:rsidR="003F3E02">
        <w:t xml:space="preserve">ng care’ pattern of service use - </w:t>
      </w:r>
      <w:r w:rsidRPr="00777F47">
        <w:t>defined as regular primary care with refer</w:t>
      </w:r>
      <w:r w:rsidR="001F2298">
        <w:t xml:space="preserve">ral to specialty care as needed, </w:t>
      </w:r>
      <w:r w:rsidRPr="00777F47">
        <w:t>(</w:t>
      </w:r>
      <w:proofErr w:type="spellStart"/>
      <w:r w:rsidRPr="00777F47">
        <w:t>Parthasarathy</w:t>
      </w:r>
      <w:proofErr w:type="spellEnd"/>
      <w:r w:rsidRPr="00777F47">
        <w:t xml:space="preserve"> et </w:t>
      </w:r>
      <w:r w:rsidR="007F568F">
        <w:t>al.,</w:t>
      </w:r>
      <w:r w:rsidR="0084455C">
        <w:t xml:space="preserve"> 2012), </w:t>
      </w:r>
      <w:r w:rsidRPr="00777F47">
        <w:t xml:space="preserve">reduced overall cost, because demand for expensive services was substantially reduced. </w:t>
      </w:r>
    </w:p>
    <w:p w:rsidR="00777F47" w:rsidRPr="00777F47" w:rsidRDefault="00777F47" w:rsidP="00777F47">
      <w:pPr>
        <w:pStyle w:val="FAREnormaltext"/>
      </w:pPr>
      <w:r w:rsidRPr="00777F47">
        <w:t>Research involving clients</w:t>
      </w:r>
      <w:r w:rsidR="00A93CBE">
        <w:t xml:space="preserve"> in US managed-care health plans</w:t>
      </w:r>
      <w:r w:rsidRPr="00777F47">
        <w:t xml:space="preserve"> has shown that when </w:t>
      </w:r>
      <w:r w:rsidR="001F2298">
        <w:t>AOD</w:t>
      </w:r>
      <w:r w:rsidRPr="00777F47">
        <w:t xml:space="preserve"> treatment is successful, medical costs for family members are also reduced (</w:t>
      </w:r>
      <w:proofErr w:type="spellStart"/>
      <w:r w:rsidRPr="00777F47">
        <w:t>Weisner</w:t>
      </w:r>
      <w:proofErr w:type="spellEnd"/>
      <w:r w:rsidRPr="00777F47">
        <w:t xml:space="preserve"> et </w:t>
      </w:r>
      <w:r w:rsidR="007F568F">
        <w:t>al.,</w:t>
      </w:r>
      <w:r w:rsidRPr="00777F47">
        <w:t xml:space="preserve"> 2010). This work reinforces the importance of service models that provide ongoing</w:t>
      </w:r>
      <w:r w:rsidR="00B94A96">
        <w:t xml:space="preserve"> </w:t>
      </w:r>
      <w:r w:rsidRPr="00777F47">
        <w:t xml:space="preserve">or continuing care, maintaining a </w:t>
      </w:r>
      <w:r w:rsidRPr="00777F47">
        <w:lastRenderedPageBreak/>
        <w:t xml:space="preserve">general level of support for clients and enabling their access to more intensive services on detection of elevated need. There are substantial benefits for </w:t>
      </w:r>
      <w:r w:rsidR="001F2298">
        <w:t>AOD</w:t>
      </w:r>
      <w:r w:rsidRPr="00777F47">
        <w:t xml:space="preserve"> clients, their families and society (in terms both of costs and net benefits). </w:t>
      </w:r>
    </w:p>
    <w:p w:rsidR="00777F47" w:rsidRPr="00777F47" w:rsidRDefault="00777F47" w:rsidP="00777F47">
      <w:pPr>
        <w:pStyle w:val="FAREnormaltext"/>
      </w:pPr>
      <w:r w:rsidRPr="00777F47">
        <w:t xml:space="preserve">But while findings from the US suggest important directions for health system development, the findings are not easily transferable to the Australian context given funding, client, and health system variations. What is evident is the need for longitudinal research within an Australian health services context to examine the net result of </w:t>
      </w:r>
      <w:r w:rsidR="001F2298">
        <w:t>AOD</w:t>
      </w:r>
      <w:r w:rsidRPr="00777F47">
        <w:t xml:space="preserve"> on service usage and identify service models that reduce inappropriate use of acute services while providing appropriate care. Such research will inform the design and placement of </w:t>
      </w:r>
      <w:r w:rsidR="001F2298">
        <w:t>AOD</w:t>
      </w:r>
      <w:r w:rsidRPr="00777F47">
        <w:t xml:space="preserve"> treatment in terms of integration with other parts of health service as well as in terms of intersection with welfare services. It provides an opportunity to move beyond an episodic, crisis-oriented approach to substance use problems to engaging in ongoing support models that are inclusive of different parts of health, and include consideration of the role of welfare services in responding to client concerns associated with marginalisation rather than dependence.</w:t>
      </w:r>
    </w:p>
    <w:p w:rsidR="00143847" w:rsidRDefault="00777F47" w:rsidP="00777F47">
      <w:pPr>
        <w:pStyle w:val="FAREnormaltext"/>
      </w:pPr>
      <w:r w:rsidRPr="00777F47">
        <w:t xml:space="preserve">It is evident that, once in treatment, many clients improve. However, questions remain about what combination of service use is associated with these improvements and how systems can be configured to optimise and maintain these treatment outcomes. The literature on treatment effectiveness to date is limited in that outcome studies typically describe the response to an isolated episode of care within a particular treatment modality, e.g. inpatient detoxification, which represents only a fraction of the overall treatment episode. In addition, while Australian outcome studies typically involve participants using major illicit drugs (heroin, amphetamines), there has been no cohort study of alcohol and cannabis users in Australia, despite these being the most commonly abused substances and the two most frequent primary drugs of concern among 659 AOD services across Australia (AIHW, 2013), accounting for 70% of treatment episodes in 2009-10 (48% alcohol and 23% cannabis) (AIHW, 2011). Whilst there is increasing recognition that specialist AOD services are merely one component of a larger interconnected system which includes health and welfare </w:t>
      </w:r>
      <w:r w:rsidRPr="00410E52">
        <w:t>services, the extent of inter and intra-sectorial linkage and the resulting pathways of care for clients accessing AO</w:t>
      </w:r>
      <w:r w:rsidRPr="00DF4E2B">
        <w:t>D specialist services remain poorly understood.</w:t>
      </w:r>
      <w:r w:rsidR="00895610" w:rsidRPr="00410E52">
        <w:t xml:space="preserve"> </w:t>
      </w:r>
    </w:p>
    <w:p w:rsidR="003C46C9" w:rsidRDefault="00143847" w:rsidP="002E54D0">
      <w:pPr>
        <w:pStyle w:val="FAREnormaltext"/>
      </w:pPr>
      <w:r>
        <w:t xml:space="preserve">Nevertheless, </w:t>
      </w:r>
      <w:proofErr w:type="spellStart"/>
      <w:r w:rsidRPr="00A568C5">
        <w:t>Babor</w:t>
      </w:r>
      <w:proofErr w:type="spellEnd"/>
      <w:r w:rsidRPr="00A568C5">
        <w:t xml:space="preserve"> et al. (2008</w:t>
      </w:r>
      <w:r>
        <w:t>; 2010</w:t>
      </w:r>
      <w:r w:rsidRPr="00A568C5">
        <w:t xml:space="preserve">) suggest that the cumulative impact of </w:t>
      </w:r>
      <w:r>
        <w:t xml:space="preserve">engaging with </w:t>
      </w:r>
      <w:r w:rsidRPr="00A568C5">
        <w:t>AOD services and non-specialist AOD services in the community should translate into population health benefits, such as reduced mortality, morbidity, disability, suicide, crime, unemployment and healthcare costs.</w:t>
      </w:r>
      <w:r w:rsidRPr="00143847">
        <w:t xml:space="preserve"> </w:t>
      </w:r>
    </w:p>
    <w:p w:rsidR="00EB318C" w:rsidRPr="002856CC" w:rsidRDefault="00EB318C" w:rsidP="00173B16">
      <w:pPr>
        <w:pStyle w:val="FAREH2Nbr"/>
      </w:pPr>
      <w:bookmarkStart w:id="62" w:name="_Toc398105038"/>
      <w:r w:rsidRPr="002856CC">
        <w:t xml:space="preserve">Study </w:t>
      </w:r>
      <w:r w:rsidR="001A14D1" w:rsidRPr="002856CC">
        <w:t>r</w:t>
      </w:r>
      <w:r w:rsidRPr="002856CC">
        <w:t>ationale</w:t>
      </w:r>
      <w:bookmarkEnd w:id="62"/>
      <w:r w:rsidRPr="002856CC">
        <w:t xml:space="preserve"> </w:t>
      </w:r>
    </w:p>
    <w:p w:rsidR="000524F1" w:rsidRDefault="00777F47" w:rsidP="00777F47">
      <w:pPr>
        <w:pStyle w:val="FAREnormaltext"/>
      </w:pPr>
      <w:r w:rsidRPr="00777F47">
        <w:t>The overarching aim of the current ‘Patient Pathways’ p</w:t>
      </w:r>
      <w:r w:rsidR="00AB04D9">
        <w:t xml:space="preserve">roject is to examine treatment </w:t>
      </w:r>
      <w:r w:rsidRPr="00777F47">
        <w:t xml:space="preserve">outcomes as they relate to trajectories of clients as they move through the AOD system, </w:t>
      </w:r>
      <w:r w:rsidR="000524F1">
        <w:t>the</w:t>
      </w:r>
      <w:r w:rsidR="0084455C">
        <w:t>ir</w:t>
      </w:r>
      <w:r w:rsidRPr="00777F47">
        <w:t xml:space="preserve"> intersection</w:t>
      </w:r>
      <w:r w:rsidR="000524F1">
        <w:t xml:space="preserve"> between AOD services and </w:t>
      </w:r>
      <w:r w:rsidRPr="00777F47">
        <w:t xml:space="preserve">other health and welfare services and </w:t>
      </w:r>
      <w:r w:rsidR="000524F1">
        <w:t xml:space="preserve">the </w:t>
      </w:r>
      <w:r w:rsidRPr="00777F47">
        <w:t>resulting demand on acute services</w:t>
      </w:r>
      <w:r w:rsidR="00152B2E">
        <w:t xml:space="preserve"> (see Figure </w:t>
      </w:r>
      <w:r w:rsidR="0084455C">
        <w:t>1</w:t>
      </w:r>
      <w:r w:rsidR="00152B2E">
        <w:t>)</w:t>
      </w:r>
      <w:r w:rsidRPr="00777F47">
        <w:t xml:space="preserve">. The research aims to examine how and when service integration occurs, identify pertinent gaps between services, and outline optimal patient pathways in relation to multiple treatment goals and desired outcomes (e.g. abstinence, reduced problem severity, </w:t>
      </w:r>
      <w:r w:rsidR="001F2298">
        <w:t xml:space="preserve">quality of life </w:t>
      </w:r>
      <w:r w:rsidRPr="00777F47">
        <w:t>and treatment satisfaction)</w:t>
      </w:r>
      <w:r w:rsidR="000524F1">
        <w:t xml:space="preserve"> and the extent to which these vary according to patient population (i.e</w:t>
      </w:r>
      <w:r w:rsidR="001F2298">
        <w:t>.</w:t>
      </w:r>
      <w:r w:rsidR="000524F1">
        <w:t xml:space="preserve"> primary drug of concern, severity and client complexity).</w:t>
      </w:r>
    </w:p>
    <w:p w:rsidR="003F3E02" w:rsidRDefault="00777F47" w:rsidP="00777F47">
      <w:pPr>
        <w:pStyle w:val="FAREnormaltext"/>
      </w:pPr>
      <w:r w:rsidRPr="00777F47">
        <w:lastRenderedPageBreak/>
        <w:t xml:space="preserve">This is achieved through the amalgamation of findings arising from multiple research methodologies. The first is a review of the AOD treatment system at a national level (system description) which provides a snapshot of the AOD treatment system in each state and territory, using two data sources: document review and key informant interviews. The second uses quantitative research methods in the form of a longitudinal cohort study of clients entering the AOD </w:t>
      </w:r>
      <w:r w:rsidR="001F2298">
        <w:t>treatment system in two states of Victoria and Western Australia</w:t>
      </w:r>
      <w:r w:rsidRPr="00777F47">
        <w:t xml:space="preserve">, starting with baseline interviews which delineate the characteristics of those entering treatment, and the extent to which they engage with primary care, mental health acute and welfare services in the year prior to study recruitment. A one-year follow-up enables typical treatment trajectories to be mapped out, and reports on level of satisfaction, and the extent of subsequent engagement in health and welfare services, as well as measuring treatment outcomes and the impact on acute service use with different treatment pathways. These findings </w:t>
      </w:r>
      <w:r w:rsidR="00B94A96">
        <w:t xml:space="preserve">are </w:t>
      </w:r>
      <w:r w:rsidRPr="00777F47">
        <w:t>complement</w:t>
      </w:r>
      <w:r w:rsidR="00B94A96">
        <w:t>ed with</w:t>
      </w:r>
      <w:r w:rsidRPr="00777F47">
        <w:t xml:space="preserve"> data derived from the third component, </w:t>
      </w:r>
      <w:r w:rsidR="003F3E02">
        <w:t xml:space="preserve">involving </w:t>
      </w:r>
      <w:r w:rsidRPr="00777F47">
        <w:t xml:space="preserve">qualitative interviews capturing the clients’ personal experiences of their journey through the AOD treatment system, what worked for them, and how the system can be improved to provide greater continuity and integrated care. </w:t>
      </w:r>
    </w:p>
    <w:p w:rsidR="000F4F92" w:rsidRDefault="000F4F92" w:rsidP="000F4F92">
      <w:pPr>
        <w:pStyle w:val="FAREnormaltext"/>
      </w:pPr>
      <w:r>
        <w:t xml:space="preserve">Whilst longitudinal client interviews are important for determining long-term outcomes, such approaches are reliant on the accuracy of participant recall, as well as successful retention at each subsequent wave of assessment. Use of population level administrative data collected by health and community service systems provides an invaluable source of information regarding AOD harms and impacts on services, due to its capacity to capture hidden populations and to record more detailed data than can be obtained through primary data collection methods (Matthews et al., 2013; Lloyd and </w:t>
      </w:r>
      <w:proofErr w:type="spellStart"/>
      <w:r>
        <w:t>McElwee</w:t>
      </w:r>
      <w:proofErr w:type="spellEnd"/>
      <w:r>
        <w:t xml:space="preserve">, 2011). Therefore the fourth component to the research uses record linkage data across systems to generate a more complete picture of service utilisation without the time and recall bias inherent in client-derived data </w:t>
      </w:r>
      <w:r w:rsidRPr="000F4F92">
        <w:t>(see ‘A study of patient pathways in alcohol and other drug treatment - supplementary linkage component report’ (</w:t>
      </w:r>
      <w:proofErr w:type="spellStart"/>
      <w:r w:rsidRPr="000F4F92">
        <w:t>Lubman</w:t>
      </w:r>
      <w:proofErr w:type="spellEnd"/>
      <w:r w:rsidRPr="000F4F92">
        <w:t xml:space="preserve"> et al., 2014)) for detailed analyses for high risk populations’)</w:t>
      </w:r>
      <w:r>
        <w:t xml:space="preserve">. The findings from all four study components are synthesised in a final chapter which highlights the key findings, implications for policy and practice, and provides a series of recommendations for Commonwealth and state governments, many of whom are currently reviewing the model of AOD service provision in Australia. </w:t>
      </w:r>
    </w:p>
    <w:p w:rsidR="00895610" w:rsidRDefault="00777F47" w:rsidP="00895610">
      <w:pPr>
        <w:pStyle w:val="FAREnormaltext"/>
      </w:pPr>
      <w:r w:rsidRPr="00777F47">
        <w:t>The Patient Pathways study is Australia’s largest prospective alcohol and drug treatment outcome study, and is unique in its focus on treatment pathways and coordinated care in the year prior to treatment entry, as well as continuity of care in the year following treatment initiation. The Pathways stu</w:t>
      </w:r>
      <w:r w:rsidR="005B4859">
        <w:t>dy examines frequency of health</w:t>
      </w:r>
      <w:r w:rsidRPr="00777F47">
        <w:t xml:space="preserve">care service use (including subsequent AOD specialist service use, engagement with </w:t>
      </w:r>
      <w:r w:rsidR="005B4859">
        <w:t>GPs</w:t>
      </w:r>
      <w:r w:rsidRPr="00777F47">
        <w:t xml:space="preserve">, mental health etc.), as well as social/welfare service use (housing, employment), criminal justice and acute service use (presentations to ambulances, emergency departments, inpatient hospitalisation, etc.), providing a </w:t>
      </w:r>
      <w:r w:rsidR="005B4859">
        <w:t>one</w:t>
      </w:r>
      <w:r w:rsidRPr="00777F47">
        <w:t>-year snapshot of pathways of specialist AOD treatment and non-specialist wraparound packages of care, with the year of experience linked to patient outcomes.</w:t>
      </w:r>
      <w:r w:rsidR="00895610">
        <w:t xml:space="preserve"> </w:t>
      </w:r>
    </w:p>
    <w:p w:rsidR="00FD2002" w:rsidRDefault="00FD2002" w:rsidP="00895610">
      <w:pPr>
        <w:pStyle w:val="FAREnormaltext"/>
      </w:pPr>
      <w:r w:rsidRPr="00FD2002">
        <w:rPr>
          <w:noProof/>
          <w:lang w:val="en-AU" w:eastAsia="en-AU"/>
        </w:rPr>
        <w:lastRenderedPageBreak/>
        <w:drawing>
          <wp:inline distT="0" distB="0" distL="0" distR="0">
            <wp:extent cx="4558353" cy="3418765"/>
            <wp:effectExtent l="0" t="0" r="0" b="0"/>
            <wp:docPr id="26" name="Picture 1" descr="financial/legal counselling, workplace/employment programs, harm reduction e.g. NSP, mutual aid organisations, emergency services, general medicine and chronic disease treatment, social/welfare services, criminal justice, housing/homeless services, primary care, mental health " title="AOD specialist treatme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555961" cy="3416971"/>
                    </a:xfrm>
                    <a:prstGeom prst="rect">
                      <a:avLst/>
                    </a:prstGeom>
                  </pic:spPr>
                </pic:pic>
              </a:graphicData>
            </a:graphic>
          </wp:inline>
        </w:drawing>
      </w:r>
    </w:p>
    <w:p w:rsidR="000172AB" w:rsidRDefault="0084455C" w:rsidP="00754BDC">
      <w:pPr>
        <w:pStyle w:val="FARETableStyle1"/>
      </w:pPr>
      <w:bookmarkStart w:id="63" w:name="_Toc398105109"/>
      <w:proofErr w:type="gramStart"/>
      <w:r w:rsidRPr="00241E30">
        <w:t xml:space="preserve">Figure </w:t>
      </w:r>
      <w:r w:rsidR="00BE3D19">
        <w:fldChar w:fldCharType="begin"/>
      </w:r>
      <w:r w:rsidR="004533A7">
        <w:instrText xml:space="preserve"> STYLEREF 1 \s </w:instrText>
      </w:r>
      <w:r w:rsidR="00BE3D19">
        <w:fldChar w:fldCharType="separate"/>
      </w:r>
      <w:r w:rsidR="00E150CA">
        <w:rPr>
          <w:noProof/>
        </w:rPr>
        <w:t>1</w:t>
      </w:r>
      <w:r w:rsidR="00BE3D19">
        <w:rPr>
          <w:noProof/>
        </w:rPr>
        <w:fldChar w:fldCharType="end"/>
      </w:r>
      <w:r w:rsidRPr="00241E30">
        <w:t>.</w:t>
      </w:r>
      <w:proofErr w:type="gramEnd"/>
      <w:r w:rsidR="00BE3D19">
        <w:fldChar w:fldCharType="begin"/>
      </w:r>
      <w:r>
        <w:instrText xml:space="preserve"> SEQ Figure \* ARABIC \s 1 </w:instrText>
      </w:r>
      <w:r w:rsidR="00BE3D19">
        <w:fldChar w:fldCharType="separate"/>
      </w:r>
      <w:r w:rsidR="00E150CA">
        <w:rPr>
          <w:noProof/>
        </w:rPr>
        <w:t>1</w:t>
      </w:r>
      <w:r w:rsidR="00BE3D19">
        <w:rPr>
          <w:noProof/>
        </w:rPr>
        <w:fldChar w:fldCharType="end"/>
      </w:r>
      <w:r w:rsidR="00E41BCC">
        <w:t xml:space="preserve"> </w:t>
      </w:r>
      <w:r w:rsidR="00561263">
        <w:t xml:space="preserve"> </w:t>
      </w:r>
      <w:r w:rsidRPr="0084455C">
        <w:t xml:space="preserve">Conceptual model of </w:t>
      </w:r>
      <w:r w:rsidR="00D57802">
        <w:t xml:space="preserve">AOD </w:t>
      </w:r>
      <w:r w:rsidRPr="0084455C">
        <w:t xml:space="preserve">treatment system and its connections with other sectors examined as part of the patient pathway in the current study (adapted from </w:t>
      </w:r>
      <w:proofErr w:type="spellStart"/>
      <w:r w:rsidRPr="0084455C">
        <w:t>Babor</w:t>
      </w:r>
      <w:proofErr w:type="spellEnd"/>
      <w:r w:rsidRPr="0084455C">
        <w:t xml:space="preserve"> et al., 2008)</w:t>
      </w:r>
      <w:bookmarkEnd w:id="63"/>
    </w:p>
    <w:p w:rsidR="00754BDC" w:rsidRDefault="00754BDC">
      <w:pPr>
        <w:spacing w:after="120" w:line="240" w:lineRule="auto"/>
        <w:ind w:left="1191" w:hanging="1134"/>
        <w:jc w:val="both"/>
        <w:rPr>
          <w:b/>
          <w:lang w:val="en-GB" w:eastAsia="en-AU"/>
        </w:rPr>
      </w:pPr>
      <w:bookmarkStart w:id="64" w:name="_Toc398105059"/>
      <w:r>
        <w:br w:type="page"/>
      </w:r>
    </w:p>
    <w:p w:rsidR="009C2FDB" w:rsidRDefault="005E640F" w:rsidP="00777F47">
      <w:pPr>
        <w:pStyle w:val="FAREtableheading"/>
      </w:pPr>
      <w:proofErr w:type="gramStart"/>
      <w:r w:rsidRPr="00C2662D">
        <w:lastRenderedPageBreak/>
        <w:t xml:space="preserve">Table </w:t>
      </w:r>
      <w:r w:rsidR="00BE3D19">
        <w:fldChar w:fldCharType="begin"/>
      </w:r>
      <w:r w:rsidR="00B25A9F">
        <w:instrText xml:space="preserve"> STYLEREF 1 \s </w:instrText>
      </w:r>
      <w:r w:rsidR="00BE3D19">
        <w:fldChar w:fldCharType="separate"/>
      </w:r>
      <w:r w:rsidR="00E150CA">
        <w:rPr>
          <w:noProof/>
        </w:rPr>
        <w:t>1</w:t>
      </w:r>
      <w:r w:rsidR="00BE3D19">
        <w:fldChar w:fldCharType="end"/>
      </w:r>
      <w:r w:rsidRPr="00C2662D">
        <w:t>.</w:t>
      </w:r>
      <w:proofErr w:type="gramEnd"/>
      <w:r w:rsidR="00BE3D19" w:rsidRPr="00C2662D">
        <w:fldChar w:fldCharType="begin"/>
      </w:r>
      <w:r w:rsidRPr="00C2662D">
        <w:instrText xml:space="preserve"> SEQ Table \* ARABIC \s 1 </w:instrText>
      </w:r>
      <w:r w:rsidR="00BE3D19" w:rsidRPr="00C2662D">
        <w:fldChar w:fldCharType="separate"/>
      </w:r>
      <w:r w:rsidR="00E150CA">
        <w:rPr>
          <w:noProof/>
        </w:rPr>
        <w:t>1</w:t>
      </w:r>
      <w:r w:rsidR="00BE3D19" w:rsidRPr="00C2662D">
        <w:fldChar w:fldCharType="end"/>
      </w:r>
      <w:r w:rsidR="006244F5">
        <w:t xml:space="preserve">  </w:t>
      </w:r>
      <w:r w:rsidRPr="00C2662D">
        <w:t xml:space="preserve">Summary of the major international AOD </w:t>
      </w:r>
      <w:r w:rsidR="00B94A96">
        <w:t xml:space="preserve">treatment system </w:t>
      </w:r>
      <w:r w:rsidRPr="00C2662D">
        <w:t>outcome studies to date</w:t>
      </w:r>
      <w:bookmarkEnd w:id="64"/>
    </w:p>
    <w:tbl>
      <w:tblPr>
        <w:tblStyle w:val="TableGrid"/>
        <w:tblW w:w="558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ummary of the major international AOD treatment system outcome studies to date "/>
      </w:tblPr>
      <w:tblGrid>
        <w:gridCol w:w="1961"/>
        <w:gridCol w:w="1125"/>
        <w:gridCol w:w="1970"/>
        <w:gridCol w:w="1850"/>
        <w:gridCol w:w="3408"/>
      </w:tblGrid>
      <w:tr w:rsidR="006C4481" w:rsidRPr="00777F47" w:rsidTr="00046CCA">
        <w:trPr>
          <w:tblHeader/>
        </w:trPr>
        <w:tc>
          <w:tcPr>
            <w:tcW w:w="950" w:type="pct"/>
            <w:tcBorders>
              <w:top w:val="single" w:sz="4" w:space="0" w:color="auto"/>
              <w:bottom w:val="single" w:sz="4" w:space="0" w:color="auto"/>
            </w:tcBorders>
          </w:tcPr>
          <w:p w:rsidR="006C4481" w:rsidRPr="00CE651A" w:rsidRDefault="006C4481" w:rsidP="006C4481">
            <w:pPr>
              <w:keepNext/>
              <w:spacing w:after="0" w:line="240" w:lineRule="auto"/>
              <w:rPr>
                <w:rFonts w:asciiTheme="minorHAnsi" w:hAnsiTheme="minorHAnsi" w:cstheme="majorBidi"/>
                <w:b/>
                <w:color w:val="000000"/>
                <w:sz w:val="22"/>
                <w:szCs w:val="22"/>
              </w:rPr>
            </w:pPr>
            <w:r w:rsidRPr="00CE651A">
              <w:rPr>
                <w:rFonts w:asciiTheme="minorHAnsi" w:hAnsiTheme="minorHAnsi" w:cstheme="majorBidi"/>
                <w:b/>
                <w:color w:val="000000"/>
                <w:sz w:val="22"/>
                <w:szCs w:val="22"/>
              </w:rPr>
              <w:t>Name</w:t>
            </w:r>
          </w:p>
        </w:tc>
        <w:tc>
          <w:tcPr>
            <w:tcW w:w="545" w:type="pct"/>
            <w:tcBorders>
              <w:top w:val="single" w:sz="4" w:space="0" w:color="auto"/>
              <w:bottom w:val="single" w:sz="4" w:space="0" w:color="auto"/>
            </w:tcBorders>
          </w:tcPr>
          <w:p w:rsidR="006C4481" w:rsidRPr="00CE651A" w:rsidRDefault="006C4481" w:rsidP="006C4481">
            <w:pPr>
              <w:keepNext/>
              <w:spacing w:after="0" w:line="240" w:lineRule="auto"/>
              <w:rPr>
                <w:rFonts w:asciiTheme="minorHAnsi" w:hAnsiTheme="minorHAnsi" w:cstheme="majorBidi"/>
                <w:b/>
                <w:color w:val="000000"/>
                <w:sz w:val="22"/>
                <w:szCs w:val="22"/>
              </w:rPr>
            </w:pPr>
            <w:r w:rsidRPr="00CE651A">
              <w:rPr>
                <w:rFonts w:asciiTheme="minorHAnsi" w:hAnsiTheme="minorHAnsi" w:cstheme="majorBidi"/>
                <w:b/>
                <w:color w:val="000000"/>
                <w:sz w:val="22"/>
                <w:szCs w:val="22"/>
              </w:rPr>
              <w:t>Country</w:t>
            </w:r>
          </w:p>
        </w:tc>
        <w:tc>
          <w:tcPr>
            <w:tcW w:w="955" w:type="pct"/>
            <w:tcBorders>
              <w:top w:val="single" w:sz="4" w:space="0" w:color="auto"/>
              <w:bottom w:val="single" w:sz="4" w:space="0" w:color="auto"/>
            </w:tcBorders>
          </w:tcPr>
          <w:p w:rsidR="006C4481" w:rsidRPr="00CE651A" w:rsidRDefault="006C4481" w:rsidP="006C4481">
            <w:pPr>
              <w:keepNext/>
              <w:spacing w:after="0" w:line="240" w:lineRule="auto"/>
              <w:rPr>
                <w:rFonts w:asciiTheme="minorHAnsi" w:hAnsiTheme="minorHAnsi" w:cstheme="majorBidi"/>
                <w:b/>
                <w:color w:val="000000"/>
                <w:sz w:val="22"/>
                <w:szCs w:val="22"/>
              </w:rPr>
            </w:pPr>
            <w:r w:rsidRPr="00CE651A">
              <w:rPr>
                <w:rFonts w:asciiTheme="minorHAnsi" w:hAnsiTheme="minorHAnsi" w:cstheme="majorBidi"/>
                <w:b/>
                <w:color w:val="000000"/>
                <w:sz w:val="22"/>
                <w:szCs w:val="22"/>
              </w:rPr>
              <w:t xml:space="preserve">Dates </w:t>
            </w:r>
          </w:p>
        </w:tc>
        <w:tc>
          <w:tcPr>
            <w:tcW w:w="897" w:type="pct"/>
            <w:tcBorders>
              <w:top w:val="single" w:sz="4" w:space="0" w:color="auto"/>
              <w:bottom w:val="single" w:sz="4" w:space="0" w:color="auto"/>
            </w:tcBorders>
          </w:tcPr>
          <w:p w:rsidR="006C4481" w:rsidRPr="00CE651A" w:rsidRDefault="006C4481" w:rsidP="006C4481">
            <w:pPr>
              <w:keepNext/>
              <w:spacing w:after="0" w:line="240" w:lineRule="auto"/>
              <w:rPr>
                <w:rFonts w:asciiTheme="minorHAnsi" w:hAnsiTheme="minorHAnsi" w:cstheme="majorBidi"/>
                <w:b/>
                <w:color w:val="000000"/>
                <w:sz w:val="22"/>
                <w:szCs w:val="22"/>
              </w:rPr>
            </w:pPr>
            <w:r w:rsidRPr="00CE651A">
              <w:rPr>
                <w:rFonts w:asciiTheme="minorHAnsi" w:hAnsiTheme="minorHAnsi" w:cstheme="majorBidi"/>
                <w:b/>
                <w:color w:val="000000"/>
                <w:sz w:val="22"/>
                <w:szCs w:val="22"/>
              </w:rPr>
              <w:t>Sample</w:t>
            </w:r>
          </w:p>
        </w:tc>
        <w:tc>
          <w:tcPr>
            <w:tcW w:w="1652" w:type="pct"/>
            <w:tcBorders>
              <w:top w:val="single" w:sz="4" w:space="0" w:color="auto"/>
              <w:bottom w:val="single" w:sz="4" w:space="0" w:color="auto"/>
            </w:tcBorders>
          </w:tcPr>
          <w:p w:rsidR="006C4481" w:rsidRPr="00CE651A" w:rsidRDefault="006C4481" w:rsidP="006C4481">
            <w:pPr>
              <w:keepNext/>
              <w:spacing w:after="0" w:line="240" w:lineRule="auto"/>
              <w:rPr>
                <w:rFonts w:asciiTheme="minorHAnsi" w:hAnsiTheme="minorHAnsi" w:cstheme="majorBidi"/>
                <w:b/>
                <w:color w:val="000000"/>
                <w:sz w:val="22"/>
                <w:szCs w:val="22"/>
              </w:rPr>
            </w:pPr>
            <w:r w:rsidRPr="00CE651A">
              <w:rPr>
                <w:rFonts w:asciiTheme="minorHAnsi" w:hAnsiTheme="minorHAnsi" w:cstheme="majorBidi"/>
                <w:b/>
                <w:color w:val="000000"/>
                <w:sz w:val="22"/>
                <w:szCs w:val="22"/>
              </w:rPr>
              <w:t xml:space="preserve">Study population drawn from these modalities: </w:t>
            </w:r>
          </w:p>
        </w:tc>
      </w:tr>
      <w:tr w:rsidR="006C4481" w:rsidRPr="00777F47" w:rsidTr="006C4481">
        <w:tc>
          <w:tcPr>
            <w:tcW w:w="950" w:type="pct"/>
            <w:tcBorders>
              <w:top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Drug Abuse Reporting Programme (DARP)</w:t>
            </w:r>
            <w:r w:rsidRPr="00E46BD2">
              <w:rPr>
                <w:rFonts w:asciiTheme="minorHAnsi" w:hAnsiTheme="minorHAnsi" w:cstheme="majorBidi"/>
                <w:color w:val="000000"/>
                <w:vertAlign w:val="superscript"/>
              </w:rPr>
              <w:t>1</w:t>
            </w:r>
          </w:p>
        </w:tc>
        <w:tc>
          <w:tcPr>
            <w:tcW w:w="545" w:type="pct"/>
            <w:tcBorders>
              <w:top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USA</w:t>
            </w:r>
          </w:p>
        </w:tc>
        <w:tc>
          <w:tcPr>
            <w:tcW w:w="955" w:type="pct"/>
            <w:tcBorders>
              <w:top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1968-1980 (12 year follow-ups)</w:t>
            </w:r>
          </w:p>
        </w:tc>
        <w:tc>
          <w:tcPr>
            <w:tcW w:w="897" w:type="pct"/>
            <w:tcBorders>
              <w:top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44,000 at intake; over 6,000 followed up; 697 at 12 years</w:t>
            </w:r>
          </w:p>
        </w:tc>
        <w:tc>
          <w:tcPr>
            <w:tcW w:w="1652" w:type="pct"/>
            <w:tcBorders>
              <w:top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Methadone maintenance, therapeutic community, out-patient drug free, out-patient detoxification</w:t>
            </w:r>
          </w:p>
        </w:tc>
      </w:tr>
      <w:tr w:rsidR="006C4481" w:rsidRPr="00777F47" w:rsidTr="006C4481">
        <w:tc>
          <w:tcPr>
            <w:tcW w:w="950"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Treatment Outcome Prospective Study (TOPS)</w:t>
            </w:r>
            <w:r w:rsidRPr="00E46BD2">
              <w:rPr>
                <w:rFonts w:asciiTheme="minorHAnsi" w:hAnsiTheme="minorHAnsi" w:cstheme="majorBidi"/>
                <w:color w:val="000000"/>
                <w:vertAlign w:val="superscript"/>
              </w:rPr>
              <w:t>2</w:t>
            </w:r>
          </w:p>
        </w:tc>
        <w:tc>
          <w:tcPr>
            <w:tcW w:w="545"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USA</w:t>
            </w:r>
          </w:p>
        </w:tc>
        <w:tc>
          <w:tcPr>
            <w:tcW w:w="955"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1979 – 1986 (2 waves with 3-5 year follow-up)</w:t>
            </w:r>
          </w:p>
        </w:tc>
        <w:tc>
          <w:tcPr>
            <w:tcW w:w="897"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11,750 patients at enrolment</w:t>
            </w:r>
          </w:p>
        </w:tc>
        <w:tc>
          <w:tcPr>
            <w:tcW w:w="1652"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Methadone maintenance, residential treatment and outpatient drug-free treatment</w:t>
            </w:r>
          </w:p>
        </w:tc>
      </w:tr>
      <w:tr w:rsidR="006C4481" w:rsidRPr="00777F47" w:rsidTr="006C4481">
        <w:tc>
          <w:tcPr>
            <w:tcW w:w="950"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Drug Abuse Treatment Outcome Study (DATOS)</w:t>
            </w:r>
            <w:r w:rsidRPr="00E46BD2">
              <w:rPr>
                <w:rFonts w:asciiTheme="minorHAnsi" w:hAnsiTheme="minorHAnsi" w:cstheme="majorBidi"/>
                <w:color w:val="000000"/>
                <w:vertAlign w:val="superscript"/>
              </w:rPr>
              <w:t>3</w:t>
            </w:r>
          </w:p>
        </w:tc>
        <w:tc>
          <w:tcPr>
            <w:tcW w:w="545"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USA</w:t>
            </w:r>
          </w:p>
        </w:tc>
        <w:tc>
          <w:tcPr>
            <w:tcW w:w="955"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1989 – 1991 (measures at 1 and 3 months in treatment and 12 months after)</w:t>
            </w:r>
          </w:p>
        </w:tc>
        <w:tc>
          <w:tcPr>
            <w:tcW w:w="897"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 xml:space="preserve">10,010 at intake –4,500 followed up at 12 months </w:t>
            </w:r>
          </w:p>
        </w:tc>
        <w:tc>
          <w:tcPr>
            <w:tcW w:w="1652"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Long-term residential; short-term inpatient; methadone maintenance and outpatient drug free</w:t>
            </w:r>
          </w:p>
        </w:tc>
      </w:tr>
      <w:tr w:rsidR="006C4481" w:rsidRPr="00777F47" w:rsidTr="006C4481">
        <w:tc>
          <w:tcPr>
            <w:tcW w:w="950"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Project MATCH</w:t>
            </w:r>
            <w:r w:rsidRPr="00E46BD2">
              <w:rPr>
                <w:rFonts w:asciiTheme="minorHAnsi" w:hAnsiTheme="minorHAnsi" w:cstheme="majorBidi"/>
                <w:color w:val="000000"/>
                <w:vertAlign w:val="superscript"/>
              </w:rPr>
              <w:t>4</w:t>
            </w:r>
          </w:p>
        </w:tc>
        <w:tc>
          <w:tcPr>
            <w:tcW w:w="545"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USA</w:t>
            </w:r>
          </w:p>
        </w:tc>
        <w:tc>
          <w:tcPr>
            <w:tcW w:w="955"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1989-1997</w:t>
            </w:r>
          </w:p>
        </w:tc>
        <w:tc>
          <w:tcPr>
            <w:tcW w:w="897" w:type="pct"/>
          </w:tcPr>
          <w:p w:rsidR="006C4481" w:rsidRPr="00D9651F" w:rsidRDefault="006C4481" w:rsidP="006C4481">
            <w:pPr>
              <w:keepNext/>
              <w:spacing w:before="40" w:after="40" w:line="240" w:lineRule="auto"/>
              <w:rPr>
                <w:rFonts w:asciiTheme="minorHAnsi" w:hAnsiTheme="minorHAnsi" w:cstheme="majorBidi"/>
                <w:color w:val="000000"/>
              </w:rPr>
            </w:pPr>
            <w:r w:rsidRPr="00D9651F">
              <w:rPr>
                <w:rFonts w:asciiTheme="minorHAnsi" w:hAnsiTheme="minorHAnsi" w:cstheme="majorBidi"/>
                <w:color w:val="000000"/>
              </w:rPr>
              <w:t xml:space="preserve">952 outpatients &amp; </w:t>
            </w:r>
          </w:p>
          <w:p w:rsidR="006C4481" w:rsidRPr="00C2662D" w:rsidRDefault="006C4481" w:rsidP="006C4481">
            <w:pPr>
              <w:keepNext/>
              <w:spacing w:before="40" w:after="40" w:line="240" w:lineRule="auto"/>
              <w:rPr>
                <w:rFonts w:asciiTheme="minorHAnsi" w:hAnsiTheme="minorHAnsi" w:cstheme="majorBidi"/>
                <w:color w:val="000000"/>
              </w:rPr>
            </w:pPr>
            <w:r w:rsidRPr="00D9651F">
              <w:rPr>
                <w:rFonts w:asciiTheme="minorHAnsi" w:hAnsiTheme="minorHAnsi" w:cstheme="majorBidi"/>
                <w:color w:val="000000"/>
              </w:rPr>
              <w:t>774</w:t>
            </w:r>
            <w:r w:rsidRPr="00C2662D">
              <w:rPr>
                <w:rFonts w:asciiTheme="minorHAnsi" w:hAnsiTheme="minorHAnsi" w:cstheme="majorBidi"/>
                <w:color w:val="000000"/>
              </w:rPr>
              <w:t xml:space="preserve"> aftercare patients (recently completed inpatient or </w:t>
            </w:r>
          </w:p>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intensive day hospital treatment) followed up at 1 1 and 3 years</w:t>
            </w:r>
          </w:p>
        </w:tc>
        <w:tc>
          <w:tcPr>
            <w:tcW w:w="1652"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 xml:space="preserve">Alcohol dependent </w:t>
            </w:r>
          </w:p>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 xml:space="preserve">Undergoing Motivational Enhancement Therapy, </w:t>
            </w:r>
          </w:p>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Cognitive-</w:t>
            </w:r>
            <w:proofErr w:type="spellStart"/>
            <w:r w:rsidRPr="00C2662D">
              <w:rPr>
                <w:rFonts w:asciiTheme="minorHAnsi" w:hAnsiTheme="minorHAnsi" w:cstheme="majorBidi"/>
                <w:color w:val="000000"/>
              </w:rPr>
              <w:t>Behavioral</w:t>
            </w:r>
            <w:proofErr w:type="spellEnd"/>
            <w:r w:rsidRPr="00C2662D">
              <w:rPr>
                <w:rFonts w:asciiTheme="minorHAnsi" w:hAnsiTheme="minorHAnsi" w:cstheme="majorBidi"/>
                <w:color w:val="000000"/>
              </w:rPr>
              <w:t xml:space="preserve"> Therapy (CBT) or </w:t>
            </w:r>
          </w:p>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Twelve-Step Facilitation (TSF)</w:t>
            </w:r>
          </w:p>
        </w:tc>
      </w:tr>
      <w:tr w:rsidR="006C4481" w:rsidRPr="00777F47" w:rsidTr="006C4481">
        <w:tc>
          <w:tcPr>
            <w:tcW w:w="950"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National Treatment Outcome Research Study (NTORS)</w:t>
            </w:r>
            <w:r w:rsidRPr="00E46BD2">
              <w:rPr>
                <w:rFonts w:asciiTheme="minorHAnsi" w:hAnsiTheme="minorHAnsi" w:cstheme="majorBidi"/>
                <w:color w:val="000000"/>
                <w:vertAlign w:val="superscript"/>
              </w:rPr>
              <w:t>5</w:t>
            </w:r>
          </w:p>
        </w:tc>
        <w:tc>
          <w:tcPr>
            <w:tcW w:w="545"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ENGLAND</w:t>
            </w:r>
          </w:p>
        </w:tc>
        <w:tc>
          <w:tcPr>
            <w:tcW w:w="955"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Initiated in 1995 with one year, two year and five year outcomes</w:t>
            </w:r>
          </w:p>
        </w:tc>
        <w:tc>
          <w:tcPr>
            <w:tcW w:w="897"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1,075 at intake from 54 programmes; 769 at one-year follow-up</w:t>
            </w:r>
          </w:p>
        </w:tc>
        <w:tc>
          <w:tcPr>
            <w:tcW w:w="1652"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 xml:space="preserve">Methadone maintenance; inpatient </w:t>
            </w:r>
            <w:r>
              <w:rPr>
                <w:rFonts w:asciiTheme="minorHAnsi" w:hAnsiTheme="minorHAnsi" w:cstheme="majorBidi"/>
                <w:color w:val="000000"/>
              </w:rPr>
              <w:t>withdrawal</w:t>
            </w:r>
            <w:r w:rsidRPr="00C2662D">
              <w:rPr>
                <w:rFonts w:asciiTheme="minorHAnsi" w:hAnsiTheme="minorHAnsi" w:cstheme="majorBidi"/>
                <w:color w:val="000000"/>
              </w:rPr>
              <w:t xml:space="preserve"> and residential rehabilitation</w:t>
            </w:r>
          </w:p>
        </w:tc>
      </w:tr>
      <w:tr w:rsidR="006C4481" w:rsidRPr="00777F47" w:rsidTr="006C4481">
        <w:tc>
          <w:tcPr>
            <w:tcW w:w="950"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Drug Treatment</w:t>
            </w:r>
            <w:r>
              <w:rPr>
                <w:rFonts w:asciiTheme="minorHAnsi" w:hAnsiTheme="minorHAnsi" w:cstheme="majorBidi"/>
                <w:color w:val="000000"/>
              </w:rPr>
              <w:t xml:space="preserve"> Outcome Research Study (DTORS)</w:t>
            </w:r>
            <w:r w:rsidRPr="00E46BD2">
              <w:rPr>
                <w:rFonts w:asciiTheme="minorHAnsi" w:hAnsiTheme="minorHAnsi" w:cstheme="majorBidi"/>
                <w:color w:val="000000"/>
                <w:vertAlign w:val="superscript"/>
              </w:rPr>
              <w:t>6</w:t>
            </w:r>
          </w:p>
        </w:tc>
        <w:tc>
          <w:tcPr>
            <w:tcW w:w="545"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ENGLAND</w:t>
            </w:r>
          </w:p>
        </w:tc>
        <w:tc>
          <w:tcPr>
            <w:tcW w:w="955"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2006-2007, using a 12-month window;</w:t>
            </w:r>
          </w:p>
        </w:tc>
        <w:tc>
          <w:tcPr>
            <w:tcW w:w="897"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1,796 baseline interviews; 886interviewed at 3-5 months and 504 at 12 months</w:t>
            </w:r>
          </w:p>
        </w:tc>
        <w:tc>
          <w:tcPr>
            <w:tcW w:w="1652"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342 structured community or residential drug treatment services</w:t>
            </w:r>
          </w:p>
        </w:tc>
      </w:tr>
      <w:tr w:rsidR="006C4481" w:rsidRPr="00777F47" w:rsidTr="006C4481">
        <w:tc>
          <w:tcPr>
            <w:tcW w:w="950"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Australian Treatment Outcome Study (ATOS)</w:t>
            </w:r>
            <w:r w:rsidRPr="00E46BD2">
              <w:rPr>
                <w:rFonts w:asciiTheme="minorHAnsi" w:hAnsiTheme="minorHAnsi" w:cstheme="majorBidi"/>
                <w:color w:val="000000"/>
                <w:vertAlign w:val="superscript"/>
              </w:rPr>
              <w:t>7</w:t>
            </w:r>
            <w:r w:rsidRPr="00C2662D">
              <w:rPr>
                <w:rFonts w:asciiTheme="minorHAnsi" w:hAnsiTheme="minorHAnsi" w:cstheme="majorBidi"/>
                <w:color w:val="000000"/>
              </w:rPr>
              <w:t xml:space="preserve"> </w:t>
            </w:r>
          </w:p>
        </w:tc>
        <w:tc>
          <w:tcPr>
            <w:tcW w:w="545"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AUSTRALIA</w:t>
            </w:r>
          </w:p>
        </w:tc>
        <w:tc>
          <w:tcPr>
            <w:tcW w:w="955"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Baseline, 3 and 12 month follow-ups; 2 and 3 year outcomes in one site (</w:t>
            </w:r>
            <w:r>
              <w:rPr>
                <w:rFonts w:asciiTheme="minorHAnsi" w:hAnsiTheme="minorHAnsi" w:cstheme="majorBidi"/>
                <w:color w:val="000000"/>
              </w:rPr>
              <w:t>2001-2002</w:t>
            </w:r>
            <w:r w:rsidRPr="00C2662D">
              <w:rPr>
                <w:rFonts w:asciiTheme="minorHAnsi" w:hAnsiTheme="minorHAnsi" w:cstheme="majorBidi"/>
                <w:color w:val="000000"/>
              </w:rPr>
              <w:t>)</w:t>
            </w:r>
          </w:p>
        </w:tc>
        <w:tc>
          <w:tcPr>
            <w:tcW w:w="897"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745 treatment sample and 80 non-treatment heroin controls</w:t>
            </w:r>
          </w:p>
        </w:tc>
        <w:tc>
          <w:tcPr>
            <w:tcW w:w="1652"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 xml:space="preserve">Methadone or buprenorphine maintenance; inpatient </w:t>
            </w:r>
            <w:r>
              <w:rPr>
                <w:rFonts w:asciiTheme="minorHAnsi" w:hAnsiTheme="minorHAnsi" w:cstheme="majorBidi"/>
                <w:color w:val="000000"/>
              </w:rPr>
              <w:t>withdrawal</w:t>
            </w:r>
            <w:r w:rsidRPr="00C2662D">
              <w:rPr>
                <w:rFonts w:asciiTheme="minorHAnsi" w:hAnsiTheme="minorHAnsi" w:cstheme="majorBidi"/>
                <w:color w:val="000000"/>
              </w:rPr>
              <w:t xml:space="preserve"> and residential rehabilitation; small non-treatment control group</w:t>
            </w:r>
          </w:p>
        </w:tc>
      </w:tr>
      <w:tr w:rsidR="006C4481" w:rsidRPr="00777F47" w:rsidTr="006C4481">
        <w:tc>
          <w:tcPr>
            <w:tcW w:w="950" w:type="pct"/>
            <w:tcBorders>
              <w:bottom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Drug Outcome Research in Scotland (DORIS)</w:t>
            </w:r>
            <w:r w:rsidRPr="00E46BD2">
              <w:rPr>
                <w:rFonts w:asciiTheme="minorHAnsi" w:hAnsiTheme="minorHAnsi" w:cstheme="majorBidi"/>
                <w:color w:val="000000"/>
                <w:vertAlign w:val="superscript"/>
              </w:rPr>
              <w:t>8</w:t>
            </w:r>
          </w:p>
        </w:tc>
        <w:tc>
          <w:tcPr>
            <w:tcW w:w="545" w:type="pct"/>
            <w:tcBorders>
              <w:bottom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SCOTLAND</w:t>
            </w:r>
          </w:p>
        </w:tc>
        <w:tc>
          <w:tcPr>
            <w:tcW w:w="955" w:type="pct"/>
            <w:tcBorders>
              <w:bottom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Initiated in 2001 with 8, 16 and 33 month follow-ups</w:t>
            </w:r>
          </w:p>
        </w:tc>
        <w:tc>
          <w:tcPr>
            <w:tcW w:w="897" w:type="pct"/>
            <w:tcBorders>
              <w:bottom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1,007 individuals from 28 specialist treatment agencies (community and residential) and five prisons delivering drug treatment</w:t>
            </w:r>
          </w:p>
        </w:tc>
        <w:tc>
          <w:tcPr>
            <w:tcW w:w="1652" w:type="pct"/>
            <w:tcBorders>
              <w:bottom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Substitute prescribing; non-substitute</w:t>
            </w:r>
          </w:p>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prescribing; counselling; residential rehabilitation and prison</w:t>
            </w:r>
          </w:p>
        </w:tc>
      </w:tr>
    </w:tbl>
    <w:p w:rsidR="00A76D7B" w:rsidRDefault="00A76D7B" w:rsidP="006C4481">
      <w:pPr>
        <w:spacing w:after="0" w:line="240" w:lineRule="auto"/>
        <w:rPr>
          <w:sz w:val="18"/>
        </w:rPr>
      </w:pPr>
      <w:r>
        <w:rPr>
          <w:sz w:val="18"/>
        </w:rPr>
        <w:t>Sources:</w:t>
      </w:r>
    </w:p>
    <w:p w:rsidR="006C4481" w:rsidRPr="003E6B7C" w:rsidRDefault="006C4481" w:rsidP="006C4481">
      <w:pPr>
        <w:spacing w:after="0" w:line="240" w:lineRule="auto"/>
        <w:rPr>
          <w:sz w:val="18"/>
        </w:rPr>
      </w:pPr>
      <w:r w:rsidRPr="003E6B7C">
        <w:rPr>
          <w:sz w:val="18"/>
        </w:rPr>
        <w:t>1 Simpson &amp; Sells</w:t>
      </w:r>
      <w:r w:rsidR="005777D6">
        <w:rPr>
          <w:sz w:val="18"/>
        </w:rPr>
        <w:t>,</w:t>
      </w:r>
      <w:r w:rsidRPr="003E6B7C">
        <w:rPr>
          <w:sz w:val="18"/>
        </w:rPr>
        <w:t xml:space="preserve"> 1983</w:t>
      </w:r>
    </w:p>
    <w:p w:rsidR="006C4481" w:rsidRPr="003E6B7C" w:rsidRDefault="006C4481" w:rsidP="006C4481">
      <w:pPr>
        <w:spacing w:after="0" w:line="240" w:lineRule="auto"/>
        <w:rPr>
          <w:sz w:val="18"/>
        </w:rPr>
      </w:pPr>
      <w:r w:rsidRPr="003E6B7C">
        <w:rPr>
          <w:sz w:val="18"/>
        </w:rPr>
        <w:t>2 Hubbard et al., 1989</w:t>
      </w:r>
    </w:p>
    <w:p w:rsidR="006C4481" w:rsidRPr="003E6B7C" w:rsidRDefault="006C4481" w:rsidP="006C4481">
      <w:pPr>
        <w:spacing w:after="0" w:line="240" w:lineRule="auto"/>
        <w:rPr>
          <w:sz w:val="18"/>
        </w:rPr>
      </w:pPr>
      <w:r w:rsidRPr="003E6B7C">
        <w:rPr>
          <w:sz w:val="18"/>
        </w:rPr>
        <w:t>3 Simpson &amp; Brown, 1999</w:t>
      </w:r>
    </w:p>
    <w:p w:rsidR="006C4481" w:rsidRPr="003E6B7C" w:rsidRDefault="006C4481" w:rsidP="006C4481">
      <w:pPr>
        <w:spacing w:after="0" w:line="240" w:lineRule="auto"/>
        <w:rPr>
          <w:sz w:val="18"/>
        </w:rPr>
      </w:pPr>
      <w:r w:rsidRPr="003E6B7C">
        <w:rPr>
          <w:sz w:val="18"/>
        </w:rPr>
        <w:t>4 Project Match Research Group, 1998</w:t>
      </w:r>
    </w:p>
    <w:p w:rsidR="006C4481" w:rsidRPr="003E6B7C" w:rsidRDefault="006C4481" w:rsidP="006C4481">
      <w:pPr>
        <w:spacing w:after="0" w:line="240" w:lineRule="auto"/>
        <w:rPr>
          <w:sz w:val="18"/>
        </w:rPr>
      </w:pPr>
      <w:r w:rsidRPr="003E6B7C">
        <w:rPr>
          <w:sz w:val="18"/>
        </w:rPr>
        <w:t xml:space="preserve">5 </w:t>
      </w:r>
      <w:proofErr w:type="spellStart"/>
      <w:r>
        <w:rPr>
          <w:sz w:val="18"/>
        </w:rPr>
        <w:t>Gossop</w:t>
      </w:r>
      <w:proofErr w:type="spellEnd"/>
      <w:r>
        <w:rPr>
          <w:sz w:val="18"/>
        </w:rPr>
        <w:t>, Marsden, Stewart, &amp; Kidd, 2003</w:t>
      </w:r>
    </w:p>
    <w:p w:rsidR="006C4481" w:rsidRPr="003E6B7C" w:rsidRDefault="006C4481" w:rsidP="006C4481">
      <w:pPr>
        <w:spacing w:after="0" w:line="240" w:lineRule="auto"/>
        <w:rPr>
          <w:sz w:val="18"/>
        </w:rPr>
      </w:pPr>
      <w:r w:rsidRPr="003E6B7C">
        <w:rPr>
          <w:sz w:val="18"/>
        </w:rPr>
        <w:t>6</w:t>
      </w:r>
      <w:r>
        <w:rPr>
          <w:sz w:val="18"/>
        </w:rPr>
        <w:t xml:space="preserve"> </w:t>
      </w:r>
      <w:proofErr w:type="spellStart"/>
      <w:r>
        <w:rPr>
          <w:sz w:val="18"/>
        </w:rPr>
        <w:t>Donmall</w:t>
      </w:r>
      <w:proofErr w:type="spellEnd"/>
      <w:r>
        <w:rPr>
          <w:sz w:val="18"/>
        </w:rPr>
        <w:t>, Jones, Davies, &amp; Barnard, 2009</w:t>
      </w:r>
    </w:p>
    <w:p w:rsidR="006C4481" w:rsidRPr="003E6B7C" w:rsidRDefault="006C4481" w:rsidP="006C4481">
      <w:pPr>
        <w:spacing w:after="0" w:line="240" w:lineRule="auto"/>
        <w:rPr>
          <w:sz w:val="18"/>
        </w:rPr>
      </w:pPr>
      <w:r w:rsidRPr="003E6B7C">
        <w:rPr>
          <w:sz w:val="18"/>
        </w:rPr>
        <w:t>7</w:t>
      </w:r>
      <w:r>
        <w:rPr>
          <w:sz w:val="18"/>
        </w:rPr>
        <w:t xml:space="preserve"> </w:t>
      </w:r>
      <w:proofErr w:type="spellStart"/>
      <w:r>
        <w:rPr>
          <w:sz w:val="18"/>
        </w:rPr>
        <w:t>Teeson</w:t>
      </w:r>
      <w:proofErr w:type="spellEnd"/>
      <w:r>
        <w:rPr>
          <w:sz w:val="18"/>
        </w:rPr>
        <w:t xml:space="preserve"> et al., 2008</w:t>
      </w:r>
    </w:p>
    <w:p w:rsidR="006C4481" w:rsidRDefault="006C4481" w:rsidP="006C4481">
      <w:pPr>
        <w:spacing w:after="0" w:line="240" w:lineRule="auto"/>
        <w:rPr>
          <w:sz w:val="18"/>
        </w:rPr>
      </w:pPr>
      <w:r w:rsidRPr="003E6B7C">
        <w:rPr>
          <w:sz w:val="18"/>
        </w:rPr>
        <w:t>8</w:t>
      </w:r>
      <w:r>
        <w:rPr>
          <w:sz w:val="18"/>
        </w:rPr>
        <w:t xml:space="preserve"> </w:t>
      </w:r>
      <w:proofErr w:type="spellStart"/>
      <w:r>
        <w:rPr>
          <w:sz w:val="18"/>
        </w:rPr>
        <w:t>McKeganey</w:t>
      </w:r>
      <w:proofErr w:type="spellEnd"/>
      <w:r>
        <w:rPr>
          <w:sz w:val="18"/>
        </w:rPr>
        <w:t>, Bloor, Robertson, Neale, &amp; MacDougall, 1996</w:t>
      </w:r>
    </w:p>
    <w:p w:rsidR="00A76D7B" w:rsidRDefault="00A76D7B" w:rsidP="00A76D7B">
      <w:pPr>
        <w:pStyle w:val="FAREtableheading"/>
      </w:pPr>
      <w:r w:rsidRPr="00C2662D">
        <w:lastRenderedPageBreak/>
        <w:t xml:space="preserve">Table </w:t>
      </w:r>
      <w:r w:rsidR="00561263">
        <w:t xml:space="preserve">1.1: </w:t>
      </w:r>
      <w:r w:rsidRPr="00C2662D">
        <w:t xml:space="preserve">Summary of the major international AOD </w:t>
      </w:r>
      <w:r>
        <w:t xml:space="preserve">treatment system </w:t>
      </w:r>
      <w:r w:rsidRPr="00C2662D">
        <w:t>outcome studies to date</w:t>
      </w:r>
      <w:r>
        <w:t xml:space="preserve"> (continued)</w:t>
      </w:r>
    </w:p>
    <w:tbl>
      <w:tblPr>
        <w:tblStyle w:val="TableGrid"/>
        <w:tblW w:w="558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ummary of the major international AOD treatment system outcome studies to date (continued)"/>
      </w:tblPr>
      <w:tblGrid>
        <w:gridCol w:w="1958"/>
        <w:gridCol w:w="1128"/>
        <w:gridCol w:w="1970"/>
        <w:gridCol w:w="12"/>
        <w:gridCol w:w="1838"/>
        <w:gridCol w:w="6"/>
        <w:gridCol w:w="3402"/>
      </w:tblGrid>
      <w:tr w:rsidR="006C4481" w:rsidRPr="00777F47" w:rsidTr="00046CCA">
        <w:trPr>
          <w:tblHeader/>
        </w:trPr>
        <w:tc>
          <w:tcPr>
            <w:tcW w:w="949" w:type="pct"/>
            <w:tcBorders>
              <w:top w:val="single" w:sz="4" w:space="0" w:color="auto"/>
              <w:bottom w:val="single" w:sz="4" w:space="0" w:color="auto"/>
            </w:tcBorders>
          </w:tcPr>
          <w:p w:rsidR="006C4481" w:rsidRPr="00CE651A" w:rsidRDefault="006C4481" w:rsidP="006C4481">
            <w:pPr>
              <w:keepNext/>
              <w:spacing w:after="0" w:line="240" w:lineRule="auto"/>
              <w:rPr>
                <w:rFonts w:asciiTheme="minorHAnsi" w:hAnsiTheme="minorHAnsi" w:cstheme="majorBidi"/>
                <w:b/>
                <w:color w:val="000000"/>
                <w:sz w:val="22"/>
                <w:szCs w:val="22"/>
              </w:rPr>
            </w:pPr>
            <w:r w:rsidRPr="00CE651A">
              <w:rPr>
                <w:rFonts w:asciiTheme="minorHAnsi" w:hAnsiTheme="minorHAnsi" w:cstheme="majorBidi"/>
                <w:b/>
                <w:color w:val="000000"/>
                <w:sz w:val="22"/>
                <w:szCs w:val="22"/>
              </w:rPr>
              <w:t>Name</w:t>
            </w:r>
          </w:p>
        </w:tc>
        <w:tc>
          <w:tcPr>
            <w:tcW w:w="547" w:type="pct"/>
            <w:tcBorders>
              <w:top w:val="single" w:sz="4" w:space="0" w:color="auto"/>
              <w:bottom w:val="single" w:sz="4" w:space="0" w:color="auto"/>
            </w:tcBorders>
          </w:tcPr>
          <w:p w:rsidR="006C4481" w:rsidRPr="00CE651A" w:rsidRDefault="006C4481" w:rsidP="006C4481">
            <w:pPr>
              <w:keepNext/>
              <w:spacing w:after="0" w:line="240" w:lineRule="auto"/>
              <w:rPr>
                <w:rFonts w:asciiTheme="minorHAnsi" w:hAnsiTheme="minorHAnsi" w:cstheme="majorBidi"/>
                <w:b/>
                <w:color w:val="000000"/>
                <w:sz w:val="22"/>
                <w:szCs w:val="22"/>
              </w:rPr>
            </w:pPr>
            <w:r w:rsidRPr="00CE651A">
              <w:rPr>
                <w:rFonts w:asciiTheme="minorHAnsi" w:hAnsiTheme="minorHAnsi" w:cstheme="majorBidi"/>
                <w:b/>
                <w:color w:val="000000"/>
                <w:sz w:val="22"/>
                <w:szCs w:val="22"/>
              </w:rPr>
              <w:t>Country</w:t>
            </w:r>
          </w:p>
        </w:tc>
        <w:tc>
          <w:tcPr>
            <w:tcW w:w="955" w:type="pct"/>
            <w:tcBorders>
              <w:top w:val="single" w:sz="4" w:space="0" w:color="auto"/>
              <w:bottom w:val="single" w:sz="4" w:space="0" w:color="auto"/>
            </w:tcBorders>
          </w:tcPr>
          <w:p w:rsidR="006C4481" w:rsidRPr="00CE651A" w:rsidRDefault="006C4481" w:rsidP="006C4481">
            <w:pPr>
              <w:keepNext/>
              <w:spacing w:after="0" w:line="240" w:lineRule="auto"/>
              <w:rPr>
                <w:rFonts w:asciiTheme="minorHAnsi" w:hAnsiTheme="minorHAnsi" w:cstheme="majorBidi"/>
                <w:b/>
                <w:color w:val="000000"/>
                <w:sz w:val="22"/>
                <w:szCs w:val="22"/>
              </w:rPr>
            </w:pPr>
            <w:r w:rsidRPr="00CE651A">
              <w:rPr>
                <w:rFonts w:asciiTheme="minorHAnsi" w:hAnsiTheme="minorHAnsi" w:cstheme="majorBidi"/>
                <w:b/>
                <w:color w:val="000000"/>
                <w:sz w:val="22"/>
                <w:szCs w:val="22"/>
              </w:rPr>
              <w:t xml:space="preserve">Dates </w:t>
            </w:r>
          </w:p>
        </w:tc>
        <w:tc>
          <w:tcPr>
            <w:tcW w:w="897" w:type="pct"/>
            <w:gridSpan w:val="2"/>
            <w:tcBorders>
              <w:top w:val="single" w:sz="4" w:space="0" w:color="auto"/>
              <w:bottom w:val="single" w:sz="4" w:space="0" w:color="auto"/>
            </w:tcBorders>
          </w:tcPr>
          <w:p w:rsidR="006C4481" w:rsidRPr="00CE651A" w:rsidRDefault="006C4481" w:rsidP="006C4481">
            <w:pPr>
              <w:keepNext/>
              <w:spacing w:after="0" w:line="240" w:lineRule="auto"/>
              <w:rPr>
                <w:rFonts w:asciiTheme="minorHAnsi" w:hAnsiTheme="minorHAnsi" w:cstheme="majorBidi"/>
                <w:b/>
                <w:color w:val="000000"/>
                <w:sz w:val="22"/>
                <w:szCs w:val="22"/>
              </w:rPr>
            </w:pPr>
            <w:r w:rsidRPr="00CE651A">
              <w:rPr>
                <w:rFonts w:asciiTheme="minorHAnsi" w:hAnsiTheme="minorHAnsi" w:cstheme="majorBidi"/>
                <w:b/>
                <w:color w:val="000000"/>
                <w:sz w:val="22"/>
                <w:szCs w:val="22"/>
              </w:rPr>
              <w:t>Sample</w:t>
            </w:r>
          </w:p>
        </w:tc>
        <w:tc>
          <w:tcPr>
            <w:tcW w:w="1652" w:type="pct"/>
            <w:gridSpan w:val="2"/>
            <w:tcBorders>
              <w:top w:val="single" w:sz="4" w:space="0" w:color="auto"/>
              <w:bottom w:val="single" w:sz="4" w:space="0" w:color="auto"/>
            </w:tcBorders>
          </w:tcPr>
          <w:p w:rsidR="006C4481" w:rsidRPr="00CE651A" w:rsidRDefault="006C4481" w:rsidP="006C4481">
            <w:pPr>
              <w:keepNext/>
              <w:spacing w:after="0" w:line="240" w:lineRule="auto"/>
              <w:rPr>
                <w:rFonts w:asciiTheme="minorHAnsi" w:hAnsiTheme="minorHAnsi" w:cstheme="majorBidi"/>
                <w:b/>
                <w:color w:val="000000"/>
                <w:sz w:val="22"/>
                <w:szCs w:val="22"/>
              </w:rPr>
            </w:pPr>
            <w:r w:rsidRPr="00CE651A">
              <w:rPr>
                <w:rFonts w:asciiTheme="minorHAnsi" w:hAnsiTheme="minorHAnsi" w:cstheme="majorBidi"/>
                <w:b/>
                <w:color w:val="000000"/>
                <w:sz w:val="22"/>
                <w:szCs w:val="22"/>
              </w:rPr>
              <w:t xml:space="preserve">Study population drawn from these modalities: </w:t>
            </w:r>
          </w:p>
        </w:tc>
      </w:tr>
      <w:tr w:rsidR="006C4481" w:rsidRPr="00415291" w:rsidTr="006C4481">
        <w:tc>
          <w:tcPr>
            <w:tcW w:w="949" w:type="pct"/>
            <w:tcBorders>
              <w:top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Research Outcome Study in Ireland (ROSIE)</w:t>
            </w:r>
            <w:r w:rsidRPr="00E46BD2">
              <w:rPr>
                <w:rFonts w:asciiTheme="minorHAnsi" w:hAnsiTheme="minorHAnsi" w:cstheme="majorBidi"/>
                <w:color w:val="000000"/>
                <w:vertAlign w:val="superscript"/>
              </w:rPr>
              <w:t>9</w:t>
            </w:r>
          </w:p>
        </w:tc>
        <w:tc>
          <w:tcPr>
            <w:tcW w:w="547" w:type="pct"/>
            <w:tcBorders>
              <w:top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 xml:space="preserve">IRELAND </w:t>
            </w:r>
          </w:p>
        </w:tc>
        <w:tc>
          <w:tcPr>
            <w:tcW w:w="961" w:type="pct"/>
            <w:gridSpan w:val="2"/>
            <w:tcBorders>
              <w:top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Started in 2003 with a 6-month, 1-year and 3-year follow-up window</w:t>
            </w:r>
          </w:p>
        </w:tc>
        <w:tc>
          <w:tcPr>
            <w:tcW w:w="894" w:type="pct"/>
            <w:gridSpan w:val="2"/>
            <w:tcBorders>
              <w:top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404 active treatment group with a subsample of 26 needle exchange users</w:t>
            </w:r>
          </w:p>
        </w:tc>
        <w:tc>
          <w:tcPr>
            <w:tcW w:w="1649" w:type="pct"/>
            <w:tcBorders>
              <w:top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Methadone maintenance /detoxification; structured detoxification; abstinence treatment</w:t>
            </w:r>
          </w:p>
        </w:tc>
      </w:tr>
      <w:tr w:rsidR="006C4481" w:rsidRPr="00415291" w:rsidTr="006C4481">
        <w:tc>
          <w:tcPr>
            <w:tcW w:w="949"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Methamphetamine Treatment Evaluation Study (MATES)</w:t>
            </w:r>
            <w:r w:rsidRPr="00E46BD2">
              <w:rPr>
                <w:rFonts w:asciiTheme="minorHAnsi" w:hAnsiTheme="minorHAnsi" w:cstheme="majorBidi"/>
                <w:color w:val="000000"/>
                <w:vertAlign w:val="superscript"/>
              </w:rPr>
              <w:t>10</w:t>
            </w:r>
            <w:r w:rsidRPr="00C2662D">
              <w:rPr>
                <w:rFonts w:asciiTheme="minorHAnsi" w:hAnsiTheme="minorHAnsi" w:cstheme="majorBidi"/>
                <w:color w:val="000000"/>
              </w:rPr>
              <w:t xml:space="preserve"> </w:t>
            </w:r>
          </w:p>
        </w:tc>
        <w:tc>
          <w:tcPr>
            <w:tcW w:w="547"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AUSTRALIA</w:t>
            </w:r>
          </w:p>
        </w:tc>
        <w:tc>
          <w:tcPr>
            <w:tcW w:w="961" w:type="pct"/>
            <w:gridSpan w:val="2"/>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Initiated in 2006 (Sydney &amp; Brisbane) with 3-month, 12-month and 3 year follow-ups</w:t>
            </w:r>
          </w:p>
        </w:tc>
        <w:tc>
          <w:tcPr>
            <w:tcW w:w="894" w:type="pct"/>
            <w:gridSpan w:val="2"/>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 xml:space="preserve">300 entrants to methamphetamine drug treatment and 101 non-treatment comparison group </w:t>
            </w:r>
          </w:p>
        </w:tc>
        <w:tc>
          <w:tcPr>
            <w:tcW w:w="1649" w:type="pct"/>
          </w:tcPr>
          <w:p w:rsidR="006C4481" w:rsidRPr="00C2662D" w:rsidRDefault="006C4481" w:rsidP="006C4481">
            <w:pPr>
              <w:rPr>
                <w:rFonts w:asciiTheme="minorHAnsi" w:hAnsiTheme="minorHAnsi" w:cstheme="majorBidi"/>
                <w:color w:val="000000"/>
              </w:rPr>
            </w:pPr>
            <w:r w:rsidRPr="00C2662D">
              <w:rPr>
                <w:rFonts w:asciiTheme="minorHAnsi" w:hAnsiTheme="minorHAnsi" w:cstheme="majorBidi"/>
                <w:color w:val="000000"/>
              </w:rPr>
              <w:t xml:space="preserve">Residential rehabilitation, &amp; detoxification </w:t>
            </w:r>
          </w:p>
          <w:p w:rsidR="006C4481" w:rsidRPr="00C2662D" w:rsidRDefault="006C4481" w:rsidP="006C4481">
            <w:pPr>
              <w:keepNext/>
              <w:spacing w:before="40" w:after="40" w:line="240" w:lineRule="auto"/>
              <w:rPr>
                <w:rFonts w:asciiTheme="minorHAnsi" w:hAnsiTheme="minorHAnsi" w:cstheme="majorBidi"/>
                <w:color w:val="000000"/>
              </w:rPr>
            </w:pPr>
          </w:p>
        </w:tc>
      </w:tr>
      <w:tr w:rsidR="006C4481" w:rsidRPr="00415291" w:rsidTr="006C4481">
        <w:tc>
          <w:tcPr>
            <w:tcW w:w="949"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UKATT</w:t>
            </w:r>
            <w:r w:rsidRPr="00E46BD2">
              <w:rPr>
                <w:rFonts w:asciiTheme="minorHAnsi" w:hAnsiTheme="minorHAnsi" w:cstheme="majorBidi"/>
                <w:color w:val="000000"/>
                <w:vertAlign w:val="superscript"/>
              </w:rPr>
              <w:t>11</w:t>
            </w:r>
          </w:p>
        </w:tc>
        <w:tc>
          <w:tcPr>
            <w:tcW w:w="547"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ENGLAND</w:t>
            </w:r>
          </w:p>
        </w:tc>
        <w:tc>
          <w:tcPr>
            <w:tcW w:w="961" w:type="pct"/>
            <w:gridSpan w:val="2"/>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Initiated in 1999, social behaviour and network therapy versus motivational enhancement therapy with three-month and 1-year follow-ups</w:t>
            </w:r>
          </w:p>
        </w:tc>
        <w:tc>
          <w:tcPr>
            <w:tcW w:w="894" w:type="pct"/>
            <w:gridSpan w:val="2"/>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742 clients with alcohol problems</w:t>
            </w:r>
          </w:p>
        </w:tc>
        <w:tc>
          <w:tcPr>
            <w:tcW w:w="1649" w:type="pct"/>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Specialist community alcohol treatment services</w:t>
            </w:r>
          </w:p>
        </w:tc>
      </w:tr>
      <w:tr w:rsidR="006C4481" w:rsidRPr="00415291" w:rsidTr="006C4481">
        <w:tc>
          <w:tcPr>
            <w:tcW w:w="949" w:type="pct"/>
            <w:tcBorders>
              <w:bottom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COMBINE</w:t>
            </w:r>
            <w:r w:rsidRPr="00E46BD2">
              <w:rPr>
                <w:rFonts w:asciiTheme="minorHAnsi" w:hAnsiTheme="minorHAnsi" w:cstheme="majorBidi"/>
                <w:color w:val="000000"/>
                <w:vertAlign w:val="superscript"/>
              </w:rPr>
              <w:t>12</w:t>
            </w:r>
          </w:p>
        </w:tc>
        <w:tc>
          <w:tcPr>
            <w:tcW w:w="547" w:type="pct"/>
            <w:tcBorders>
              <w:bottom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USA</w:t>
            </w:r>
          </w:p>
        </w:tc>
        <w:tc>
          <w:tcPr>
            <w:tcW w:w="961" w:type="pct"/>
            <w:gridSpan w:val="2"/>
            <w:tcBorders>
              <w:bottom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 xml:space="preserve">2001-2004 A double-blind, randomized placebo-controlled trial of naltrexone and </w:t>
            </w:r>
            <w:proofErr w:type="spellStart"/>
            <w:r w:rsidRPr="00C2662D">
              <w:rPr>
                <w:rFonts w:asciiTheme="minorHAnsi" w:hAnsiTheme="minorHAnsi" w:cstheme="majorBidi"/>
                <w:color w:val="000000"/>
              </w:rPr>
              <w:t>acamprosate</w:t>
            </w:r>
            <w:proofErr w:type="spellEnd"/>
            <w:r w:rsidRPr="00C2662D">
              <w:rPr>
                <w:rFonts w:asciiTheme="minorHAnsi" w:hAnsiTheme="minorHAnsi" w:cstheme="majorBidi"/>
                <w:color w:val="000000"/>
              </w:rPr>
              <w:t xml:space="preserve">, both alone and in combination with medical management with and without a Combined </w:t>
            </w:r>
            <w:proofErr w:type="spellStart"/>
            <w:r w:rsidRPr="00C2662D">
              <w:rPr>
                <w:rFonts w:asciiTheme="minorHAnsi" w:hAnsiTheme="minorHAnsi" w:cstheme="majorBidi"/>
                <w:color w:val="000000"/>
              </w:rPr>
              <w:t>Behavioral</w:t>
            </w:r>
            <w:proofErr w:type="spellEnd"/>
            <w:r w:rsidRPr="00C2662D">
              <w:rPr>
                <w:rFonts w:asciiTheme="minorHAnsi" w:hAnsiTheme="minorHAnsi" w:cstheme="majorBidi"/>
                <w:color w:val="000000"/>
              </w:rPr>
              <w:t xml:space="preserve"> Intervention (CBT, MI &amp; TSF). Followed up to 1 year after treatment</w:t>
            </w:r>
          </w:p>
        </w:tc>
        <w:tc>
          <w:tcPr>
            <w:tcW w:w="894" w:type="pct"/>
            <w:gridSpan w:val="2"/>
            <w:tcBorders>
              <w:bottom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1383 recently-abstinent alcohol dependent patients</w:t>
            </w:r>
          </w:p>
        </w:tc>
        <w:tc>
          <w:tcPr>
            <w:tcW w:w="1649" w:type="pct"/>
            <w:tcBorders>
              <w:bottom w:val="single" w:sz="4" w:space="0" w:color="auto"/>
            </w:tcBorders>
          </w:tcPr>
          <w:p w:rsidR="006C4481" w:rsidRPr="00C2662D" w:rsidRDefault="006C4481" w:rsidP="006C4481">
            <w:pPr>
              <w:keepNext/>
              <w:spacing w:before="40" w:after="40" w:line="240" w:lineRule="auto"/>
              <w:rPr>
                <w:rFonts w:asciiTheme="minorHAnsi" w:hAnsiTheme="minorHAnsi" w:cstheme="majorBidi"/>
                <w:color w:val="000000"/>
              </w:rPr>
            </w:pPr>
            <w:r w:rsidRPr="00C2662D">
              <w:rPr>
                <w:rFonts w:asciiTheme="minorHAnsi" w:hAnsiTheme="minorHAnsi" w:cstheme="majorBidi"/>
                <w:color w:val="000000"/>
              </w:rPr>
              <w:t xml:space="preserve">Community and referrals from clinical services (detoxification)  </w:t>
            </w:r>
          </w:p>
        </w:tc>
      </w:tr>
    </w:tbl>
    <w:p w:rsidR="00A76D7B" w:rsidRDefault="00A76D7B" w:rsidP="006C4481">
      <w:pPr>
        <w:keepNext/>
        <w:spacing w:before="40" w:after="40" w:line="240" w:lineRule="auto"/>
        <w:rPr>
          <w:rFonts w:asciiTheme="minorHAnsi" w:hAnsiTheme="minorHAnsi" w:cstheme="majorBidi"/>
          <w:color w:val="000000"/>
          <w:sz w:val="18"/>
          <w:szCs w:val="20"/>
          <w:lang w:eastAsia="en-AU"/>
        </w:rPr>
      </w:pPr>
      <w:r>
        <w:rPr>
          <w:rFonts w:asciiTheme="minorHAnsi" w:hAnsiTheme="minorHAnsi" w:cstheme="majorBidi"/>
          <w:color w:val="000000"/>
          <w:sz w:val="18"/>
          <w:szCs w:val="20"/>
          <w:lang w:eastAsia="en-AU"/>
        </w:rPr>
        <w:t xml:space="preserve">Sources: </w:t>
      </w:r>
    </w:p>
    <w:p w:rsidR="006C4481" w:rsidRPr="003E6B7C" w:rsidRDefault="006C4481" w:rsidP="006C4481">
      <w:pPr>
        <w:keepNext/>
        <w:spacing w:before="40" w:after="40" w:line="240" w:lineRule="auto"/>
        <w:rPr>
          <w:rFonts w:asciiTheme="minorHAnsi" w:hAnsiTheme="minorHAnsi" w:cstheme="majorBidi"/>
          <w:color w:val="000000"/>
          <w:sz w:val="18"/>
          <w:szCs w:val="20"/>
          <w:lang w:eastAsia="en-AU"/>
        </w:rPr>
      </w:pPr>
      <w:r w:rsidRPr="003E6B7C">
        <w:rPr>
          <w:rFonts w:asciiTheme="minorHAnsi" w:hAnsiTheme="minorHAnsi" w:cstheme="majorBidi"/>
          <w:color w:val="000000"/>
          <w:sz w:val="18"/>
          <w:szCs w:val="20"/>
          <w:lang w:eastAsia="en-AU"/>
        </w:rPr>
        <w:t>9</w:t>
      </w:r>
      <w:r>
        <w:rPr>
          <w:rFonts w:asciiTheme="minorHAnsi" w:hAnsiTheme="minorHAnsi" w:cstheme="majorBidi"/>
          <w:color w:val="000000"/>
          <w:sz w:val="18"/>
          <w:szCs w:val="20"/>
          <w:lang w:eastAsia="en-AU"/>
        </w:rPr>
        <w:t xml:space="preserve"> </w:t>
      </w:r>
      <w:proofErr w:type="gramStart"/>
      <w:r>
        <w:rPr>
          <w:rFonts w:asciiTheme="minorHAnsi" w:hAnsiTheme="minorHAnsi" w:cstheme="majorBidi"/>
          <w:color w:val="000000"/>
          <w:sz w:val="18"/>
          <w:szCs w:val="20"/>
          <w:lang w:eastAsia="en-AU"/>
        </w:rPr>
        <w:t>Cox</w:t>
      </w:r>
      <w:proofErr w:type="gramEnd"/>
      <w:r>
        <w:rPr>
          <w:rFonts w:asciiTheme="minorHAnsi" w:hAnsiTheme="minorHAnsi" w:cstheme="majorBidi"/>
          <w:color w:val="000000"/>
          <w:sz w:val="18"/>
          <w:szCs w:val="20"/>
          <w:lang w:eastAsia="en-AU"/>
        </w:rPr>
        <w:t>, 2007</w:t>
      </w:r>
    </w:p>
    <w:p w:rsidR="006C4481" w:rsidRPr="003E6B7C" w:rsidRDefault="006C4481" w:rsidP="006C4481">
      <w:pPr>
        <w:keepNext/>
        <w:spacing w:before="40" w:after="40" w:line="240" w:lineRule="auto"/>
        <w:rPr>
          <w:rFonts w:asciiTheme="minorHAnsi" w:hAnsiTheme="minorHAnsi" w:cstheme="majorBidi"/>
          <w:color w:val="000000"/>
          <w:sz w:val="18"/>
          <w:szCs w:val="20"/>
          <w:lang w:eastAsia="en-AU"/>
        </w:rPr>
      </w:pPr>
      <w:r w:rsidRPr="003E6B7C">
        <w:rPr>
          <w:rFonts w:asciiTheme="minorHAnsi" w:hAnsiTheme="minorHAnsi" w:cstheme="majorBidi"/>
          <w:color w:val="000000"/>
          <w:sz w:val="18"/>
          <w:szCs w:val="20"/>
          <w:lang w:eastAsia="en-AU"/>
        </w:rPr>
        <w:t>10</w:t>
      </w:r>
      <w:r>
        <w:rPr>
          <w:rFonts w:asciiTheme="minorHAnsi" w:hAnsiTheme="minorHAnsi" w:cstheme="majorBidi"/>
          <w:color w:val="000000"/>
          <w:sz w:val="18"/>
          <w:szCs w:val="20"/>
          <w:lang w:eastAsia="en-AU"/>
        </w:rPr>
        <w:t xml:space="preserve"> </w:t>
      </w:r>
      <w:proofErr w:type="spellStart"/>
      <w:r>
        <w:rPr>
          <w:rFonts w:asciiTheme="minorHAnsi" w:hAnsiTheme="minorHAnsi" w:cstheme="majorBidi"/>
          <w:color w:val="000000"/>
          <w:sz w:val="18"/>
          <w:szCs w:val="20"/>
          <w:lang w:eastAsia="en-AU"/>
        </w:rPr>
        <w:t>McKetin</w:t>
      </w:r>
      <w:proofErr w:type="spellEnd"/>
      <w:r>
        <w:rPr>
          <w:rFonts w:asciiTheme="minorHAnsi" w:hAnsiTheme="minorHAnsi" w:cstheme="majorBidi"/>
          <w:color w:val="000000"/>
          <w:sz w:val="18"/>
          <w:szCs w:val="20"/>
          <w:lang w:eastAsia="en-AU"/>
        </w:rPr>
        <w:t xml:space="preserve"> et al., 2012</w:t>
      </w:r>
    </w:p>
    <w:p w:rsidR="006C4481" w:rsidRPr="003E6B7C" w:rsidRDefault="006C4481" w:rsidP="006C4481">
      <w:pPr>
        <w:keepNext/>
        <w:spacing w:before="40" w:after="40" w:line="240" w:lineRule="auto"/>
        <w:rPr>
          <w:rFonts w:asciiTheme="minorHAnsi" w:hAnsiTheme="minorHAnsi" w:cstheme="majorBidi"/>
          <w:color w:val="000000"/>
          <w:sz w:val="18"/>
          <w:szCs w:val="20"/>
          <w:lang w:eastAsia="en-AU"/>
        </w:rPr>
      </w:pPr>
      <w:r w:rsidRPr="003E6B7C">
        <w:rPr>
          <w:rFonts w:asciiTheme="minorHAnsi" w:hAnsiTheme="minorHAnsi" w:cstheme="majorBidi"/>
          <w:color w:val="000000"/>
          <w:sz w:val="18"/>
          <w:szCs w:val="20"/>
          <w:lang w:eastAsia="en-AU"/>
        </w:rPr>
        <w:t>11</w:t>
      </w:r>
      <w:r>
        <w:rPr>
          <w:rFonts w:asciiTheme="minorHAnsi" w:hAnsiTheme="minorHAnsi" w:cstheme="majorBidi"/>
          <w:color w:val="000000"/>
          <w:sz w:val="18"/>
          <w:szCs w:val="20"/>
          <w:lang w:eastAsia="en-AU"/>
        </w:rPr>
        <w:t xml:space="preserve"> Orford, 2006</w:t>
      </w:r>
    </w:p>
    <w:p w:rsidR="00143847" w:rsidRDefault="006C4481" w:rsidP="006C4481">
      <w:pPr>
        <w:pStyle w:val="FAREtableheading"/>
        <w:rPr>
          <w:rFonts w:asciiTheme="minorHAnsi" w:hAnsiTheme="minorHAnsi" w:cstheme="majorBidi"/>
          <w:b w:val="0"/>
          <w:color w:val="000000"/>
          <w:sz w:val="18"/>
          <w:szCs w:val="20"/>
          <w:lang w:val="en-AU"/>
        </w:rPr>
      </w:pPr>
      <w:r w:rsidRPr="00A76D7B">
        <w:rPr>
          <w:rFonts w:asciiTheme="minorHAnsi" w:hAnsiTheme="minorHAnsi" w:cstheme="majorBidi"/>
          <w:b w:val="0"/>
          <w:color w:val="000000"/>
          <w:sz w:val="18"/>
          <w:szCs w:val="20"/>
          <w:lang w:val="en-AU"/>
        </w:rPr>
        <w:t>12</w:t>
      </w:r>
      <w:r w:rsidR="00A76D7B" w:rsidRPr="00A76D7B">
        <w:rPr>
          <w:rFonts w:asciiTheme="minorHAnsi" w:hAnsiTheme="minorHAnsi" w:cstheme="majorBidi"/>
          <w:b w:val="0"/>
          <w:color w:val="000000"/>
          <w:sz w:val="18"/>
          <w:szCs w:val="20"/>
          <w:lang w:val="en-AU"/>
        </w:rPr>
        <w:t xml:space="preserve"> </w:t>
      </w:r>
      <w:proofErr w:type="spellStart"/>
      <w:r w:rsidR="00A76D7B" w:rsidRPr="00A76D7B">
        <w:rPr>
          <w:rFonts w:asciiTheme="minorHAnsi" w:hAnsiTheme="minorHAnsi" w:cstheme="majorBidi"/>
          <w:b w:val="0"/>
          <w:color w:val="000000"/>
          <w:sz w:val="18"/>
          <w:szCs w:val="20"/>
          <w:lang w:val="en-AU"/>
        </w:rPr>
        <w:t>Pettinati</w:t>
      </w:r>
      <w:proofErr w:type="spellEnd"/>
      <w:r w:rsidR="00A76D7B" w:rsidRPr="00A76D7B">
        <w:rPr>
          <w:rFonts w:asciiTheme="minorHAnsi" w:hAnsiTheme="minorHAnsi" w:cstheme="majorBidi"/>
          <w:b w:val="0"/>
          <w:color w:val="000000"/>
          <w:sz w:val="18"/>
          <w:szCs w:val="20"/>
          <w:lang w:val="en-AU"/>
        </w:rPr>
        <w:t>, Anton &amp;</w:t>
      </w:r>
      <w:r w:rsidRPr="00A76D7B">
        <w:rPr>
          <w:rFonts w:asciiTheme="minorHAnsi" w:hAnsiTheme="minorHAnsi" w:cstheme="majorBidi"/>
          <w:b w:val="0"/>
          <w:color w:val="000000"/>
          <w:sz w:val="18"/>
          <w:szCs w:val="20"/>
          <w:lang w:val="en-AU"/>
        </w:rPr>
        <w:t xml:space="preserve"> </w:t>
      </w:r>
      <w:proofErr w:type="spellStart"/>
      <w:r w:rsidRPr="00A76D7B">
        <w:rPr>
          <w:rFonts w:asciiTheme="minorHAnsi" w:hAnsiTheme="minorHAnsi" w:cstheme="majorBidi"/>
          <w:b w:val="0"/>
          <w:color w:val="000000"/>
          <w:sz w:val="18"/>
          <w:szCs w:val="20"/>
          <w:lang w:val="en-AU"/>
        </w:rPr>
        <w:t>Willenbring</w:t>
      </w:r>
      <w:proofErr w:type="spellEnd"/>
      <w:r w:rsidRPr="00A76D7B">
        <w:rPr>
          <w:rFonts w:asciiTheme="minorHAnsi" w:hAnsiTheme="minorHAnsi" w:cstheme="majorBidi"/>
          <w:b w:val="0"/>
          <w:color w:val="000000"/>
          <w:sz w:val="18"/>
          <w:szCs w:val="20"/>
          <w:lang w:val="en-AU"/>
        </w:rPr>
        <w:t>, 2006</w:t>
      </w:r>
    </w:p>
    <w:p w:rsidR="00143847" w:rsidRDefault="00143847" w:rsidP="006C4481">
      <w:pPr>
        <w:pStyle w:val="FAREtableheading"/>
        <w:rPr>
          <w:rFonts w:asciiTheme="minorHAnsi" w:hAnsiTheme="minorHAnsi" w:cstheme="majorBidi"/>
          <w:b w:val="0"/>
          <w:color w:val="000000"/>
          <w:sz w:val="18"/>
          <w:szCs w:val="20"/>
          <w:lang w:val="en-AU"/>
        </w:rPr>
      </w:pPr>
    </w:p>
    <w:p w:rsidR="00143847" w:rsidRDefault="00143847" w:rsidP="006C4481">
      <w:pPr>
        <w:pStyle w:val="FAREtableheading"/>
        <w:rPr>
          <w:rFonts w:asciiTheme="minorHAnsi" w:hAnsiTheme="minorHAnsi" w:cstheme="majorBidi"/>
          <w:b w:val="0"/>
          <w:color w:val="000000"/>
          <w:sz w:val="18"/>
          <w:szCs w:val="20"/>
          <w:lang w:val="en-AU"/>
        </w:rPr>
      </w:pPr>
    </w:p>
    <w:p w:rsidR="00EF463D" w:rsidRDefault="00EF463D" w:rsidP="004212FD">
      <w:pPr>
        <w:pStyle w:val="Heading1"/>
        <w:spacing w:before="1920"/>
        <w:ind w:left="357" w:hanging="357"/>
      </w:pPr>
      <w:bookmarkStart w:id="65" w:name="_Toc398105039"/>
      <w:r>
        <w:lastRenderedPageBreak/>
        <w:t>ystem description</w:t>
      </w:r>
      <w:bookmarkEnd w:id="65"/>
    </w:p>
    <w:p w:rsidR="005E4BA1" w:rsidRDefault="005E4BA1" w:rsidP="00EF463D">
      <w:pPr>
        <w:pStyle w:val="FAREnormaltext"/>
      </w:pPr>
      <w:r>
        <w:t>This section addresses priority 1 of the overall study which was to document the current AOD treatment system in Australia. This was achieved by using a mixed methods approach which included a review of existing documents on AOD states and territories, key informant interview</w:t>
      </w:r>
      <w:r w:rsidR="005B4859">
        <w:t>s</w:t>
      </w:r>
      <w:r>
        <w:t xml:space="preserve"> focusing on features, strengths and challenges for these systems, along with key features of an effective systems approach and synthesis of results </w:t>
      </w:r>
      <w:r w:rsidR="005B4859">
        <w:t>to</w:t>
      </w:r>
      <w:r>
        <w:t xml:space="preserve"> identif</w:t>
      </w:r>
      <w:r w:rsidR="005B4859">
        <w:t>y</w:t>
      </w:r>
      <w:r>
        <w:t xml:space="preserve"> a set o</w:t>
      </w:r>
      <w:r w:rsidR="00A10181">
        <w:t xml:space="preserve">f key findings for Australia. </w:t>
      </w:r>
    </w:p>
    <w:p w:rsidR="00DF4F77" w:rsidRDefault="00872CA8" w:rsidP="00173B16">
      <w:pPr>
        <w:pStyle w:val="FAREH2Nbr"/>
      </w:pPr>
      <w:bookmarkStart w:id="66" w:name="_Toc398105040"/>
      <w:r>
        <w:t>Method</w:t>
      </w:r>
      <w:bookmarkEnd w:id="66"/>
    </w:p>
    <w:p w:rsidR="00DF4F77" w:rsidRPr="007925F3" w:rsidRDefault="00DF4F77" w:rsidP="007925F3">
      <w:pPr>
        <w:pStyle w:val="heading3pp"/>
      </w:pPr>
      <w:r w:rsidRPr="007925F3">
        <w:t>Documenting current AOD prevention and treatment systems in each Australian jurisdiction</w:t>
      </w:r>
    </w:p>
    <w:p w:rsidR="00D51944" w:rsidRPr="00D51944" w:rsidRDefault="00D51944" w:rsidP="00D51944">
      <w:pPr>
        <w:pStyle w:val="FAREnormaltext"/>
      </w:pPr>
      <w:r w:rsidRPr="00D51944">
        <w:t>In order to provide a ‘snapshot’ of the AOD prevention and treatment system in each state and territory, a system synopsis was developed for each jurisdiction. Two data sources were used to develop the synopses: document review and key informant interviews.</w:t>
      </w:r>
    </w:p>
    <w:p w:rsidR="00DF4F77" w:rsidRPr="007925F3" w:rsidRDefault="00DF4F77" w:rsidP="007925F3">
      <w:pPr>
        <w:pStyle w:val="heading3pp"/>
      </w:pPr>
      <w:r w:rsidRPr="007925F3">
        <w:t>Document review (November</w:t>
      </w:r>
      <w:r w:rsidR="009B2423">
        <w:t xml:space="preserve"> </w:t>
      </w:r>
      <w:r w:rsidRPr="007925F3">
        <w:t>2011 – November 2013)</w:t>
      </w:r>
    </w:p>
    <w:p w:rsidR="00D51944" w:rsidRPr="00D51944" w:rsidRDefault="00D51944" w:rsidP="00D51944">
      <w:pPr>
        <w:pStyle w:val="FAREnormaltext"/>
      </w:pPr>
      <w:r w:rsidRPr="00D51944">
        <w:t xml:space="preserve">Publicly available material regarding the functions, resources and operation of each system was sought from government departments, AOD peak bodies and other sources as relevant. Material consulted included the </w:t>
      </w:r>
      <w:r w:rsidR="002856CC" w:rsidRPr="00D51944">
        <w:t xml:space="preserve">Alcohol and Other Drug Treatment Services </w:t>
      </w:r>
      <w:r w:rsidRPr="00D51944">
        <w:t>National Minimum D</w:t>
      </w:r>
      <w:r w:rsidR="00845AC6">
        <w:t>ata</w:t>
      </w:r>
      <w:r w:rsidR="002856CC">
        <w:t xml:space="preserve"> </w:t>
      </w:r>
      <w:r w:rsidRPr="00D51944">
        <w:t>Set</w:t>
      </w:r>
      <w:r w:rsidR="002856CC">
        <w:t xml:space="preserve"> (</w:t>
      </w:r>
      <w:r w:rsidR="007925F3">
        <w:t>AODTS-</w:t>
      </w:r>
      <w:r w:rsidR="002856CC">
        <w:t>NMD</w:t>
      </w:r>
      <w:r w:rsidR="007925F3">
        <w:t>S</w:t>
      </w:r>
      <w:r w:rsidR="002856CC">
        <w:t>)</w:t>
      </w:r>
      <w:r w:rsidRPr="00D51944">
        <w:t xml:space="preserve"> </w:t>
      </w:r>
      <w:r w:rsidR="002856CC" w:rsidRPr="00D51944">
        <w:t>2009-10</w:t>
      </w:r>
      <w:r w:rsidR="00A33370">
        <w:rPr>
          <w:rStyle w:val="FootnoteReference"/>
        </w:rPr>
        <w:footnoteReference w:id="3"/>
      </w:r>
      <w:r w:rsidR="002856CC" w:rsidRPr="00D51944">
        <w:t xml:space="preserve"> </w:t>
      </w:r>
      <w:r w:rsidR="002856CC">
        <w:t xml:space="preserve">(AIHW, 2011) </w:t>
      </w:r>
      <w:r w:rsidRPr="00D51944">
        <w:t>and policy documents from State/Territory and Commonwealth Governments over the time period 2008-2013. This information was used to prepare a brief synopsis of the AOD system in each jurisdiction, with any gaps or inconsistencies in the available information noted. Synopses were structured to cover the following areas:</w:t>
      </w:r>
    </w:p>
    <w:p w:rsidR="00DF4F77" w:rsidRPr="00DF4F77" w:rsidRDefault="00DF4F77" w:rsidP="0026107A">
      <w:pPr>
        <w:numPr>
          <w:ilvl w:val="0"/>
          <w:numId w:val="21"/>
        </w:numPr>
        <w:spacing w:after="80" w:line="360" w:lineRule="auto"/>
        <w:rPr>
          <w:rFonts w:asciiTheme="minorHAnsi" w:eastAsia="SimSun" w:hAnsiTheme="minorHAnsi" w:cs="Arial"/>
        </w:rPr>
      </w:pPr>
      <w:r w:rsidRPr="00DF4F77">
        <w:rPr>
          <w:rFonts w:asciiTheme="minorHAnsi" w:eastAsia="SimSun" w:hAnsiTheme="minorHAnsi" w:cs="Arial"/>
        </w:rPr>
        <w:t>System values and principles</w:t>
      </w:r>
    </w:p>
    <w:p w:rsidR="00DF4F77" w:rsidRPr="00DF4F77" w:rsidRDefault="00DF4F77" w:rsidP="0026107A">
      <w:pPr>
        <w:numPr>
          <w:ilvl w:val="0"/>
          <w:numId w:val="21"/>
        </w:numPr>
        <w:spacing w:after="80" w:line="360" w:lineRule="auto"/>
        <w:ind w:left="714" w:hanging="357"/>
        <w:rPr>
          <w:rFonts w:asciiTheme="minorHAnsi" w:eastAsia="SimSun" w:hAnsiTheme="minorHAnsi" w:cs="Arial"/>
        </w:rPr>
      </w:pPr>
      <w:r w:rsidRPr="00DF4F77">
        <w:rPr>
          <w:rFonts w:asciiTheme="minorHAnsi" w:eastAsia="SimSun" w:hAnsiTheme="minorHAnsi" w:cs="Arial"/>
        </w:rPr>
        <w:t>Level and source of financial investment</w:t>
      </w:r>
    </w:p>
    <w:p w:rsidR="00DF4F77" w:rsidRPr="00DF4F77" w:rsidRDefault="00DF4F77" w:rsidP="0026107A">
      <w:pPr>
        <w:numPr>
          <w:ilvl w:val="0"/>
          <w:numId w:val="21"/>
        </w:numPr>
        <w:spacing w:after="80" w:line="360" w:lineRule="auto"/>
        <w:ind w:left="714" w:hanging="357"/>
        <w:rPr>
          <w:rFonts w:asciiTheme="minorHAnsi" w:eastAsia="SimSun" w:hAnsiTheme="minorHAnsi" w:cs="Arial"/>
        </w:rPr>
      </w:pPr>
      <w:r w:rsidRPr="00DF4F77">
        <w:rPr>
          <w:rFonts w:asciiTheme="minorHAnsi" w:eastAsia="SimSun" w:hAnsiTheme="minorHAnsi" w:cs="Arial"/>
        </w:rPr>
        <w:t>Estimates of met and unmet need</w:t>
      </w:r>
    </w:p>
    <w:p w:rsidR="00DF4F77" w:rsidRPr="00DF4F77" w:rsidRDefault="00DF4F77" w:rsidP="0026107A">
      <w:pPr>
        <w:numPr>
          <w:ilvl w:val="0"/>
          <w:numId w:val="21"/>
        </w:numPr>
        <w:spacing w:after="80" w:line="360" w:lineRule="auto"/>
        <w:ind w:left="714" w:hanging="357"/>
        <w:rPr>
          <w:rFonts w:asciiTheme="minorHAnsi" w:eastAsia="SimSun" w:hAnsiTheme="minorHAnsi" w:cs="Arial"/>
        </w:rPr>
      </w:pPr>
      <w:r w:rsidRPr="00DF4F77">
        <w:rPr>
          <w:rFonts w:asciiTheme="minorHAnsi" w:eastAsia="SimSun" w:hAnsiTheme="minorHAnsi" w:cs="Arial"/>
        </w:rPr>
        <w:t>Client characteristics</w:t>
      </w:r>
    </w:p>
    <w:p w:rsidR="00DF4F77" w:rsidRPr="00DF4F77" w:rsidRDefault="00DF4F77" w:rsidP="0026107A">
      <w:pPr>
        <w:numPr>
          <w:ilvl w:val="0"/>
          <w:numId w:val="21"/>
        </w:numPr>
        <w:spacing w:after="80" w:line="360" w:lineRule="auto"/>
        <w:ind w:left="714" w:hanging="357"/>
        <w:rPr>
          <w:rFonts w:asciiTheme="minorHAnsi" w:eastAsia="SimSun" w:hAnsiTheme="minorHAnsi" w:cs="Arial"/>
        </w:rPr>
      </w:pPr>
      <w:r w:rsidRPr="00DF4F77">
        <w:rPr>
          <w:rFonts w:asciiTheme="minorHAnsi" w:eastAsia="SimSun" w:hAnsiTheme="minorHAnsi" w:cs="Arial"/>
        </w:rPr>
        <w:t>Service setting</w:t>
      </w:r>
    </w:p>
    <w:p w:rsidR="00DF4F77" w:rsidRPr="00DF4F77" w:rsidRDefault="00DF4F77" w:rsidP="0026107A">
      <w:pPr>
        <w:numPr>
          <w:ilvl w:val="0"/>
          <w:numId w:val="21"/>
        </w:numPr>
        <w:spacing w:after="80" w:line="360" w:lineRule="auto"/>
        <w:ind w:left="714" w:hanging="357"/>
        <w:rPr>
          <w:rFonts w:asciiTheme="minorHAnsi" w:eastAsia="SimSun" w:hAnsiTheme="minorHAnsi" w:cs="Arial"/>
        </w:rPr>
      </w:pPr>
      <w:r w:rsidRPr="00DF4F77">
        <w:rPr>
          <w:rFonts w:asciiTheme="minorHAnsi" w:eastAsia="SimSun" w:hAnsiTheme="minorHAnsi" w:cs="Arial"/>
        </w:rPr>
        <w:t>Monitoring and accountability</w:t>
      </w:r>
    </w:p>
    <w:p w:rsidR="00DF4F77" w:rsidRPr="00DF4F77" w:rsidRDefault="00DF4F77" w:rsidP="0026107A">
      <w:pPr>
        <w:numPr>
          <w:ilvl w:val="0"/>
          <w:numId w:val="21"/>
        </w:numPr>
        <w:spacing w:after="80" w:line="360" w:lineRule="auto"/>
        <w:ind w:left="714" w:hanging="357"/>
        <w:rPr>
          <w:rFonts w:asciiTheme="minorHAnsi" w:eastAsia="SimSun" w:hAnsiTheme="minorHAnsi" w:cs="Arial"/>
        </w:rPr>
      </w:pPr>
      <w:r w:rsidRPr="00DF4F77">
        <w:rPr>
          <w:rFonts w:asciiTheme="minorHAnsi" w:eastAsia="SimSun" w:hAnsiTheme="minorHAnsi" w:cs="Arial"/>
        </w:rPr>
        <w:t>Strengths and challenges</w:t>
      </w:r>
    </w:p>
    <w:p w:rsidR="007925F3" w:rsidRDefault="007925F3" w:rsidP="00DF4F77">
      <w:pPr>
        <w:pStyle w:val="FAREnormaltext"/>
        <w:spacing w:after="0"/>
      </w:pPr>
      <w:r>
        <w:t xml:space="preserve">These areas were identified </w:t>
      </w:r>
      <w:r w:rsidR="005719A1">
        <w:t>from a review of the literature</w:t>
      </w:r>
      <w:r w:rsidR="00CF6710">
        <w:t xml:space="preserve"> on</w:t>
      </w:r>
      <w:r w:rsidR="005719A1" w:rsidRPr="005719A1">
        <w:t xml:space="preserve"> health services research</w:t>
      </w:r>
      <w:r w:rsidR="00CF6710">
        <w:t xml:space="preserve"> -</w:t>
      </w:r>
      <w:r w:rsidR="005719A1" w:rsidRPr="005719A1">
        <w:t xml:space="preserve"> on how systems are organised, finan</w:t>
      </w:r>
      <w:r w:rsidR="006D68E6">
        <w:t xml:space="preserve">ced, and delivered (Mays, 2003). </w:t>
      </w:r>
      <w:r w:rsidR="005719A1" w:rsidRPr="005719A1">
        <w:t>This area has emerged as an important means of informing how services and systems operate, by examining “the organisation, financing and delivery of public health service in communities, and the impact of these services on public health” (Mays, 2003, p. 179).</w:t>
      </w:r>
    </w:p>
    <w:p w:rsidR="007925F3" w:rsidRDefault="007925F3" w:rsidP="00DF4F77">
      <w:pPr>
        <w:pStyle w:val="FAREnormaltext"/>
        <w:spacing w:after="0"/>
      </w:pPr>
    </w:p>
    <w:p w:rsidR="00DF4F77" w:rsidRPr="006B1350" w:rsidRDefault="00DF4F77" w:rsidP="00DF4F77">
      <w:pPr>
        <w:pStyle w:val="FAREnormaltext"/>
        <w:spacing w:after="0"/>
      </w:pPr>
      <w:r w:rsidRPr="006B1350">
        <w:lastRenderedPageBreak/>
        <w:t>Draft synopses were then distributed to key informants (described below) for input and comment. In some cases, key informants provided comments and additional information prior to the face-to-face consultations.</w:t>
      </w:r>
    </w:p>
    <w:p w:rsidR="00DF4F77" w:rsidRPr="007925F3" w:rsidRDefault="00DF4F77" w:rsidP="007925F3">
      <w:pPr>
        <w:pStyle w:val="heading3pp"/>
      </w:pPr>
      <w:r w:rsidRPr="007925F3">
        <w:t>Key informant interviews (January 2012 – October 2012)</w:t>
      </w:r>
    </w:p>
    <w:p w:rsidR="00DF4F77" w:rsidRPr="006B1350" w:rsidRDefault="00DF4F77" w:rsidP="00DF4F77">
      <w:pPr>
        <w:pStyle w:val="FAREnormaltext"/>
      </w:pPr>
      <w:r w:rsidRPr="006B1350">
        <w:t xml:space="preserve">Key informants from each state and territory were approached to verify the system synopsis specific to their jurisdiction. Within each state and territory, the most senior government employee with direct responsibility for AOD policy and programmes and the head of the AOD sector peak body were sent an email to explain the project and inviting them to take part in an informal consultation interview (non-respondents were followed up with a second email request and then a telephone call). These key informants nominated other participants and group interviews were held. A total of </w:t>
      </w:r>
      <w:r w:rsidR="005719A1">
        <w:t>39</w:t>
      </w:r>
      <w:r w:rsidRPr="006B1350">
        <w:t xml:space="preserve"> key informants were involved (ACT = 5, NSW = 3, NT = 6, QLD = </w:t>
      </w:r>
      <w:r w:rsidR="005719A1">
        <w:t>4</w:t>
      </w:r>
      <w:r w:rsidRPr="006B1350">
        <w:t xml:space="preserve">, SA = </w:t>
      </w:r>
      <w:r w:rsidR="005719A1">
        <w:t>4</w:t>
      </w:r>
      <w:r w:rsidRPr="006B1350">
        <w:t xml:space="preserve">, TAS = 9, VIC = 3, WA = 5). </w:t>
      </w:r>
    </w:p>
    <w:p w:rsidR="00DF4F77" w:rsidRPr="006B1350" w:rsidRDefault="00DF4F77" w:rsidP="00DF4F77">
      <w:pPr>
        <w:pStyle w:val="FAREnormaltext"/>
      </w:pPr>
      <w:r w:rsidRPr="006B1350">
        <w:t>Each key informant was provided with the relevant draft synopsis prior to meeting with the researchers. During the consultation</w:t>
      </w:r>
      <w:r w:rsidR="005B4859">
        <w:t>,</w:t>
      </w:r>
      <w:r w:rsidRPr="006B1350">
        <w:t xml:space="preserve"> participants were asked to indicate which aspects of the synopsis they regard</w:t>
      </w:r>
      <w:r w:rsidR="005B4859">
        <w:t>ed</w:t>
      </w:r>
      <w:r w:rsidRPr="006B1350">
        <w:t xml:space="preserve"> as accurately representing the AOD system in their jurisdiction, to challenge aspects which they consider</w:t>
      </w:r>
      <w:r w:rsidR="005B4859">
        <w:t>ed</w:t>
      </w:r>
      <w:r w:rsidRPr="006B1350">
        <w:t xml:space="preserve"> incorrect and, where possible, to provide information to fill any gaps. Key informants were also asked to comment on the strengths and challenges of the AOD system in which they work and to identify what they consider to be the key features of an effective system. Notes were taken during the interview and the conversations were digitally recorded to assist with ensuring the accuracy of the notes.</w:t>
      </w:r>
    </w:p>
    <w:p w:rsidR="00DF4F77" w:rsidRPr="007925F3" w:rsidRDefault="00D51944" w:rsidP="007925F3">
      <w:pPr>
        <w:pStyle w:val="heading3pp"/>
      </w:pPr>
      <w:r w:rsidRPr="007925F3">
        <w:t xml:space="preserve">Refinement of synopses </w:t>
      </w:r>
      <w:r w:rsidR="00DF4F77" w:rsidRPr="007925F3">
        <w:t xml:space="preserve">(June </w:t>
      </w:r>
      <w:r w:rsidRPr="007925F3">
        <w:t>2012 – July 2013)</w:t>
      </w:r>
    </w:p>
    <w:p w:rsidR="00DF4F77" w:rsidRPr="006B1350" w:rsidRDefault="00DF4F77" w:rsidP="00DF4F77">
      <w:pPr>
        <w:pStyle w:val="FAREnormaltext"/>
      </w:pPr>
      <w:r w:rsidRPr="006B1350">
        <w:t>At the conclusion of the interviews</w:t>
      </w:r>
      <w:r w:rsidR="005B4859">
        <w:t xml:space="preserve">, </w:t>
      </w:r>
      <w:r w:rsidRPr="006B1350">
        <w:t>each jurisdictional synopsis was refined to incorporate information obtained during the consultation process. The research team received additional documentary material from key informants before, during and after the key informant interviews. The refined synopses were sent back to the state and territory government key informants for further comment and subsequently finalised.</w:t>
      </w:r>
    </w:p>
    <w:p w:rsidR="00D51944" w:rsidRPr="00D51944" w:rsidRDefault="00D51944" w:rsidP="00D51944">
      <w:pPr>
        <w:pStyle w:val="FAREnormaltext"/>
      </w:pPr>
      <w:r w:rsidRPr="00D51944">
        <w:t xml:space="preserve">It is important to recognise that the document review and interviews were conducted in </w:t>
      </w:r>
      <w:r w:rsidR="00997ADB">
        <w:t>2012</w:t>
      </w:r>
      <w:r w:rsidRPr="00D51944">
        <w:t xml:space="preserve"> and some jurisdictions have experienced major change since that time. Further, the Commonwealth commissioned a major review of AOD treatment in Australia in July 2013 and the review has some similarities with the development of synopses as part of the Pathways Project. As a consequence, the final synopses were provided to the Commonwealth review team, to inform their work. </w:t>
      </w:r>
    </w:p>
    <w:p w:rsidR="00DF4F77" w:rsidRPr="007925F3" w:rsidRDefault="00DF4F77" w:rsidP="007925F3">
      <w:pPr>
        <w:pStyle w:val="heading3pp"/>
      </w:pPr>
      <w:r w:rsidRPr="007925F3">
        <w:t>Summary of synopses across jurisdictions</w:t>
      </w:r>
    </w:p>
    <w:p w:rsidR="00DF4F77" w:rsidRPr="001E00EE" w:rsidRDefault="00DF4F77" w:rsidP="00DF4F77">
      <w:pPr>
        <w:pStyle w:val="FAREnormaltext"/>
      </w:pPr>
      <w:r w:rsidRPr="001E00EE">
        <w:t xml:space="preserve">As the synopses for each jurisdiction were lengthy, a summary version for each was developed and is included in Appendix </w:t>
      </w:r>
      <w:r w:rsidR="005719A1">
        <w:t>1</w:t>
      </w:r>
      <w:r w:rsidRPr="001E00EE">
        <w:t xml:space="preserve">. Given the sensitivity of the material regarding the funding arrangements for the provision of AOD services in each state and territory, </w:t>
      </w:r>
      <w:r w:rsidR="00997ADB">
        <w:t xml:space="preserve">and the time elapsed since consultations, </w:t>
      </w:r>
      <w:r w:rsidRPr="001E00EE">
        <w:t>only very broad information concerning this aspect is provided. Summary synopses across all eight jurisdictions were examined</w:t>
      </w:r>
      <w:r w:rsidR="006D68E6">
        <w:t xml:space="preserve">, </w:t>
      </w:r>
      <w:r w:rsidRPr="001E00EE">
        <w:t>and the commonalities and differences in AOD treatment systems across Australia noted.</w:t>
      </w:r>
    </w:p>
    <w:p w:rsidR="00DF4F77" w:rsidRPr="00872CA8" w:rsidRDefault="00DF4F77" w:rsidP="00173B16">
      <w:pPr>
        <w:pStyle w:val="FAREH2Nbr"/>
      </w:pPr>
      <w:bookmarkStart w:id="67" w:name="_Toc386108186"/>
      <w:bookmarkStart w:id="68" w:name="_Toc387426326"/>
      <w:bookmarkStart w:id="69" w:name="_Toc398105041"/>
      <w:r w:rsidRPr="00872CA8">
        <w:lastRenderedPageBreak/>
        <w:t>System values and principles</w:t>
      </w:r>
      <w:bookmarkEnd w:id="67"/>
      <w:bookmarkEnd w:id="68"/>
      <w:bookmarkEnd w:id="69"/>
    </w:p>
    <w:p w:rsidR="00DF4F77" w:rsidRPr="006B1350" w:rsidRDefault="00DF4F77" w:rsidP="00DF4F77">
      <w:pPr>
        <w:pStyle w:val="FAREnormaltext"/>
      </w:pPr>
      <w:r w:rsidRPr="006B1350">
        <w:t>Information regarding system values and principles was primarily drawn from policy documents. For most jurisdictions (ACT, NT, SA, TAS, VIC, WA), a specific overarching policy or strategy was identified which articulated the principles underpinning the AOD service system in that state or territory. Although the specific wording differed between jurisdictions, most of the policies advocated five broad themes:</w:t>
      </w:r>
    </w:p>
    <w:p w:rsidR="00DF4F77" w:rsidRPr="00DF4F77" w:rsidRDefault="00DF4F77" w:rsidP="00DF4F77">
      <w:pPr>
        <w:pStyle w:val="FAREdotpoints"/>
      </w:pPr>
      <w:r w:rsidRPr="00DF4F77">
        <w:t>Harm minimisation/harm reduction</w:t>
      </w:r>
    </w:p>
    <w:p w:rsidR="00DF4F77" w:rsidRPr="00DF4F77" w:rsidRDefault="00DF4F77" w:rsidP="00DF4F77">
      <w:pPr>
        <w:pStyle w:val="FAREdotpoints"/>
      </w:pPr>
      <w:r w:rsidRPr="00DF4F77">
        <w:t>Accessibility of services</w:t>
      </w:r>
    </w:p>
    <w:p w:rsidR="00DF4F77" w:rsidRPr="00DF4F77" w:rsidRDefault="00DF4F77" w:rsidP="00DF4F77">
      <w:pPr>
        <w:pStyle w:val="FAREdotpoints"/>
      </w:pPr>
      <w:r w:rsidRPr="00DF4F77">
        <w:t>Client-oriented/focussed services</w:t>
      </w:r>
    </w:p>
    <w:p w:rsidR="00DF4F77" w:rsidRPr="00DF4F77" w:rsidRDefault="00DF4F77" w:rsidP="00DF4F77">
      <w:pPr>
        <w:pStyle w:val="FAREdotpoints"/>
      </w:pPr>
      <w:r w:rsidRPr="00DF4F77">
        <w:t>Evidence-based/informed approach, best practice</w:t>
      </w:r>
    </w:p>
    <w:p w:rsidR="00DF4F77" w:rsidRPr="00DF4F77" w:rsidRDefault="00DF4F77" w:rsidP="00DF4F77">
      <w:pPr>
        <w:pStyle w:val="FAREdotpoints"/>
      </w:pPr>
      <w:r w:rsidRPr="00DF4F77">
        <w:t>Interconnectedness both within and beyond the AOD service system</w:t>
      </w:r>
      <w:r w:rsidR="006D68E6">
        <w:t>;</w:t>
      </w:r>
      <w:r w:rsidRPr="00DF4F77">
        <w:t xml:space="preserve"> e.g.</w:t>
      </w:r>
      <w:r w:rsidR="006D68E6">
        <w:t>,</w:t>
      </w:r>
      <w:r w:rsidRPr="00DF4F77">
        <w:t xml:space="preserve"> partnerships, collaboration</w:t>
      </w:r>
    </w:p>
    <w:p w:rsidR="00DF4F77" w:rsidRPr="006B1350" w:rsidRDefault="00DF4F77" w:rsidP="00DF4F77">
      <w:pPr>
        <w:pStyle w:val="FAREnormaltext"/>
      </w:pPr>
      <w:r w:rsidRPr="006B1350">
        <w:t>Other values and principles identified in some but not most of the state and territory AOD policy documents related to the quality of service provision/workforce, emphasis on prevention and early intervention, comprehensiveness (across demand reduction, supply reduction and harm reduction), recognition of broader social factors, consistency of approach across the service system,  sustainability, responsiveness and governance.</w:t>
      </w:r>
    </w:p>
    <w:p w:rsidR="00D51944" w:rsidRPr="00D51944" w:rsidRDefault="00D51944" w:rsidP="00D51944">
      <w:pPr>
        <w:pStyle w:val="FAREnormaltext"/>
      </w:pPr>
      <w:bookmarkStart w:id="70" w:name="_Toc386108187"/>
      <w:bookmarkStart w:id="71" w:name="_Toc387426327"/>
      <w:r w:rsidRPr="00D51944">
        <w:t>At the time of data collection, two jurisdictions did not have a specific government statement of system values or principles for the AOD sector (NSW, QLD). However, in each of these states there were documents outlining more generic, health system-wide values.</w:t>
      </w:r>
    </w:p>
    <w:p w:rsidR="00DF4F77" w:rsidRPr="007925F3" w:rsidRDefault="00DF4F77" w:rsidP="007925F3">
      <w:pPr>
        <w:pStyle w:val="heading3pp"/>
      </w:pPr>
      <w:r w:rsidRPr="007925F3">
        <w:t>Level and source of financial investment</w:t>
      </w:r>
      <w:bookmarkEnd w:id="70"/>
      <w:bookmarkEnd w:id="71"/>
    </w:p>
    <w:p w:rsidR="00DF4F77" w:rsidRPr="006B1350" w:rsidRDefault="00D51944" w:rsidP="00DF4F77">
      <w:pPr>
        <w:pStyle w:val="FAREnormaltext"/>
      </w:pPr>
      <w:r w:rsidRPr="00D51944">
        <w:t>Both the Commonwealth and State/Territory governments invest in AOD services in every jurisdiction, although the funding ratios and totals differ by location.</w:t>
      </w:r>
      <w:r w:rsidRPr="00415291">
        <w:rPr>
          <w:rFonts w:ascii="Times New Roman" w:hAnsi="Times New Roman"/>
        </w:rPr>
        <w:t xml:space="preserve"> </w:t>
      </w:r>
    </w:p>
    <w:p w:rsidR="00DF4F77" w:rsidRPr="007925F3" w:rsidRDefault="00DF4F77" w:rsidP="007925F3">
      <w:pPr>
        <w:pStyle w:val="heading3pp"/>
      </w:pPr>
      <w:bookmarkStart w:id="72" w:name="_Toc386108188"/>
      <w:bookmarkStart w:id="73" w:name="_Toc387426328"/>
      <w:r w:rsidRPr="007925F3">
        <w:t>Estimates of met and unmet need</w:t>
      </w:r>
      <w:bookmarkEnd w:id="72"/>
      <w:bookmarkEnd w:id="73"/>
    </w:p>
    <w:p w:rsidR="00DF4F77" w:rsidRPr="006B1350" w:rsidRDefault="00DF4F77" w:rsidP="00DF4F77">
      <w:pPr>
        <w:pStyle w:val="FAREnormaltext"/>
      </w:pPr>
      <w:r w:rsidRPr="006B1350">
        <w:t>The document review did not yield a great deal of information regarding the extent to which current service provision in each state and territory met underlying need. This issue, including how to estimate demand, is now being extensively canvassed under the separate Commonwealth review of Australian AOD treatment system(s)</w:t>
      </w:r>
      <w:r w:rsidR="00997ADB">
        <w:t xml:space="preserve"> led by the Drug Policy Modelling Program (DPMP) team at the University of NSW (who have been provided with the Patient Pathways synopses)</w:t>
      </w:r>
      <w:r w:rsidRPr="006B1350">
        <w:t>. However, data were available from the Alcohol and Other Drug Treatment Services National Minimum Data Set (AODTS NMDS) for 2009-10</w:t>
      </w:r>
      <w:r w:rsidR="00A10181">
        <w:rPr>
          <w:rStyle w:val="FootnoteReference"/>
        </w:rPr>
        <w:footnoteReference w:id="4"/>
      </w:r>
      <w:r w:rsidRPr="006B1350">
        <w:t xml:space="preserve"> regarding treatment </w:t>
      </w:r>
      <w:r w:rsidRPr="00D51944">
        <w:rPr>
          <w:rFonts w:asciiTheme="minorHAnsi" w:hAnsiTheme="minorHAnsi"/>
        </w:rPr>
        <w:t xml:space="preserve">episodes and type (although some key informants questioned the accuracy of this in some jurisdictions). </w:t>
      </w:r>
      <w:r w:rsidR="00D51944" w:rsidRPr="00D51944">
        <w:rPr>
          <w:rFonts w:asciiTheme="minorHAnsi" w:hAnsiTheme="minorHAnsi"/>
        </w:rPr>
        <w:t>This data set summarises data for publicly funded alcohol and other drug services in each state and territory</w:t>
      </w:r>
      <w:r w:rsidR="00A10181">
        <w:rPr>
          <w:rFonts w:asciiTheme="minorHAnsi" w:hAnsiTheme="minorHAnsi"/>
        </w:rPr>
        <w:t>, though may not include AOD services such as specialist prescribing of medically assisted treatment (e.g. methadone maintenance provided by GPs</w:t>
      </w:r>
      <w:r w:rsidR="005B4859">
        <w:rPr>
          <w:rFonts w:asciiTheme="minorHAnsi" w:hAnsiTheme="minorHAnsi"/>
        </w:rPr>
        <w:t>)</w:t>
      </w:r>
      <w:r w:rsidR="00A10181">
        <w:rPr>
          <w:rFonts w:asciiTheme="minorHAnsi" w:hAnsiTheme="minorHAnsi"/>
        </w:rPr>
        <w:t xml:space="preserve">. </w:t>
      </w:r>
      <w:r w:rsidR="00D51944" w:rsidRPr="00D51944">
        <w:rPr>
          <w:rFonts w:asciiTheme="minorHAnsi" w:hAnsiTheme="minorHAnsi"/>
        </w:rPr>
        <w:t xml:space="preserve">The number of treatment episodes delivered in each state and territory is shown </w:t>
      </w:r>
      <w:r w:rsidR="00D51944" w:rsidRPr="00D51944">
        <w:rPr>
          <w:rFonts w:asciiTheme="minorHAnsi" w:hAnsiTheme="minorHAnsi"/>
        </w:rPr>
        <w:lastRenderedPageBreak/>
        <w:t>in Table 2.1. As would be expected, jurisdictions with larger populations recorded more treatment episodes than those with smaller populations.</w:t>
      </w:r>
    </w:p>
    <w:p w:rsidR="00DF4F77" w:rsidRPr="006B1350" w:rsidRDefault="00DF4F77" w:rsidP="00DF4F77">
      <w:pPr>
        <w:pStyle w:val="FAREnormaltext"/>
      </w:pPr>
      <w:r w:rsidRPr="00B473EE">
        <w:t>The proportion of treatment episodes by treatment type for each state and territory is shown in Table 2.</w:t>
      </w:r>
      <w:r w:rsidR="00723D30" w:rsidRPr="00B473EE">
        <w:t>1</w:t>
      </w:r>
      <w:r w:rsidRPr="00B473EE">
        <w:t xml:space="preserve"> below. </w:t>
      </w:r>
      <w:r w:rsidR="000F56EE" w:rsidRPr="006B1350">
        <w:t>Within each state, the top three treatment types are shaded blue (shading graded with most common darkest and third most common lightest). Although there is considerable variation between jurisdictions in the proportion in each treatment type, counselling is one of the more common treatment types across the country, followed by withdrawal and assessment. QLD and TAS are notable for their emphasis on education interventions.</w:t>
      </w:r>
    </w:p>
    <w:p w:rsidR="00317CA2" w:rsidRPr="00415291" w:rsidRDefault="00317CA2" w:rsidP="00317CA2">
      <w:pPr>
        <w:pStyle w:val="FAREtableheading"/>
      </w:pPr>
      <w:bookmarkStart w:id="74" w:name="_Toc388374616"/>
      <w:bookmarkStart w:id="75" w:name="_Toc398105060"/>
      <w:proofErr w:type="gramStart"/>
      <w:r w:rsidRPr="00415291">
        <w:t xml:space="preserve">Table </w:t>
      </w:r>
      <w:r w:rsidR="00BE3D19">
        <w:fldChar w:fldCharType="begin"/>
      </w:r>
      <w:r w:rsidR="00AC0921">
        <w:instrText xml:space="preserve"> STYLEREF 1 \s </w:instrText>
      </w:r>
      <w:r w:rsidR="00BE3D19">
        <w:fldChar w:fldCharType="separate"/>
      </w:r>
      <w:r w:rsidR="00E150CA">
        <w:rPr>
          <w:noProof/>
        </w:rPr>
        <w:t>2</w:t>
      </w:r>
      <w:r w:rsidR="00BE3D19">
        <w:rPr>
          <w:noProof/>
        </w:rPr>
        <w:fldChar w:fldCharType="end"/>
      </w:r>
      <w:r w:rsidRPr="00415291">
        <w:t>.</w:t>
      </w:r>
      <w:proofErr w:type="gramEnd"/>
      <w:r w:rsidR="00BE3D19" w:rsidRPr="00415291">
        <w:fldChar w:fldCharType="begin"/>
      </w:r>
      <w:r w:rsidRPr="00415291">
        <w:instrText xml:space="preserve"> SEQ Table \* ARABIC \s 1 </w:instrText>
      </w:r>
      <w:r w:rsidR="00BE3D19" w:rsidRPr="00415291">
        <w:fldChar w:fldCharType="separate"/>
      </w:r>
      <w:r w:rsidR="00E150CA">
        <w:rPr>
          <w:noProof/>
        </w:rPr>
        <w:t>1</w:t>
      </w:r>
      <w:r w:rsidR="00BE3D19" w:rsidRPr="00415291">
        <w:fldChar w:fldCharType="end"/>
      </w:r>
      <w:r w:rsidR="006244F5">
        <w:t xml:space="preserve">  </w:t>
      </w:r>
      <w:r w:rsidRPr="00415291">
        <w:t>Proportion of treatment episodes by treatment type and jurisdiction</w:t>
      </w:r>
      <w:bookmarkEnd w:id="74"/>
      <w:bookmarkEnd w:id="75"/>
    </w:p>
    <w:tbl>
      <w:tblPr>
        <w:tblW w:w="9277" w:type="dxa"/>
        <w:tblInd w:w="93" w:type="dxa"/>
        <w:tblBorders>
          <w:top w:val="single" w:sz="4" w:space="0" w:color="auto"/>
          <w:bottom w:val="single" w:sz="4" w:space="0" w:color="auto"/>
        </w:tblBorders>
        <w:tblLook w:val="04A0" w:firstRow="1" w:lastRow="0" w:firstColumn="1" w:lastColumn="0" w:noHBand="0" w:noVBand="1"/>
      </w:tblPr>
      <w:tblGrid>
        <w:gridCol w:w="2495"/>
        <w:gridCol w:w="862"/>
        <w:gridCol w:w="862"/>
        <w:gridCol w:w="843"/>
        <w:gridCol w:w="843"/>
        <w:gridCol w:w="843"/>
        <w:gridCol w:w="843"/>
        <w:gridCol w:w="843"/>
        <w:gridCol w:w="843"/>
      </w:tblGrid>
      <w:tr w:rsidR="00317CA2" w:rsidTr="00317CA2">
        <w:trPr>
          <w:trHeight w:hRule="exact" w:val="284"/>
        </w:trPr>
        <w:tc>
          <w:tcPr>
            <w:tcW w:w="2495" w:type="dxa"/>
            <w:tcBorders>
              <w:top w:val="single" w:sz="4" w:space="0" w:color="auto"/>
              <w:bottom w:val="single" w:sz="4" w:space="0" w:color="auto"/>
            </w:tcBorders>
            <w:shd w:val="clear" w:color="auto" w:fill="FFFFFF"/>
          </w:tcPr>
          <w:p w:rsidR="00317CA2" w:rsidRPr="005719A1" w:rsidRDefault="00317CA2" w:rsidP="00317CA2">
            <w:pPr>
              <w:keepNext/>
              <w:spacing w:after="0" w:line="240" w:lineRule="auto"/>
              <w:rPr>
                <w:rFonts w:asciiTheme="minorHAnsi" w:eastAsia="Times New Roman" w:hAnsiTheme="minorHAnsi" w:cstheme="majorBidi"/>
                <w:b/>
                <w:bCs/>
                <w:color w:val="000000"/>
              </w:rPr>
            </w:pPr>
          </w:p>
        </w:tc>
        <w:tc>
          <w:tcPr>
            <w:tcW w:w="862" w:type="dxa"/>
            <w:tcBorders>
              <w:top w:val="single" w:sz="4" w:space="0" w:color="auto"/>
              <w:bottom w:val="single" w:sz="4" w:space="0" w:color="auto"/>
            </w:tcBorders>
            <w:shd w:val="clear" w:color="auto" w:fill="FFFFFF"/>
            <w:vAlign w:val="center"/>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ACT</w:t>
            </w:r>
          </w:p>
        </w:tc>
        <w:tc>
          <w:tcPr>
            <w:tcW w:w="862" w:type="dxa"/>
            <w:tcBorders>
              <w:top w:val="single" w:sz="4" w:space="0" w:color="auto"/>
              <w:bottom w:val="single" w:sz="4" w:space="0" w:color="auto"/>
            </w:tcBorders>
            <w:shd w:val="clear" w:color="auto" w:fill="FFFFFF"/>
            <w:vAlign w:val="center"/>
            <w:hideMark/>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NSW</w:t>
            </w:r>
          </w:p>
        </w:tc>
        <w:tc>
          <w:tcPr>
            <w:tcW w:w="843" w:type="dxa"/>
            <w:tcBorders>
              <w:top w:val="single" w:sz="4" w:space="0" w:color="auto"/>
              <w:bottom w:val="single" w:sz="4" w:space="0" w:color="auto"/>
            </w:tcBorders>
            <w:shd w:val="clear" w:color="auto" w:fill="FFFFFF"/>
            <w:vAlign w:val="center"/>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NT</w:t>
            </w:r>
          </w:p>
        </w:tc>
        <w:tc>
          <w:tcPr>
            <w:tcW w:w="843" w:type="dxa"/>
            <w:tcBorders>
              <w:top w:val="single" w:sz="4" w:space="0" w:color="auto"/>
              <w:bottom w:val="single" w:sz="4" w:space="0" w:color="auto"/>
            </w:tcBorders>
            <w:shd w:val="clear" w:color="auto" w:fill="FFFFFF"/>
            <w:vAlign w:val="center"/>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QLD</w:t>
            </w:r>
          </w:p>
        </w:tc>
        <w:tc>
          <w:tcPr>
            <w:tcW w:w="843" w:type="dxa"/>
            <w:tcBorders>
              <w:top w:val="single" w:sz="4" w:space="0" w:color="auto"/>
              <w:bottom w:val="single" w:sz="4" w:space="0" w:color="auto"/>
            </w:tcBorders>
            <w:shd w:val="clear" w:color="auto" w:fill="FFFFFF"/>
            <w:vAlign w:val="center"/>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SA</w:t>
            </w:r>
          </w:p>
        </w:tc>
        <w:tc>
          <w:tcPr>
            <w:tcW w:w="843" w:type="dxa"/>
            <w:tcBorders>
              <w:top w:val="single" w:sz="4" w:space="0" w:color="auto"/>
              <w:bottom w:val="single" w:sz="4" w:space="0" w:color="auto"/>
            </w:tcBorders>
            <w:shd w:val="clear" w:color="auto" w:fill="FFFFFF"/>
            <w:vAlign w:val="center"/>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TAS</w:t>
            </w:r>
          </w:p>
        </w:tc>
        <w:tc>
          <w:tcPr>
            <w:tcW w:w="843" w:type="dxa"/>
            <w:tcBorders>
              <w:top w:val="single" w:sz="4" w:space="0" w:color="auto"/>
              <w:bottom w:val="single" w:sz="4" w:space="0" w:color="auto"/>
            </w:tcBorders>
            <w:shd w:val="clear" w:color="auto" w:fill="FFFFFF"/>
            <w:vAlign w:val="center"/>
            <w:hideMark/>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VIC</w:t>
            </w:r>
          </w:p>
        </w:tc>
        <w:tc>
          <w:tcPr>
            <w:tcW w:w="843" w:type="dxa"/>
            <w:tcBorders>
              <w:top w:val="single" w:sz="4" w:space="0" w:color="auto"/>
              <w:bottom w:val="single" w:sz="4" w:space="0" w:color="auto"/>
            </w:tcBorders>
            <w:shd w:val="clear" w:color="auto" w:fill="FFFFFF"/>
            <w:vAlign w:val="center"/>
            <w:hideMark/>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WA</w:t>
            </w:r>
          </w:p>
        </w:tc>
      </w:tr>
      <w:tr w:rsidR="00317CA2" w:rsidTr="00317CA2">
        <w:trPr>
          <w:trHeight w:hRule="exact" w:val="284"/>
        </w:trPr>
        <w:tc>
          <w:tcPr>
            <w:tcW w:w="2495" w:type="dxa"/>
            <w:tcBorders>
              <w:top w:val="single" w:sz="4" w:space="0" w:color="auto"/>
            </w:tcBorders>
            <w:shd w:val="clear" w:color="auto" w:fill="FFFFFF"/>
            <w:hideMark/>
          </w:tcPr>
          <w:p w:rsidR="00317CA2" w:rsidRPr="005719A1" w:rsidRDefault="00317CA2" w:rsidP="00317CA2">
            <w:pPr>
              <w:keepNext/>
              <w:spacing w:after="0" w:line="240" w:lineRule="auto"/>
              <w:rPr>
                <w:rFonts w:asciiTheme="minorHAnsi" w:eastAsia="Times New Roman" w:hAnsiTheme="minorHAnsi" w:cstheme="majorBidi"/>
                <w:color w:val="000000"/>
              </w:rPr>
            </w:pPr>
            <w:r w:rsidRPr="005719A1">
              <w:rPr>
                <w:rFonts w:asciiTheme="minorHAnsi" w:eastAsia="Times New Roman" w:hAnsiTheme="minorHAnsi" w:cstheme="majorBidi"/>
                <w:color w:val="000000"/>
              </w:rPr>
              <w:t>Withdrawal</w:t>
            </w:r>
          </w:p>
        </w:tc>
        <w:tc>
          <w:tcPr>
            <w:tcW w:w="862" w:type="dxa"/>
            <w:tcBorders>
              <w:top w:val="single" w:sz="4" w:space="0" w:color="auto"/>
            </w:tcBorders>
            <w:shd w:val="clear" w:color="auto" w:fill="B6DDE8" w:themeFill="accent5" w:themeFillTint="66"/>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20.7</w:t>
            </w:r>
          </w:p>
        </w:tc>
        <w:tc>
          <w:tcPr>
            <w:tcW w:w="862" w:type="dxa"/>
            <w:tcBorders>
              <w:top w:val="single" w:sz="4" w:space="0" w:color="auto"/>
            </w:tcBorders>
            <w:shd w:val="clear" w:color="auto" w:fill="B6DDE8" w:themeFill="accent5" w:themeFillTint="66"/>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19.8</w:t>
            </w:r>
          </w:p>
        </w:tc>
        <w:tc>
          <w:tcPr>
            <w:tcW w:w="843" w:type="dxa"/>
            <w:tcBorders>
              <w:top w:val="single" w:sz="4" w:space="0" w:color="auto"/>
            </w:tcBorders>
            <w:shd w:val="clear" w:color="auto" w:fill="FFFFFF"/>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7.3</w:t>
            </w:r>
          </w:p>
        </w:tc>
        <w:tc>
          <w:tcPr>
            <w:tcW w:w="843" w:type="dxa"/>
            <w:tcBorders>
              <w:top w:val="single" w:sz="4" w:space="0" w:color="auto"/>
            </w:tcBorders>
            <w:shd w:val="clear" w:color="auto" w:fill="FFFFFF"/>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5.5</w:t>
            </w:r>
          </w:p>
        </w:tc>
        <w:tc>
          <w:tcPr>
            <w:tcW w:w="843" w:type="dxa"/>
            <w:tcBorders>
              <w:top w:val="single" w:sz="4" w:space="0" w:color="auto"/>
            </w:tcBorders>
            <w:shd w:val="clear" w:color="auto" w:fill="DAEEF3" w:themeFill="accent5" w:themeFillTint="33"/>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18.8</w:t>
            </w:r>
          </w:p>
        </w:tc>
        <w:tc>
          <w:tcPr>
            <w:tcW w:w="843" w:type="dxa"/>
            <w:tcBorders>
              <w:top w:val="single" w:sz="4" w:space="0" w:color="auto"/>
            </w:tcBorders>
            <w:shd w:val="clear" w:color="auto" w:fill="FFFFFF"/>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1.0</w:t>
            </w:r>
          </w:p>
        </w:tc>
        <w:tc>
          <w:tcPr>
            <w:tcW w:w="843" w:type="dxa"/>
            <w:tcBorders>
              <w:top w:val="single" w:sz="4" w:space="0" w:color="auto"/>
            </w:tcBorders>
            <w:shd w:val="clear" w:color="auto" w:fill="B6DDE8" w:themeFill="accent5" w:themeFillTint="66"/>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19.3</w:t>
            </w:r>
          </w:p>
        </w:tc>
        <w:tc>
          <w:tcPr>
            <w:tcW w:w="843" w:type="dxa"/>
            <w:tcBorders>
              <w:top w:val="single" w:sz="4" w:space="0" w:color="auto"/>
            </w:tcBorders>
            <w:shd w:val="clear" w:color="auto" w:fill="B6DDE8" w:themeFill="accent5" w:themeFillTint="66"/>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8.4</w:t>
            </w:r>
          </w:p>
        </w:tc>
      </w:tr>
      <w:tr w:rsidR="00317CA2" w:rsidTr="00317CA2">
        <w:trPr>
          <w:trHeight w:hRule="exact" w:val="284"/>
        </w:trPr>
        <w:tc>
          <w:tcPr>
            <w:tcW w:w="2495" w:type="dxa"/>
            <w:shd w:val="clear" w:color="auto" w:fill="FFFFFF"/>
            <w:hideMark/>
          </w:tcPr>
          <w:p w:rsidR="00317CA2" w:rsidRPr="005719A1" w:rsidRDefault="00317CA2" w:rsidP="00317CA2">
            <w:pPr>
              <w:keepNext/>
              <w:spacing w:after="0" w:line="240" w:lineRule="auto"/>
              <w:rPr>
                <w:rFonts w:asciiTheme="minorHAnsi" w:eastAsia="Times New Roman" w:hAnsiTheme="minorHAnsi" w:cstheme="majorBidi"/>
                <w:color w:val="000000"/>
              </w:rPr>
            </w:pPr>
            <w:r w:rsidRPr="005719A1">
              <w:rPr>
                <w:rFonts w:asciiTheme="minorHAnsi" w:eastAsia="Times New Roman" w:hAnsiTheme="minorHAnsi" w:cstheme="majorBidi"/>
                <w:color w:val="000000"/>
              </w:rPr>
              <w:t>Counselling</w:t>
            </w:r>
          </w:p>
        </w:tc>
        <w:tc>
          <w:tcPr>
            <w:tcW w:w="862" w:type="dxa"/>
            <w:shd w:val="clear" w:color="auto" w:fill="92CDDC" w:themeFill="accent5" w:themeFillTint="99"/>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29.9</w:t>
            </w:r>
          </w:p>
        </w:tc>
        <w:tc>
          <w:tcPr>
            <w:tcW w:w="862" w:type="dxa"/>
            <w:shd w:val="clear" w:color="auto" w:fill="92CDDC" w:themeFill="accent5" w:themeFillTint="99"/>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34.1</w:t>
            </w:r>
          </w:p>
        </w:tc>
        <w:tc>
          <w:tcPr>
            <w:tcW w:w="843" w:type="dxa"/>
            <w:shd w:val="clear" w:color="auto" w:fill="B6DDE8" w:themeFill="accent5" w:themeFillTint="66"/>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21.4</w:t>
            </w:r>
          </w:p>
        </w:tc>
        <w:tc>
          <w:tcPr>
            <w:tcW w:w="843" w:type="dxa"/>
            <w:shd w:val="clear" w:color="auto" w:fill="B6DDE8" w:themeFill="accent5" w:themeFillTint="66"/>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27.8</w:t>
            </w:r>
          </w:p>
        </w:tc>
        <w:tc>
          <w:tcPr>
            <w:tcW w:w="843" w:type="dxa"/>
            <w:shd w:val="clear" w:color="auto" w:fill="92CDDC" w:themeFill="accent5" w:themeFillTint="99"/>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27.1</w:t>
            </w:r>
          </w:p>
        </w:tc>
        <w:tc>
          <w:tcPr>
            <w:tcW w:w="843" w:type="dxa"/>
            <w:shd w:val="clear" w:color="auto" w:fill="92CDDC" w:themeFill="accent5" w:themeFillTint="99"/>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50.3</w:t>
            </w:r>
          </w:p>
        </w:tc>
        <w:tc>
          <w:tcPr>
            <w:tcW w:w="843" w:type="dxa"/>
            <w:shd w:val="clear" w:color="auto" w:fill="92CDDC" w:themeFill="accent5" w:themeFillTint="99"/>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50.7</w:t>
            </w:r>
          </w:p>
        </w:tc>
        <w:tc>
          <w:tcPr>
            <w:tcW w:w="843" w:type="dxa"/>
            <w:shd w:val="clear" w:color="auto" w:fill="92CDDC" w:themeFill="accent5" w:themeFillTint="99"/>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62.9</w:t>
            </w:r>
          </w:p>
        </w:tc>
      </w:tr>
      <w:tr w:rsidR="00317CA2" w:rsidTr="00317CA2">
        <w:trPr>
          <w:trHeight w:hRule="exact" w:val="284"/>
        </w:trPr>
        <w:tc>
          <w:tcPr>
            <w:tcW w:w="2495" w:type="dxa"/>
            <w:shd w:val="clear" w:color="auto" w:fill="FFFFFF"/>
            <w:hideMark/>
          </w:tcPr>
          <w:p w:rsidR="00317CA2" w:rsidRPr="005719A1" w:rsidRDefault="00317CA2" w:rsidP="00317CA2">
            <w:pPr>
              <w:keepNext/>
              <w:spacing w:after="0" w:line="240" w:lineRule="auto"/>
              <w:rPr>
                <w:rFonts w:asciiTheme="minorHAnsi" w:eastAsia="Times New Roman" w:hAnsiTheme="minorHAnsi" w:cstheme="majorBidi"/>
                <w:color w:val="000000"/>
              </w:rPr>
            </w:pPr>
            <w:r w:rsidRPr="005719A1">
              <w:rPr>
                <w:rFonts w:asciiTheme="minorHAnsi" w:eastAsia="Times New Roman" w:hAnsiTheme="minorHAnsi" w:cstheme="majorBidi"/>
                <w:color w:val="000000"/>
              </w:rPr>
              <w:t>Rehabilitation</w:t>
            </w:r>
          </w:p>
        </w:tc>
        <w:tc>
          <w:tcPr>
            <w:tcW w:w="862" w:type="dxa"/>
            <w:shd w:val="clear" w:color="auto" w:fill="FFFFFF"/>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6.7</w:t>
            </w:r>
          </w:p>
        </w:tc>
        <w:tc>
          <w:tcPr>
            <w:tcW w:w="862" w:type="dxa"/>
            <w:shd w:val="clear" w:color="auto" w:fill="FFFFFF"/>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6.3</w:t>
            </w:r>
          </w:p>
        </w:tc>
        <w:tc>
          <w:tcPr>
            <w:tcW w:w="843" w:type="dxa"/>
            <w:shd w:val="clear" w:color="auto" w:fill="DAEEF3" w:themeFill="accent5" w:themeFillTint="33"/>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16.1</w:t>
            </w:r>
          </w:p>
        </w:tc>
        <w:tc>
          <w:tcPr>
            <w:tcW w:w="843" w:type="dxa"/>
            <w:shd w:val="clear" w:color="auto" w:fill="FFFFFF"/>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1.9</w:t>
            </w:r>
          </w:p>
        </w:tc>
        <w:tc>
          <w:tcPr>
            <w:tcW w:w="843" w:type="dxa"/>
            <w:shd w:val="clear" w:color="auto" w:fill="FFFFFF"/>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11.4</w:t>
            </w:r>
          </w:p>
        </w:tc>
        <w:tc>
          <w:tcPr>
            <w:tcW w:w="843" w:type="dxa"/>
            <w:shd w:val="clear" w:color="auto" w:fill="DAEEF3" w:themeFill="accent5" w:themeFillTint="33"/>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7.4</w:t>
            </w:r>
          </w:p>
        </w:tc>
        <w:tc>
          <w:tcPr>
            <w:tcW w:w="843" w:type="dxa"/>
            <w:shd w:val="clear" w:color="auto" w:fill="FFFFFF"/>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3.4</w:t>
            </w:r>
          </w:p>
        </w:tc>
        <w:tc>
          <w:tcPr>
            <w:tcW w:w="843" w:type="dxa"/>
            <w:shd w:val="clear" w:color="auto" w:fill="FFFFFF"/>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6.3</w:t>
            </w:r>
          </w:p>
        </w:tc>
      </w:tr>
      <w:tr w:rsidR="00317CA2" w:rsidTr="00317CA2">
        <w:trPr>
          <w:trHeight w:hRule="exact" w:val="284"/>
        </w:trPr>
        <w:tc>
          <w:tcPr>
            <w:tcW w:w="2495" w:type="dxa"/>
            <w:shd w:val="clear" w:color="auto" w:fill="FFFFFF"/>
            <w:hideMark/>
          </w:tcPr>
          <w:p w:rsidR="00317CA2" w:rsidRPr="005719A1" w:rsidRDefault="00317CA2" w:rsidP="00317CA2">
            <w:pPr>
              <w:keepNext/>
              <w:spacing w:after="0" w:line="240" w:lineRule="auto"/>
              <w:rPr>
                <w:rFonts w:asciiTheme="minorHAnsi" w:eastAsia="Times New Roman" w:hAnsiTheme="minorHAnsi" w:cstheme="majorBidi"/>
                <w:color w:val="000000"/>
              </w:rPr>
            </w:pPr>
            <w:r w:rsidRPr="005719A1">
              <w:rPr>
                <w:rFonts w:asciiTheme="minorHAnsi" w:eastAsia="Times New Roman" w:hAnsiTheme="minorHAnsi" w:cstheme="majorBidi"/>
                <w:color w:val="000000"/>
              </w:rPr>
              <w:t>Case management only</w:t>
            </w:r>
          </w:p>
        </w:tc>
        <w:tc>
          <w:tcPr>
            <w:tcW w:w="862" w:type="dxa"/>
            <w:shd w:val="clear" w:color="auto" w:fill="FFFFFF"/>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12.9</w:t>
            </w:r>
          </w:p>
        </w:tc>
        <w:tc>
          <w:tcPr>
            <w:tcW w:w="862" w:type="dxa"/>
            <w:shd w:val="clear" w:color="auto" w:fill="FFFFFF"/>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9.9</w:t>
            </w:r>
          </w:p>
        </w:tc>
        <w:tc>
          <w:tcPr>
            <w:tcW w:w="843" w:type="dxa"/>
            <w:shd w:val="clear" w:color="auto" w:fill="FFFFFF"/>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1.6</w:t>
            </w:r>
          </w:p>
        </w:tc>
        <w:tc>
          <w:tcPr>
            <w:tcW w:w="843" w:type="dxa"/>
            <w:shd w:val="clear" w:color="auto" w:fill="FFFFFF"/>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3.8</w:t>
            </w:r>
          </w:p>
        </w:tc>
        <w:tc>
          <w:tcPr>
            <w:tcW w:w="843" w:type="dxa"/>
            <w:shd w:val="clear" w:color="auto" w:fill="FFFFFF"/>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2.8</w:t>
            </w:r>
          </w:p>
        </w:tc>
        <w:tc>
          <w:tcPr>
            <w:tcW w:w="843" w:type="dxa"/>
            <w:shd w:val="clear" w:color="auto" w:fill="FFFFFF"/>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0.8</w:t>
            </w:r>
          </w:p>
        </w:tc>
        <w:tc>
          <w:tcPr>
            <w:tcW w:w="843" w:type="dxa"/>
            <w:shd w:val="clear" w:color="auto" w:fill="DAEEF3" w:themeFill="accent5" w:themeFillTint="33"/>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12.9</w:t>
            </w:r>
          </w:p>
        </w:tc>
        <w:tc>
          <w:tcPr>
            <w:tcW w:w="843" w:type="dxa"/>
            <w:shd w:val="clear" w:color="auto" w:fill="FFFFFF"/>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4.8</w:t>
            </w:r>
          </w:p>
        </w:tc>
      </w:tr>
      <w:tr w:rsidR="00317CA2" w:rsidTr="00317CA2">
        <w:trPr>
          <w:trHeight w:hRule="exact" w:val="284"/>
        </w:trPr>
        <w:tc>
          <w:tcPr>
            <w:tcW w:w="2495" w:type="dxa"/>
            <w:shd w:val="clear" w:color="auto" w:fill="FFFFFF"/>
            <w:hideMark/>
          </w:tcPr>
          <w:p w:rsidR="00317CA2" w:rsidRPr="005719A1" w:rsidRDefault="00317CA2" w:rsidP="00317CA2">
            <w:pPr>
              <w:keepNext/>
              <w:spacing w:after="0" w:line="240" w:lineRule="auto"/>
              <w:rPr>
                <w:rFonts w:asciiTheme="minorHAnsi" w:eastAsia="Times New Roman" w:hAnsiTheme="minorHAnsi" w:cstheme="majorBidi"/>
                <w:color w:val="000000"/>
              </w:rPr>
            </w:pPr>
            <w:r w:rsidRPr="005719A1">
              <w:rPr>
                <w:rFonts w:asciiTheme="minorHAnsi" w:eastAsia="Times New Roman" w:hAnsiTheme="minorHAnsi" w:cstheme="majorBidi"/>
                <w:color w:val="000000"/>
              </w:rPr>
              <w:t xml:space="preserve">Information/education </w:t>
            </w:r>
          </w:p>
        </w:tc>
        <w:tc>
          <w:tcPr>
            <w:tcW w:w="862" w:type="dxa"/>
            <w:shd w:val="clear" w:color="auto" w:fill="FFFFFF"/>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10.9</w:t>
            </w:r>
          </w:p>
        </w:tc>
        <w:tc>
          <w:tcPr>
            <w:tcW w:w="862" w:type="dxa"/>
            <w:shd w:val="clear" w:color="auto" w:fill="FFFFFF"/>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1.2</w:t>
            </w:r>
          </w:p>
        </w:tc>
        <w:tc>
          <w:tcPr>
            <w:tcW w:w="843" w:type="dxa"/>
            <w:shd w:val="clear" w:color="auto" w:fill="FFFFFF"/>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5.2</w:t>
            </w:r>
          </w:p>
        </w:tc>
        <w:tc>
          <w:tcPr>
            <w:tcW w:w="843" w:type="dxa"/>
            <w:shd w:val="clear" w:color="auto" w:fill="92CDDC" w:themeFill="accent5" w:themeFillTint="99"/>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41.7</w:t>
            </w:r>
          </w:p>
        </w:tc>
        <w:tc>
          <w:tcPr>
            <w:tcW w:w="843" w:type="dxa"/>
            <w:shd w:val="clear" w:color="auto" w:fill="FFFFFF"/>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7.3</w:t>
            </w:r>
          </w:p>
        </w:tc>
        <w:tc>
          <w:tcPr>
            <w:tcW w:w="843" w:type="dxa"/>
            <w:shd w:val="clear" w:color="auto" w:fill="B6DDE8" w:themeFill="accent5" w:themeFillTint="66"/>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30.8</w:t>
            </w:r>
          </w:p>
        </w:tc>
        <w:tc>
          <w:tcPr>
            <w:tcW w:w="843" w:type="dxa"/>
            <w:shd w:val="clear" w:color="auto" w:fill="FFFFFF"/>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0.7</w:t>
            </w:r>
          </w:p>
        </w:tc>
        <w:tc>
          <w:tcPr>
            <w:tcW w:w="843" w:type="dxa"/>
            <w:shd w:val="clear" w:color="auto" w:fill="FFFFFF"/>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5.6</w:t>
            </w:r>
          </w:p>
        </w:tc>
      </w:tr>
      <w:tr w:rsidR="00317CA2" w:rsidTr="00317CA2">
        <w:trPr>
          <w:trHeight w:hRule="exact" w:val="284"/>
        </w:trPr>
        <w:tc>
          <w:tcPr>
            <w:tcW w:w="2495" w:type="dxa"/>
            <w:shd w:val="clear" w:color="auto" w:fill="FFFFFF"/>
            <w:hideMark/>
          </w:tcPr>
          <w:p w:rsidR="00317CA2" w:rsidRPr="005719A1" w:rsidRDefault="00317CA2" w:rsidP="00317CA2">
            <w:pPr>
              <w:keepNext/>
              <w:spacing w:after="0" w:line="240" w:lineRule="auto"/>
              <w:rPr>
                <w:rFonts w:asciiTheme="minorHAnsi" w:eastAsia="Times New Roman" w:hAnsiTheme="minorHAnsi" w:cstheme="majorBidi"/>
                <w:color w:val="000000"/>
              </w:rPr>
            </w:pPr>
            <w:r w:rsidRPr="005719A1">
              <w:rPr>
                <w:rFonts w:asciiTheme="minorHAnsi" w:eastAsia="Times New Roman" w:hAnsiTheme="minorHAnsi" w:cstheme="majorBidi"/>
                <w:color w:val="000000"/>
              </w:rPr>
              <w:t>Assessment only</w:t>
            </w:r>
          </w:p>
        </w:tc>
        <w:tc>
          <w:tcPr>
            <w:tcW w:w="862" w:type="dxa"/>
            <w:shd w:val="clear" w:color="auto" w:fill="DAEEF3" w:themeFill="accent5" w:themeFillTint="33"/>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13.1</w:t>
            </w:r>
          </w:p>
        </w:tc>
        <w:tc>
          <w:tcPr>
            <w:tcW w:w="862" w:type="dxa"/>
            <w:shd w:val="clear" w:color="auto" w:fill="DAEEF3" w:themeFill="accent5" w:themeFillTint="33"/>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15.5</w:t>
            </w:r>
          </w:p>
        </w:tc>
        <w:tc>
          <w:tcPr>
            <w:tcW w:w="843" w:type="dxa"/>
            <w:shd w:val="clear" w:color="auto" w:fill="92CDDC" w:themeFill="accent5" w:themeFillTint="99"/>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38.6</w:t>
            </w:r>
          </w:p>
        </w:tc>
        <w:tc>
          <w:tcPr>
            <w:tcW w:w="843" w:type="dxa"/>
            <w:shd w:val="clear" w:color="auto" w:fill="DAEEF3" w:themeFill="accent5" w:themeFillTint="33"/>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17.3</w:t>
            </w:r>
          </w:p>
        </w:tc>
        <w:tc>
          <w:tcPr>
            <w:tcW w:w="843" w:type="dxa"/>
            <w:shd w:val="clear" w:color="auto" w:fill="B6DDE8" w:themeFill="accent5" w:themeFillTint="66"/>
            <w:vAlign w:val="center"/>
          </w:tcPr>
          <w:p w:rsidR="00317CA2" w:rsidRPr="005719A1" w:rsidRDefault="00317CA2" w:rsidP="00317CA2">
            <w:pPr>
              <w:keepNext/>
              <w:spacing w:after="0" w:line="240" w:lineRule="auto"/>
              <w:jc w:val="right"/>
              <w:rPr>
                <w:rFonts w:asciiTheme="minorHAnsi" w:hAnsiTheme="minorHAnsi" w:cstheme="majorBidi"/>
              </w:rPr>
            </w:pPr>
            <w:r w:rsidRPr="005719A1">
              <w:rPr>
                <w:rFonts w:asciiTheme="minorHAnsi" w:hAnsiTheme="minorHAnsi" w:cstheme="majorBidi"/>
              </w:rPr>
              <w:t>25.6</w:t>
            </w:r>
          </w:p>
        </w:tc>
        <w:tc>
          <w:tcPr>
            <w:tcW w:w="843" w:type="dxa"/>
            <w:shd w:val="clear" w:color="auto" w:fill="FFFFFF"/>
            <w:vAlign w:val="center"/>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5.1</w:t>
            </w:r>
          </w:p>
        </w:tc>
        <w:tc>
          <w:tcPr>
            <w:tcW w:w="843" w:type="dxa"/>
            <w:shd w:val="clear" w:color="auto" w:fill="FFFFFF"/>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10.0</w:t>
            </w:r>
          </w:p>
        </w:tc>
        <w:tc>
          <w:tcPr>
            <w:tcW w:w="843" w:type="dxa"/>
            <w:shd w:val="clear" w:color="auto" w:fill="FFFFFF"/>
            <w:vAlign w:val="center"/>
            <w:hideMark/>
          </w:tcPr>
          <w:p w:rsidR="00317CA2" w:rsidRPr="005719A1" w:rsidRDefault="00317CA2" w:rsidP="00317CA2">
            <w:pPr>
              <w:keepNext/>
              <w:spacing w:after="0" w:line="240" w:lineRule="auto"/>
              <w:jc w:val="right"/>
              <w:rPr>
                <w:rFonts w:asciiTheme="minorHAnsi" w:hAnsiTheme="minorHAnsi" w:cstheme="majorBidi"/>
                <w:color w:val="000000"/>
              </w:rPr>
            </w:pPr>
            <w:r w:rsidRPr="005719A1">
              <w:rPr>
                <w:rFonts w:asciiTheme="minorHAnsi" w:hAnsiTheme="minorHAnsi" w:cstheme="majorBidi"/>
                <w:color w:val="000000"/>
              </w:rPr>
              <w:t>4.9</w:t>
            </w:r>
          </w:p>
        </w:tc>
      </w:tr>
      <w:tr w:rsidR="00317CA2" w:rsidTr="00317CA2">
        <w:trPr>
          <w:trHeight w:hRule="exact" w:val="284"/>
        </w:trPr>
        <w:tc>
          <w:tcPr>
            <w:tcW w:w="2495" w:type="dxa"/>
            <w:shd w:val="clear" w:color="auto" w:fill="FFFFFF"/>
            <w:hideMark/>
          </w:tcPr>
          <w:p w:rsidR="00317CA2" w:rsidRPr="005719A1" w:rsidRDefault="00317CA2" w:rsidP="00317CA2">
            <w:pPr>
              <w:spacing w:after="0" w:line="240" w:lineRule="auto"/>
              <w:rPr>
                <w:rFonts w:asciiTheme="minorHAnsi" w:eastAsia="Times New Roman" w:hAnsiTheme="minorHAnsi" w:cstheme="majorBidi"/>
                <w:color w:val="000000"/>
              </w:rPr>
            </w:pPr>
            <w:r w:rsidRPr="005719A1">
              <w:rPr>
                <w:rFonts w:asciiTheme="minorHAnsi" w:eastAsia="Times New Roman" w:hAnsiTheme="minorHAnsi" w:cstheme="majorBidi"/>
                <w:color w:val="000000"/>
              </w:rPr>
              <w:t>Other/pharmacotherapy</w:t>
            </w:r>
          </w:p>
        </w:tc>
        <w:tc>
          <w:tcPr>
            <w:tcW w:w="862" w:type="dxa"/>
            <w:shd w:val="clear" w:color="auto" w:fill="FFFFFF"/>
            <w:vAlign w:val="center"/>
          </w:tcPr>
          <w:p w:rsidR="00317CA2" w:rsidRPr="005719A1" w:rsidRDefault="00317CA2" w:rsidP="00317CA2">
            <w:pPr>
              <w:spacing w:after="0" w:line="240" w:lineRule="auto"/>
              <w:jc w:val="right"/>
              <w:rPr>
                <w:rFonts w:asciiTheme="minorHAnsi" w:hAnsiTheme="minorHAnsi" w:cstheme="majorBidi"/>
                <w:color w:val="000000"/>
              </w:rPr>
            </w:pPr>
            <w:r w:rsidRPr="005719A1">
              <w:rPr>
                <w:rFonts w:asciiTheme="minorHAnsi" w:hAnsiTheme="minorHAnsi" w:cstheme="majorBidi"/>
                <w:color w:val="000000"/>
              </w:rPr>
              <w:t>5.9</w:t>
            </w:r>
          </w:p>
        </w:tc>
        <w:tc>
          <w:tcPr>
            <w:tcW w:w="862" w:type="dxa"/>
            <w:shd w:val="clear" w:color="auto" w:fill="FFFFFF"/>
            <w:vAlign w:val="center"/>
            <w:hideMark/>
          </w:tcPr>
          <w:p w:rsidR="00317CA2" w:rsidRPr="005719A1" w:rsidRDefault="00317CA2" w:rsidP="00317CA2">
            <w:pPr>
              <w:spacing w:after="0" w:line="240" w:lineRule="auto"/>
              <w:jc w:val="right"/>
              <w:rPr>
                <w:rFonts w:asciiTheme="minorHAnsi" w:hAnsiTheme="minorHAnsi" w:cstheme="majorBidi"/>
                <w:color w:val="000000"/>
              </w:rPr>
            </w:pPr>
            <w:r w:rsidRPr="005719A1">
              <w:rPr>
                <w:rFonts w:asciiTheme="minorHAnsi" w:hAnsiTheme="minorHAnsi" w:cstheme="majorBidi"/>
                <w:color w:val="000000"/>
              </w:rPr>
              <w:t>13.2</w:t>
            </w:r>
          </w:p>
        </w:tc>
        <w:tc>
          <w:tcPr>
            <w:tcW w:w="843" w:type="dxa"/>
            <w:shd w:val="clear" w:color="auto" w:fill="FFFFFF"/>
            <w:vAlign w:val="center"/>
          </w:tcPr>
          <w:p w:rsidR="00317CA2" w:rsidRPr="005719A1" w:rsidRDefault="00317CA2" w:rsidP="00317CA2">
            <w:pPr>
              <w:spacing w:after="0" w:line="240" w:lineRule="auto"/>
              <w:jc w:val="right"/>
              <w:rPr>
                <w:rFonts w:asciiTheme="minorHAnsi" w:hAnsiTheme="minorHAnsi" w:cstheme="majorBidi"/>
                <w:color w:val="000000"/>
              </w:rPr>
            </w:pPr>
            <w:r w:rsidRPr="005719A1">
              <w:rPr>
                <w:rFonts w:asciiTheme="minorHAnsi" w:hAnsiTheme="minorHAnsi" w:cstheme="majorBidi"/>
                <w:color w:val="000000"/>
              </w:rPr>
              <w:t>9.9</w:t>
            </w:r>
          </w:p>
        </w:tc>
        <w:tc>
          <w:tcPr>
            <w:tcW w:w="843" w:type="dxa"/>
            <w:shd w:val="clear" w:color="auto" w:fill="FFFFFF"/>
            <w:vAlign w:val="center"/>
          </w:tcPr>
          <w:p w:rsidR="00317CA2" w:rsidRPr="005719A1" w:rsidRDefault="00317CA2" w:rsidP="00317CA2">
            <w:pPr>
              <w:spacing w:after="0" w:line="240" w:lineRule="auto"/>
              <w:jc w:val="right"/>
              <w:rPr>
                <w:rFonts w:asciiTheme="minorHAnsi" w:hAnsiTheme="minorHAnsi" w:cstheme="majorBidi"/>
                <w:color w:val="000000"/>
              </w:rPr>
            </w:pPr>
            <w:r w:rsidRPr="005719A1">
              <w:rPr>
                <w:rFonts w:asciiTheme="minorHAnsi" w:hAnsiTheme="minorHAnsi" w:cstheme="majorBidi"/>
                <w:color w:val="000000"/>
              </w:rPr>
              <w:t>2.1</w:t>
            </w:r>
          </w:p>
        </w:tc>
        <w:tc>
          <w:tcPr>
            <w:tcW w:w="843" w:type="dxa"/>
            <w:shd w:val="clear" w:color="auto" w:fill="FFFFFF"/>
            <w:vAlign w:val="center"/>
          </w:tcPr>
          <w:p w:rsidR="00317CA2" w:rsidRPr="005719A1" w:rsidRDefault="00317CA2" w:rsidP="00317CA2">
            <w:pPr>
              <w:spacing w:after="0" w:line="240" w:lineRule="auto"/>
              <w:jc w:val="right"/>
              <w:rPr>
                <w:rFonts w:asciiTheme="minorHAnsi" w:hAnsiTheme="minorHAnsi" w:cstheme="majorBidi"/>
              </w:rPr>
            </w:pPr>
            <w:r w:rsidRPr="005719A1">
              <w:rPr>
                <w:rFonts w:asciiTheme="minorHAnsi" w:hAnsiTheme="minorHAnsi" w:cstheme="majorBidi"/>
              </w:rPr>
              <w:t>7.0</w:t>
            </w:r>
          </w:p>
        </w:tc>
        <w:tc>
          <w:tcPr>
            <w:tcW w:w="843" w:type="dxa"/>
            <w:shd w:val="clear" w:color="auto" w:fill="FFFFFF"/>
            <w:vAlign w:val="center"/>
          </w:tcPr>
          <w:p w:rsidR="00317CA2" w:rsidRPr="005719A1" w:rsidRDefault="00317CA2" w:rsidP="00317CA2">
            <w:pPr>
              <w:spacing w:after="0" w:line="240" w:lineRule="auto"/>
              <w:jc w:val="right"/>
              <w:rPr>
                <w:rFonts w:asciiTheme="minorHAnsi" w:eastAsia="Times New Roman" w:hAnsiTheme="minorHAnsi" w:cstheme="majorBidi"/>
                <w:b/>
                <w:bCs/>
                <w:color w:val="000000"/>
              </w:rPr>
            </w:pPr>
            <w:r w:rsidRPr="005719A1">
              <w:rPr>
                <w:rFonts w:asciiTheme="minorHAnsi" w:hAnsiTheme="minorHAnsi" w:cstheme="majorBidi"/>
                <w:color w:val="000000"/>
              </w:rPr>
              <w:t>4.6</w:t>
            </w:r>
          </w:p>
        </w:tc>
        <w:tc>
          <w:tcPr>
            <w:tcW w:w="843" w:type="dxa"/>
            <w:shd w:val="clear" w:color="auto" w:fill="FFFFFF"/>
            <w:vAlign w:val="center"/>
            <w:hideMark/>
          </w:tcPr>
          <w:p w:rsidR="00317CA2" w:rsidRPr="005719A1" w:rsidRDefault="00317CA2" w:rsidP="00317CA2">
            <w:pPr>
              <w:spacing w:after="0" w:line="240" w:lineRule="auto"/>
              <w:jc w:val="right"/>
              <w:rPr>
                <w:rFonts w:asciiTheme="minorHAnsi" w:hAnsiTheme="minorHAnsi" w:cstheme="majorBidi"/>
                <w:color w:val="000000"/>
              </w:rPr>
            </w:pPr>
            <w:r w:rsidRPr="005719A1">
              <w:rPr>
                <w:rFonts w:asciiTheme="minorHAnsi" w:hAnsiTheme="minorHAnsi" w:cstheme="majorBidi"/>
                <w:color w:val="000000"/>
              </w:rPr>
              <w:t>3.0</w:t>
            </w:r>
          </w:p>
        </w:tc>
        <w:tc>
          <w:tcPr>
            <w:tcW w:w="843" w:type="dxa"/>
            <w:shd w:val="clear" w:color="auto" w:fill="DAEEF3" w:themeFill="accent5" w:themeFillTint="33"/>
            <w:vAlign w:val="center"/>
            <w:hideMark/>
          </w:tcPr>
          <w:p w:rsidR="00317CA2" w:rsidRPr="005719A1" w:rsidRDefault="00317CA2" w:rsidP="00317CA2">
            <w:pPr>
              <w:spacing w:after="0" w:line="240" w:lineRule="auto"/>
              <w:jc w:val="right"/>
              <w:rPr>
                <w:rFonts w:asciiTheme="minorHAnsi" w:hAnsiTheme="minorHAnsi" w:cstheme="majorBidi"/>
                <w:color w:val="000000"/>
              </w:rPr>
            </w:pPr>
            <w:r w:rsidRPr="005719A1">
              <w:rPr>
                <w:rFonts w:asciiTheme="minorHAnsi" w:hAnsiTheme="minorHAnsi" w:cstheme="majorBidi"/>
                <w:color w:val="000000"/>
                <w:shd w:val="clear" w:color="auto" w:fill="DAEEF3" w:themeFill="accent5" w:themeFillTint="33"/>
              </w:rPr>
              <w:t>7.</w:t>
            </w:r>
            <w:r w:rsidRPr="005719A1">
              <w:rPr>
                <w:rFonts w:asciiTheme="minorHAnsi" w:hAnsiTheme="minorHAnsi" w:cstheme="majorBidi"/>
                <w:color w:val="000000"/>
              </w:rPr>
              <w:t>1</w:t>
            </w:r>
          </w:p>
        </w:tc>
      </w:tr>
      <w:tr w:rsidR="00317CA2" w:rsidTr="00317CA2">
        <w:trPr>
          <w:trHeight w:hRule="exact" w:val="624"/>
        </w:trPr>
        <w:tc>
          <w:tcPr>
            <w:tcW w:w="2495" w:type="dxa"/>
            <w:shd w:val="clear" w:color="auto" w:fill="FFFFFF"/>
            <w:hideMark/>
          </w:tcPr>
          <w:p w:rsidR="00317CA2" w:rsidRPr="00723D30" w:rsidRDefault="00317CA2" w:rsidP="00317CA2">
            <w:pPr>
              <w:spacing w:after="0" w:line="240" w:lineRule="auto"/>
              <w:rPr>
                <w:rFonts w:asciiTheme="minorHAnsi" w:eastAsia="Times New Roman" w:hAnsiTheme="minorHAnsi" w:cstheme="majorBidi"/>
                <w:b/>
                <w:color w:val="000000"/>
              </w:rPr>
            </w:pPr>
            <w:r w:rsidRPr="00723D30">
              <w:rPr>
                <w:rFonts w:asciiTheme="minorHAnsi" w:eastAsia="Times New Roman" w:hAnsiTheme="minorHAnsi" w:cstheme="majorBidi"/>
                <w:b/>
                <w:color w:val="000000"/>
              </w:rPr>
              <w:t xml:space="preserve">Total number of treatment episodes </w:t>
            </w:r>
          </w:p>
        </w:tc>
        <w:tc>
          <w:tcPr>
            <w:tcW w:w="862" w:type="dxa"/>
            <w:shd w:val="clear" w:color="auto" w:fill="auto"/>
            <w:vAlign w:val="center"/>
          </w:tcPr>
          <w:p w:rsidR="00317CA2" w:rsidRPr="00723D30" w:rsidRDefault="00317CA2" w:rsidP="00317CA2">
            <w:pPr>
              <w:spacing w:after="0" w:line="240" w:lineRule="auto"/>
              <w:jc w:val="right"/>
              <w:rPr>
                <w:rFonts w:asciiTheme="minorHAnsi" w:hAnsiTheme="minorHAnsi" w:cstheme="majorBidi"/>
                <w:b/>
                <w:color w:val="000000"/>
              </w:rPr>
            </w:pPr>
            <w:r>
              <w:rPr>
                <w:rFonts w:asciiTheme="minorHAnsi" w:hAnsiTheme="minorHAnsi" w:cstheme="majorBidi"/>
                <w:b/>
                <w:color w:val="000000"/>
              </w:rPr>
              <w:t>3,585</w:t>
            </w:r>
          </w:p>
        </w:tc>
        <w:tc>
          <w:tcPr>
            <w:tcW w:w="862" w:type="dxa"/>
            <w:shd w:val="clear" w:color="auto" w:fill="auto"/>
            <w:vAlign w:val="center"/>
            <w:hideMark/>
          </w:tcPr>
          <w:p w:rsidR="00317CA2" w:rsidRPr="00723D30" w:rsidRDefault="00317CA2" w:rsidP="00317CA2">
            <w:pPr>
              <w:spacing w:after="0" w:line="240" w:lineRule="auto"/>
              <w:jc w:val="right"/>
              <w:rPr>
                <w:rFonts w:asciiTheme="minorHAnsi" w:hAnsiTheme="minorHAnsi" w:cstheme="majorBidi"/>
                <w:b/>
                <w:color w:val="000000"/>
              </w:rPr>
            </w:pPr>
            <w:r>
              <w:rPr>
                <w:rFonts w:asciiTheme="minorHAnsi" w:hAnsiTheme="minorHAnsi" w:cstheme="majorBidi"/>
                <w:b/>
                <w:color w:val="000000"/>
              </w:rPr>
              <w:t>35,202</w:t>
            </w:r>
          </w:p>
        </w:tc>
        <w:tc>
          <w:tcPr>
            <w:tcW w:w="843" w:type="dxa"/>
            <w:shd w:val="clear" w:color="auto" w:fill="auto"/>
            <w:vAlign w:val="center"/>
          </w:tcPr>
          <w:p w:rsidR="00317CA2" w:rsidRPr="00723D30" w:rsidRDefault="00317CA2" w:rsidP="00317CA2">
            <w:pPr>
              <w:spacing w:after="0" w:line="240" w:lineRule="auto"/>
              <w:jc w:val="right"/>
              <w:rPr>
                <w:rFonts w:asciiTheme="minorHAnsi" w:hAnsiTheme="minorHAnsi" w:cstheme="majorBidi"/>
                <w:b/>
                <w:color w:val="000000"/>
              </w:rPr>
            </w:pPr>
            <w:r>
              <w:rPr>
                <w:rFonts w:asciiTheme="minorHAnsi" w:hAnsiTheme="minorHAnsi" w:cstheme="majorBidi"/>
                <w:b/>
                <w:color w:val="000000"/>
              </w:rPr>
              <w:t>3,798</w:t>
            </w:r>
          </w:p>
        </w:tc>
        <w:tc>
          <w:tcPr>
            <w:tcW w:w="843" w:type="dxa"/>
            <w:shd w:val="clear" w:color="auto" w:fill="auto"/>
            <w:vAlign w:val="center"/>
          </w:tcPr>
          <w:p w:rsidR="00317CA2" w:rsidRPr="00723D30" w:rsidRDefault="00317CA2" w:rsidP="00317CA2">
            <w:pPr>
              <w:spacing w:after="0" w:line="240" w:lineRule="auto"/>
              <w:jc w:val="right"/>
              <w:rPr>
                <w:rFonts w:asciiTheme="minorHAnsi" w:hAnsiTheme="minorHAnsi" w:cstheme="majorBidi"/>
                <w:b/>
                <w:color w:val="000000"/>
              </w:rPr>
            </w:pPr>
            <w:r>
              <w:rPr>
                <w:rFonts w:asciiTheme="minorHAnsi" w:hAnsiTheme="minorHAnsi" w:cstheme="majorBidi"/>
                <w:b/>
                <w:color w:val="000000"/>
              </w:rPr>
              <w:t>23,090</w:t>
            </w:r>
          </w:p>
        </w:tc>
        <w:tc>
          <w:tcPr>
            <w:tcW w:w="843" w:type="dxa"/>
            <w:shd w:val="clear" w:color="auto" w:fill="auto"/>
            <w:vAlign w:val="center"/>
          </w:tcPr>
          <w:p w:rsidR="00317CA2" w:rsidRPr="00723D30" w:rsidRDefault="00317CA2" w:rsidP="00317CA2">
            <w:pPr>
              <w:spacing w:after="0" w:line="240" w:lineRule="auto"/>
              <w:jc w:val="right"/>
              <w:rPr>
                <w:rFonts w:asciiTheme="minorHAnsi" w:hAnsiTheme="minorHAnsi" w:cstheme="majorBidi"/>
                <w:b/>
              </w:rPr>
            </w:pPr>
            <w:r>
              <w:rPr>
                <w:rFonts w:asciiTheme="minorHAnsi" w:hAnsiTheme="minorHAnsi" w:cstheme="majorBidi"/>
                <w:b/>
              </w:rPr>
              <w:t>9,092</w:t>
            </w:r>
          </w:p>
        </w:tc>
        <w:tc>
          <w:tcPr>
            <w:tcW w:w="843" w:type="dxa"/>
            <w:shd w:val="clear" w:color="auto" w:fill="auto"/>
            <w:vAlign w:val="center"/>
          </w:tcPr>
          <w:p w:rsidR="00317CA2" w:rsidRPr="00723D30" w:rsidRDefault="00317CA2" w:rsidP="00317CA2">
            <w:pPr>
              <w:spacing w:after="0" w:line="240" w:lineRule="auto"/>
              <w:jc w:val="right"/>
              <w:rPr>
                <w:rFonts w:asciiTheme="minorHAnsi" w:hAnsiTheme="minorHAnsi" w:cstheme="majorBidi"/>
                <w:b/>
                <w:color w:val="000000"/>
              </w:rPr>
            </w:pPr>
            <w:r>
              <w:rPr>
                <w:rFonts w:asciiTheme="minorHAnsi" w:hAnsiTheme="minorHAnsi" w:cstheme="majorBidi"/>
                <w:b/>
                <w:color w:val="000000"/>
              </w:rPr>
              <w:t>1,544</w:t>
            </w:r>
          </w:p>
        </w:tc>
        <w:tc>
          <w:tcPr>
            <w:tcW w:w="843" w:type="dxa"/>
            <w:shd w:val="clear" w:color="auto" w:fill="auto"/>
            <w:vAlign w:val="center"/>
            <w:hideMark/>
          </w:tcPr>
          <w:p w:rsidR="00317CA2" w:rsidRPr="00723D30" w:rsidRDefault="00317CA2" w:rsidP="00317CA2">
            <w:pPr>
              <w:spacing w:after="0" w:line="240" w:lineRule="auto"/>
              <w:jc w:val="right"/>
              <w:rPr>
                <w:rFonts w:asciiTheme="minorHAnsi" w:hAnsiTheme="minorHAnsi" w:cstheme="majorBidi"/>
                <w:b/>
                <w:color w:val="000000"/>
              </w:rPr>
            </w:pPr>
            <w:r>
              <w:rPr>
                <w:rFonts w:asciiTheme="minorHAnsi" w:hAnsiTheme="minorHAnsi" w:cstheme="majorBidi"/>
                <w:b/>
                <w:color w:val="000000"/>
              </w:rPr>
              <w:t>52,133</w:t>
            </w:r>
          </w:p>
        </w:tc>
        <w:tc>
          <w:tcPr>
            <w:tcW w:w="843" w:type="dxa"/>
            <w:shd w:val="clear" w:color="auto" w:fill="auto"/>
            <w:vAlign w:val="center"/>
            <w:hideMark/>
          </w:tcPr>
          <w:p w:rsidR="00317CA2" w:rsidRPr="00431EC7" w:rsidRDefault="00431EC7" w:rsidP="00317CA2">
            <w:pPr>
              <w:spacing w:after="0" w:line="240" w:lineRule="auto"/>
              <w:jc w:val="right"/>
              <w:rPr>
                <w:rFonts w:asciiTheme="minorHAnsi" w:hAnsiTheme="minorHAnsi" w:cstheme="majorBidi"/>
                <w:b/>
                <w:color w:val="000000"/>
              </w:rPr>
            </w:pPr>
            <w:r w:rsidRPr="00431EC7">
              <w:rPr>
                <w:rFonts w:asciiTheme="minorHAnsi" w:hAnsiTheme="minorHAnsi" w:cstheme="majorBidi"/>
                <w:b/>
                <w:color w:val="000000"/>
              </w:rPr>
              <w:t>17,187</w:t>
            </w:r>
          </w:p>
        </w:tc>
      </w:tr>
    </w:tbl>
    <w:p w:rsidR="00317CA2" w:rsidRPr="00143486" w:rsidRDefault="00317CA2" w:rsidP="00317CA2">
      <w:pPr>
        <w:rPr>
          <w:rStyle w:val="SubtleEmphasis"/>
          <w:rFonts w:ascii="Times New Roman" w:hAnsi="Times New Roman"/>
          <w:lang w:val="en-GB"/>
        </w:rPr>
      </w:pPr>
      <w:r w:rsidRPr="00143486">
        <w:rPr>
          <w:sz w:val="20"/>
          <w:szCs w:val="20"/>
        </w:rPr>
        <w:t xml:space="preserve">Source: AIHW AODTS NMDS, AOD treatment services in </w:t>
      </w:r>
      <w:r w:rsidR="005E57E8">
        <w:rPr>
          <w:sz w:val="20"/>
          <w:szCs w:val="20"/>
        </w:rPr>
        <w:t xml:space="preserve">Australia </w:t>
      </w:r>
      <w:r w:rsidRPr="00143486">
        <w:rPr>
          <w:sz w:val="20"/>
          <w:szCs w:val="20"/>
        </w:rPr>
        <w:t>2009-10, Supplementary Table 12 and 15, 2011</w:t>
      </w:r>
    </w:p>
    <w:p w:rsidR="00DF4F77" w:rsidRPr="001B5025" w:rsidRDefault="00DF4F77" w:rsidP="00DF4F77">
      <w:pPr>
        <w:pStyle w:val="FAREnormaltext"/>
      </w:pPr>
      <w:r w:rsidRPr="001B5025">
        <w:t xml:space="preserve">The system profile varies significantly across states – thus counselling accounts for over half of all treatment episodes in Victoria and Tasmania and around two-thirds in WA, but less than one quarter in the Northern Territory. Similarly a treatment episode is more than eight times more likely to be rehabilitation in the NT than in Queensland. These profile differences and resulting system variations suggest considerable variations in system function and target populations. </w:t>
      </w:r>
    </w:p>
    <w:p w:rsidR="00DF4F77" w:rsidRPr="007925F3" w:rsidRDefault="00DF4F77" w:rsidP="007925F3">
      <w:pPr>
        <w:pStyle w:val="heading3pp"/>
      </w:pPr>
      <w:bookmarkStart w:id="76" w:name="_Toc386108189"/>
      <w:bookmarkStart w:id="77" w:name="_Toc387426329"/>
      <w:r w:rsidRPr="007925F3">
        <w:t>Client characteristics</w:t>
      </w:r>
      <w:bookmarkEnd w:id="76"/>
      <w:bookmarkEnd w:id="77"/>
    </w:p>
    <w:p w:rsidR="00DF4F77" w:rsidRPr="006B1350" w:rsidRDefault="00DF4F77" w:rsidP="00DF4F77">
      <w:pPr>
        <w:pStyle w:val="FAREnormaltext"/>
      </w:pPr>
      <w:r w:rsidRPr="006B1350">
        <w:t xml:space="preserve">Information regarding client characteristics was </w:t>
      </w:r>
      <w:r w:rsidR="006D68E6">
        <w:t xml:space="preserve">also </w:t>
      </w:r>
      <w:r w:rsidRPr="006B1350">
        <w:t xml:space="preserve">sourced from the Alcohol and Other Drug Treatment Services National Minimum Data Set (AODTS NMDS) for 2009-10. Approximately two thirds of treatment episodes were for male clients (ranging from 65% in VIC to 71% in TAS). In all jurisdictions except TAS the age categories with the largest proportion were 20-29 years and 30-39 years, with each </w:t>
      </w:r>
      <w:r w:rsidR="006D68E6">
        <w:t xml:space="preserve">of these </w:t>
      </w:r>
      <w:r w:rsidRPr="006B1350">
        <w:t xml:space="preserve">accounting for approximately 25-30% of all treatment episodes. The next largest age category was generally 40-49 years. In TAS there </w:t>
      </w:r>
      <w:proofErr w:type="gramStart"/>
      <w:r w:rsidRPr="006B1350">
        <w:t>was</w:t>
      </w:r>
      <w:proofErr w:type="gramEnd"/>
      <w:r w:rsidRPr="006B1350">
        <w:t xml:space="preserve"> an unusually high proportion of people in the 10-19 year age group (24%). Ninety six percent of treatment episodes across the country were for ‘own drug use’ (compared to ‘others’ drug use’). This ranged from 89% in NT to 99% in QLD.</w:t>
      </w:r>
    </w:p>
    <w:p w:rsidR="00DF4F77" w:rsidRPr="006B1350" w:rsidRDefault="00DF4F77" w:rsidP="00DF4F77">
      <w:pPr>
        <w:pStyle w:val="FAREnormaltext"/>
      </w:pPr>
      <w:r w:rsidRPr="006B1350">
        <w:t xml:space="preserve">Australia was the most common country of birth among clients in every jurisdiction (ranging from 83% in WA to 97% in TAS).There was considerable variability in the proportion of Indigenous clients between states and territories; 64% of treatment episodes in the NT were for Indigenous clients, 22% in WA, 10-15% in NSW, QLD and SA, while in VIC, ACT and TAS &lt;10% of treatment episodes were for Indigenous clients. English was the preferred language in &gt;95% of cases across the country, </w:t>
      </w:r>
      <w:r w:rsidRPr="006B1350">
        <w:lastRenderedPageBreak/>
        <w:t>except in NT, where 54% preferred English and 29% preferred Australian Indigenous languages (preference not stated in 17% of NT cases).</w:t>
      </w:r>
    </w:p>
    <w:p w:rsidR="00DF4F77" w:rsidRPr="006B1350" w:rsidRDefault="00DF4F77" w:rsidP="00DF4F77">
      <w:pPr>
        <w:pStyle w:val="FAREnormaltext"/>
      </w:pPr>
      <w:r w:rsidRPr="006B1350">
        <w:t>The most common source of referral to treatment was ‘self’ (35% Australia, ranging from 26% in QLD to 45% in TAS). Referral from other alcohol and drug treatment services accounts for 10% of referrals nationally, but this varies greatly between jurisdictions (2% in TAS to 17% in WA). Court diversion accounts for 12% of referrals nationally, but this ranges from as low as 2% in SA to 16% in QLD. Police diversion accounts for a higher proportion of referrals in each of these two states (30% and 23% respectively) compared to the national average (6%).</w:t>
      </w:r>
    </w:p>
    <w:p w:rsidR="00DF4F77" w:rsidRPr="006B1350" w:rsidRDefault="00DF4F77" w:rsidP="00DF4F77">
      <w:pPr>
        <w:pStyle w:val="FAREnormaltext"/>
      </w:pPr>
      <w:r w:rsidRPr="006B1350">
        <w:t xml:space="preserve">Alcohol was the most common primary drug of concern among those in treatment across all jurisdictions except TAS (ranging from 38% in QLD to 69% in NT). Cannabis was generally the second most common primary drug of concern (ranging from 9% in NT to 44% in TAS), followed by opioids (8% in QLD to 20% in ACT), although the relative contribution of heroin, methadone and morphine to the opioids total differed by jurisdiction. </w:t>
      </w:r>
      <w:r w:rsidR="008F6C40">
        <w:t>A</w:t>
      </w:r>
      <w:r w:rsidR="00B473EE">
        <w:t>mphetamines</w:t>
      </w:r>
      <w:r w:rsidRPr="006B1350">
        <w:t xml:space="preserve"> as primary drug of concern ranged from 3% (NT) to</w:t>
      </w:r>
      <w:r w:rsidR="00AF1AB9">
        <w:t xml:space="preserve"> </w:t>
      </w:r>
      <w:r w:rsidRPr="006B1350">
        <w:t>14% (WA). Benzodiazepines, cocaine, ecstasy and other drug types each accounted for &lt;5% of cases in every jurisdiction (except ‘all other drugs’ in the NT</w:t>
      </w:r>
      <w:r w:rsidR="00AF1AB9">
        <w:t>,</w:t>
      </w:r>
      <w:r w:rsidRPr="006B1350">
        <w:t xml:space="preserve"> which was 8%).</w:t>
      </w:r>
    </w:p>
    <w:p w:rsidR="00DF4F77" w:rsidRPr="007925F3" w:rsidRDefault="00DF4F77" w:rsidP="007925F3">
      <w:pPr>
        <w:pStyle w:val="heading3pp"/>
      </w:pPr>
      <w:bookmarkStart w:id="78" w:name="_Toc386108190"/>
      <w:bookmarkStart w:id="79" w:name="_Toc387426330"/>
      <w:r w:rsidRPr="007925F3">
        <w:t>Service setting</w:t>
      </w:r>
      <w:bookmarkEnd w:id="78"/>
      <w:bookmarkEnd w:id="79"/>
    </w:p>
    <w:p w:rsidR="00D51944" w:rsidRPr="007A4CA5" w:rsidRDefault="00D51944" w:rsidP="00D51944">
      <w:pPr>
        <w:pStyle w:val="FAREnormaltext"/>
      </w:pPr>
      <w:r w:rsidRPr="007A4CA5">
        <w:t>A range of services are offered in all jurisdictions including information/education, case management, counselling, withdrawal management, rehabilitation, pharmacotherapy, needle and syringe programs and sobering up facilities. All jurisdictions report a mix of Government Organisation (GO) and Non-Government Organisation (NGO) service providers (Table 2.</w:t>
      </w:r>
      <w:r w:rsidR="00173B16" w:rsidRPr="007A4CA5">
        <w:t>2</w:t>
      </w:r>
      <w:r w:rsidRPr="007A4CA5">
        <w:t>). Community Service Organisations are included here as NGO. In most jurisdictions GOs are the predominant providers of acute services such as withdrawal and specialist pharmacotherapy, with NGOs providing other services. In all jurisdictions beside NSW and SA there are more NGO tha</w:t>
      </w:r>
      <w:r w:rsidR="00AF1AB9" w:rsidRPr="007A4CA5">
        <w:t>n</w:t>
      </w:r>
      <w:r w:rsidRPr="007A4CA5">
        <w:t xml:space="preserve"> GO services</w:t>
      </w:r>
      <w:r w:rsidR="00997ADB" w:rsidRPr="007A4CA5">
        <w:t>, although the ratios vary.</w:t>
      </w:r>
      <w:r w:rsidRPr="007A4CA5">
        <w:t xml:space="preserve"> Models of service delivery </w:t>
      </w:r>
      <w:r w:rsidR="00997ADB" w:rsidRPr="007A4CA5">
        <w:t xml:space="preserve">reported by key informants </w:t>
      </w:r>
      <w:r w:rsidRPr="007A4CA5">
        <w:t>differ according to state and territory, as do intra- and inter-sectoral linkages. All jurisdictions have some service provision to non-metropolitan areas, although the extent to which this is provided in situ versus by outreach differs.</w:t>
      </w:r>
    </w:p>
    <w:p w:rsidR="00173B16" w:rsidRPr="006B1350" w:rsidRDefault="00173B16" w:rsidP="00173B16">
      <w:pPr>
        <w:keepNext/>
        <w:keepLines/>
        <w:spacing w:before="120" w:after="120" w:line="240" w:lineRule="auto"/>
        <w:outlineLvl w:val="1"/>
        <w:rPr>
          <w:rFonts w:ascii="Cambria" w:eastAsia="SimSun" w:hAnsi="Cambria"/>
          <w:bCs/>
          <w:i/>
          <w:sz w:val="24"/>
          <w:szCs w:val="24"/>
        </w:rPr>
      </w:pPr>
      <w:bookmarkStart w:id="80" w:name="_Toc386108191"/>
      <w:bookmarkStart w:id="81" w:name="_Toc387426331"/>
      <w:bookmarkStart w:id="82" w:name="_Toc386108204"/>
      <w:bookmarkStart w:id="83" w:name="_Toc387426352"/>
      <w:r w:rsidRPr="006B1350">
        <w:rPr>
          <w:rFonts w:ascii="Cambria" w:eastAsia="SimSun" w:hAnsi="Cambria"/>
          <w:bCs/>
          <w:i/>
          <w:sz w:val="24"/>
          <w:szCs w:val="24"/>
        </w:rPr>
        <w:t>Monitoring and accountability</w:t>
      </w:r>
      <w:bookmarkEnd w:id="80"/>
      <w:bookmarkEnd w:id="81"/>
    </w:p>
    <w:p w:rsidR="00173B16" w:rsidRPr="006B1350" w:rsidRDefault="00173B16" w:rsidP="00173B16">
      <w:pPr>
        <w:pStyle w:val="FAREnormaltext"/>
      </w:pPr>
      <w:r w:rsidRPr="006B1350">
        <w:t>There are monitoring and accountability systems in place in every jurisdiction, although the specifics of these differ (Table 2.</w:t>
      </w:r>
      <w:r>
        <w:t>3</w:t>
      </w:r>
      <w:r w:rsidRPr="006B1350">
        <w:t xml:space="preserve">). </w:t>
      </w:r>
      <w:r>
        <w:t>In the ACT, NSW, QLD and VIC there are committees/groups appointed to oversight strategic issues which may include policy development, system planning, implementation, service delivery and evaluation. In WA and the NT, these functions are undertaken by the Drug and Alcohol Office and the Office of the Chief Executive respectively. At the time of consultation (2012), services were being retendered in SA while in TAS preparations were underway to evaluate the 5 year plan. Reporting at the service level occurs in every jurisdiction, although i</w:t>
      </w:r>
      <w:r w:rsidRPr="006B1350">
        <w:t>n some jurisdictions</w:t>
      </w:r>
      <w:r>
        <w:t xml:space="preserve"> </w:t>
      </w:r>
      <w:r w:rsidRPr="006B1350">
        <w:t>key informants indicated that performance reporting systems may not be comprehensive, although there was widespread support for continuous improvement in this area.</w:t>
      </w:r>
      <w:r>
        <w:t xml:space="preserve"> Since the consultations occurred, Turning Point has been commissioned to map existing quality standards in greater detail and develop a Quality Framework for Australian Government funded AOD services.</w:t>
      </w:r>
    </w:p>
    <w:p w:rsidR="00173B16" w:rsidRDefault="00173B16">
      <w:pPr>
        <w:spacing w:after="120" w:line="240" w:lineRule="auto"/>
        <w:ind w:left="1191" w:hanging="1134"/>
        <w:jc w:val="both"/>
        <w:rPr>
          <w:b/>
          <w:lang w:val="en-GB" w:eastAsia="en-AU"/>
        </w:rPr>
      </w:pPr>
    </w:p>
    <w:p w:rsidR="00173B16" w:rsidRDefault="00173B16">
      <w:pPr>
        <w:spacing w:after="120" w:line="240" w:lineRule="auto"/>
        <w:ind w:left="1191" w:hanging="1134"/>
        <w:jc w:val="both"/>
        <w:rPr>
          <w:b/>
          <w:lang w:val="en-GB" w:eastAsia="en-AU"/>
        </w:rPr>
      </w:pPr>
    </w:p>
    <w:p w:rsidR="00DF4F77" w:rsidRPr="00B87500" w:rsidRDefault="00DF4F77" w:rsidP="00A126E3">
      <w:pPr>
        <w:pStyle w:val="FAREtableheading"/>
      </w:pPr>
      <w:bookmarkStart w:id="84" w:name="_Toc398105061"/>
      <w:proofErr w:type="gramStart"/>
      <w:r w:rsidRPr="00B87500">
        <w:lastRenderedPageBreak/>
        <w:t xml:space="preserve">Table </w:t>
      </w:r>
      <w:r w:rsidR="00BE3D19" w:rsidRPr="00B87500">
        <w:fldChar w:fldCharType="begin"/>
      </w:r>
      <w:r w:rsidRPr="00B87500">
        <w:instrText xml:space="preserve"> STYLEREF 1 \s </w:instrText>
      </w:r>
      <w:r w:rsidR="00BE3D19" w:rsidRPr="00B87500">
        <w:fldChar w:fldCharType="separate"/>
      </w:r>
      <w:r w:rsidR="00E150CA">
        <w:rPr>
          <w:noProof/>
        </w:rPr>
        <w:t>2</w:t>
      </w:r>
      <w:r w:rsidR="00BE3D19" w:rsidRPr="00B87500">
        <w:fldChar w:fldCharType="end"/>
      </w:r>
      <w:r w:rsidRPr="00B87500">
        <w:t>.</w:t>
      </w:r>
      <w:proofErr w:type="gramEnd"/>
      <w:r w:rsidR="00BE3D19" w:rsidRPr="00B87500">
        <w:fldChar w:fldCharType="begin"/>
      </w:r>
      <w:r w:rsidRPr="00B87500">
        <w:instrText xml:space="preserve"> SEQ Table \* ARABIC \s 1 </w:instrText>
      </w:r>
      <w:r w:rsidR="00BE3D19" w:rsidRPr="00B87500">
        <w:fldChar w:fldCharType="separate"/>
      </w:r>
      <w:r w:rsidR="00E150CA">
        <w:rPr>
          <w:noProof/>
        </w:rPr>
        <w:t>2</w:t>
      </w:r>
      <w:r w:rsidR="00BE3D19" w:rsidRPr="00B87500">
        <w:fldChar w:fldCharType="end"/>
      </w:r>
      <w:r w:rsidR="006244F5">
        <w:t xml:space="preserve">  </w:t>
      </w:r>
      <w:r w:rsidRPr="00B87500">
        <w:t>AOD treatment service setting by jurisdiction</w:t>
      </w:r>
      <w:bookmarkEnd w:id="82"/>
      <w:bookmarkEnd w:id="83"/>
      <w:bookmarkEnd w:id="84"/>
    </w:p>
    <w:tbl>
      <w:tblPr>
        <w:tblW w:w="0" w:type="auto"/>
        <w:tblBorders>
          <w:top w:val="single" w:sz="4" w:space="0" w:color="auto"/>
          <w:bottom w:val="single" w:sz="4" w:space="0" w:color="auto"/>
        </w:tblBorders>
        <w:tblLayout w:type="fixed"/>
        <w:tblLook w:val="04A0" w:firstRow="1" w:lastRow="0" w:firstColumn="1" w:lastColumn="0" w:noHBand="0" w:noVBand="1"/>
      </w:tblPr>
      <w:tblGrid>
        <w:gridCol w:w="1384"/>
        <w:gridCol w:w="709"/>
        <w:gridCol w:w="850"/>
        <w:gridCol w:w="3686"/>
        <w:gridCol w:w="2613"/>
      </w:tblGrid>
      <w:tr w:rsidR="00DF4F77" w:rsidRPr="00415291" w:rsidTr="00DF4F77">
        <w:trPr>
          <w:trHeight w:val="300"/>
        </w:trPr>
        <w:tc>
          <w:tcPr>
            <w:tcW w:w="1384" w:type="dxa"/>
            <w:tcBorders>
              <w:top w:val="single" w:sz="4" w:space="0" w:color="auto"/>
              <w:bottom w:val="nil"/>
            </w:tcBorders>
            <w:shd w:val="clear" w:color="000000" w:fill="FFFFFF"/>
          </w:tcPr>
          <w:p w:rsidR="00DF4F77" w:rsidRPr="00B87500" w:rsidRDefault="00DF4F77" w:rsidP="00DF4F77">
            <w:pPr>
              <w:keepNext/>
              <w:spacing w:before="40" w:after="40" w:line="240" w:lineRule="auto"/>
              <w:rPr>
                <w:rFonts w:asciiTheme="minorHAnsi" w:eastAsia="Times New Roman" w:hAnsiTheme="minorHAnsi" w:cstheme="majorBidi"/>
                <w:b/>
                <w:bCs/>
                <w:color w:val="000000"/>
                <w:sz w:val="20"/>
                <w:szCs w:val="20"/>
              </w:rPr>
            </w:pPr>
            <w:r w:rsidRPr="00B87500">
              <w:rPr>
                <w:rFonts w:asciiTheme="minorHAnsi" w:eastAsia="Times New Roman" w:hAnsiTheme="minorHAnsi" w:cstheme="majorBidi"/>
                <w:b/>
                <w:bCs/>
                <w:color w:val="000000"/>
                <w:sz w:val="20"/>
                <w:szCs w:val="20"/>
              </w:rPr>
              <w:t>Jurisdiction</w:t>
            </w:r>
          </w:p>
        </w:tc>
        <w:tc>
          <w:tcPr>
            <w:tcW w:w="1559" w:type="dxa"/>
            <w:gridSpan w:val="2"/>
            <w:tcBorders>
              <w:top w:val="single" w:sz="4" w:space="0" w:color="auto"/>
              <w:bottom w:val="nil"/>
            </w:tcBorders>
            <w:shd w:val="clear" w:color="000000" w:fill="FFFFFF"/>
          </w:tcPr>
          <w:p w:rsidR="00DF4F77" w:rsidRPr="00B87500" w:rsidRDefault="00DF4F77" w:rsidP="00DF4F77">
            <w:pPr>
              <w:keepNext/>
              <w:spacing w:before="40" w:after="40" w:line="240" w:lineRule="auto"/>
              <w:jc w:val="center"/>
              <w:rPr>
                <w:rFonts w:asciiTheme="minorHAnsi" w:eastAsia="Times New Roman" w:hAnsiTheme="minorHAnsi" w:cstheme="majorBidi"/>
                <w:b/>
                <w:bCs/>
                <w:color w:val="000000"/>
                <w:sz w:val="20"/>
                <w:szCs w:val="20"/>
              </w:rPr>
            </w:pPr>
            <w:r w:rsidRPr="00B87500">
              <w:rPr>
                <w:rFonts w:asciiTheme="minorHAnsi" w:eastAsia="Times New Roman" w:hAnsiTheme="minorHAnsi" w:cstheme="majorBidi"/>
                <w:b/>
                <w:bCs/>
                <w:color w:val="000000"/>
                <w:sz w:val="20"/>
                <w:szCs w:val="20"/>
              </w:rPr>
              <w:t>Organisation type</w:t>
            </w:r>
            <w:r w:rsidRPr="00B87500">
              <w:rPr>
                <w:rFonts w:asciiTheme="minorHAnsi" w:eastAsia="Times New Roman" w:hAnsiTheme="minorHAnsi" w:cstheme="majorBidi"/>
                <w:b/>
                <w:bCs/>
                <w:color w:val="000000"/>
                <w:sz w:val="20"/>
                <w:szCs w:val="20"/>
                <w:vertAlign w:val="superscript"/>
              </w:rPr>
              <w:t>1</w:t>
            </w:r>
          </w:p>
        </w:tc>
        <w:tc>
          <w:tcPr>
            <w:tcW w:w="3686" w:type="dxa"/>
            <w:tcBorders>
              <w:top w:val="single" w:sz="4" w:space="0" w:color="auto"/>
              <w:bottom w:val="nil"/>
            </w:tcBorders>
            <w:shd w:val="clear" w:color="auto" w:fill="auto"/>
            <w:noWrap/>
          </w:tcPr>
          <w:p w:rsidR="00DF4F77" w:rsidRPr="00B87500" w:rsidRDefault="00DF4F77" w:rsidP="00DF4F77">
            <w:pPr>
              <w:keepNext/>
              <w:spacing w:before="40" w:after="40" w:line="240" w:lineRule="auto"/>
              <w:rPr>
                <w:rFonts w:asciiTheme="minorHAnsi" w:eastAsia="Times New Roman" w:hAnsiTheme="minorHAnsi" w:cstheme="majorBidi"/>
                <w:b/>
                <w:bCs/>
                <w:color w:val="000000"/>
                <w:sz w:val="20"/>
                <w:szCs w:val="20"/>
              </w:rPr>
            </w:pPr>
            <w:r w:rsidRPr="00B87500">
              <w:rPr>
                <w:rFonts w:asciiTheme="minorHAnsi" w:eastAsia="Times New Roman" w:hAnsiTheme="minorHAnsi" w:cstheme="majorBidi"/>
                <w:b/>
                <w:bCs/>
                <w:color w:val="000000"/>
                <w:sz w:val="20"/>
                <w:szCs w:val="20"/>
              </w:rPr>
              <w:t>Service delivery and system linkages</w:t>
            </w:r>
          </w:p>
        </w:tc>
        <w:tc>
          <w:tcPr>
            <w:tcW w:w="2613" w:type="dxa"/>
            <w:tcBorders>
              <w:top w:val="single" w:sz="4" w:space="0" w:color="auto"/>
              <w:bottom w:val="nil"/>
            </w:tcBorders>
          </w:tcPr>
          <w:p w:rsidR="00DF4F77" w:rsidRPr="00B87500" w:rsidRDefault="00DF4F77" w:rsidP="00DF4F77">
            <w:pPr>
              <w:keepNext/>
              <w:spacing w:before="40" w:after="40" w:line="240" w:lineRule="auto"/>
              <w:rPr>
                <w:rFonts w:asciiTheme="minorHAnsi" w:eastAsia="Times New Roman" w:hAnsiTheme="minorHAnsi" w:cstheme="majorBidi"/>
                <w:b/>
                <w:bCs/>
                <w:color w:val="000000"/>
                <w:sz w:val="20"/>
                <w:szCs w:val="20"/>
              </w:rPr>
            </w:pPr>
            <w:r w:rsidRPr="00B87500">
              <w:rPr>
                <w:rFonts w:asciiTheme="minorHAnsi" w:eastAsia="Times New Roman" w:hAnsiTheme="minorHAnsi" w:cstheme="majorBidi"/>
                <w:b/>
                <w:bCs/>
                <w:color w:val="000000"/>
                <w:sz w:val="20"/>
                <w:szCs w:val="20"/>
              </w:rPr>
              <w:t>Geographical accessibility</w:t>
            </w:r>
          </w:p>
        </w:tc>
      </w:tr>
      <w:tr w:rsidR="00DF4F77" w:rsidRPr="00415291" w:rsidTr="00DF4F77">
        <w:trPr>
          <w:trHeight w:val="300"/>
        </w:trPr>
        <w:tc>
          <w:tcPr>
            <w:tcW w:w="1384" w:type="dxa"/>
            <w:tcBorders>
              <w:top w:val="nil"/>
              <w:bottom w:val="single" w:sz="4" w:space="0" w:color="auto"/>
            </w:tcBorders>
            <w:shd w:val="clear" w:color="000000" w:fill="FFFFFF"/>
            <w:vAlign w:val="center"/>
          </w:tcPr>
          <w:p w:rsidR="00DF4F77" w:rsidRPr="00B87500" w:rsidRDefault="00DF4F77" w:rsidP="00DF4F77">
            <w:pPr>
              <w:keepNext/>
              <w:spacing w:before="40" w:after="40" w:line="240" w:lineRule="auto"/>
              <w:rPr>
                <w:rFonts w:asciiTheme="minorHAnsi" w:eastAsia="Times New Roman" w:hAnsiTheme="minorHAnsi" w:cstheme="majorBidi"/>
                <w:b/>
                <w:bCs/>
                <w:color w:val="000000"/>
                <w:sz w:val="20"/>
                <w:szCs w:val="20"/>
              </w:rPr>
            </w:pPr>
          </w:p>
        </w:tc>
        <w:tc>
          <w:tcPr>
            <w:tcW w:w="709" w:type="dxa"/>
            <w:tcBorders>
              <w:top w:val="nil"/>
              <w:bottom w:val="single" w:sz="4" w:space="0" w:color="auto"/>
            </w:tcBorders>
            <w:shd w:val="clear" w:color="000000" w:fill="FFFFFF"/>
            <w:vAlign w:val="center"/>
          </w:tcPr>
          <w:p w:rsidR="00DF4F77" w:rsidRPr="00B87500" w:rsidRDefault="00DF4F77" w:rsidP="00DF4F77">
            <w:pPr>
              <w:keepNext/>
              <w:spacing w:before="40" w:after="40" w:line="240" w:lineRule="auto"/>
              <w:jc w:val="center"/>
              <w:rPr>
                <w:rFonts w:asciiTheme="minorHAnsi" w:eastAsia="Times New Roman" w:hAnsiTheme="minorHAnsi" w:cstheme="majorBidi"/>
                <w:b/>
                <w:bCs/>
                <w:color w:val="000000"/>
                <w:sz w:val="20"/>
                <w:szCs w:val="20"/>
              </w:rPr>
            </w:pPr>
            <w:r w:rsidRPr="00B87500">
              <w:rPr>
                <w:rFonts w:asciiTheme="minorHAnsi" w:eastAsia="Times New Roman" w:hAnsiTheme="minorHAnsi" w:cstheme="majorBidi"/>
                <w:b/>
                <w:bCs/>
                <w:color w:val="000000"/>
                <w:sz w:val="20"/>
                <w:szCs w:val="20"/>
              </w:rPr>
              <w:t>GO</w:t>
            </w:r>
          </w:p>
        </w:tc>
        <w:tc>
          <w:tcPr>
            <w:tcW w:w="850" w:type="dxa"/>
            <w:tcBorders>
              <w:top w:val="nil"/>
              <w:bottom w:val="single" w:sz="4" w:space="0" w:color="auto"/>
            </w:tcBorders>
          </w:tcPr>
          <w:p w:rsidR="00DF4F77" w:rsidRPr="00B87500" w:rsidRDefault="00DF4F77" w:rsidP="00DF4F77">
            <w:pPr>
              <w:keepNext/>
              <w:spacing w:before="40" w:after="40" w:line="240" w:lineRule="auto"/>
              <w:jc w:val="center"/>
              <w:rPr>
                <w:rFonts w:asciiTheme="minorHAnsi" w:eastAsia="Times New Roman" w:hAnsiTheme="minorHAnsi" w:cstheme="majorBidi"/>
                <w:b/>
                <w:bCs/>
                <w:color w:val="000000"/>
                <w:sz w:val="20"/>
                <w:szCs w:val="20"/>
              </w:rPr>
            </w:pPr>
            <w:r w:rsidRPr="00B87500">
              <w:rPr>
                <w:rFonts w:asciiTheme="minorHAnsi" w:eastAsia="Times New Roman" w:hAnsiTheme="minorHAnsi" w:cstheme="majorBidi"/>
                <w:b/>
                <w:bCs/>
                <w:color w:val="000000"/>
                <w:sz w:val="20"/>
                <w:szCs w:val="20"/>
              </w:rPr>
              <w:t>NGO</w:t>
            </w:r>
          </w:p>
        </w:tc>
        <w:tc>
          <w:tcPr>
            <w:tcW w:w="3686" w:type="dxa"/>
            <w:tcBorders>
              <w:top w:val="nil"/>
              <w:bottom w:val="single" w:sz="4" w:space="0" w:color="auto"/>
            </w:tcBorders>
            <w:shd w:val="clear" w:color="auto" w:fill="auto"/>
            <w:noWrap/>
            <w:vAlign w:val="center"/>
          </w:tcPr>
          <w:p w:rsidR="00DF4F77" w:rsidRPr="00B87500" w:rsidRDefault="00DF4F77" w:rsidP="00DF4F77">
            <w:pPr>
              <w:keepNext/>
              <w:spacing w:before="40" w:after="40" w:line="240" w:lineRule="auto"/>
              <w:rPr>
                <w:rFonts w:asciiTheme="minorHAnsi" w:eastAsia="Times New Roman" w:hAnsiTheme="minorHAnsi" w:cstheme="majorBidi"/>
                <w:b/>
                <w:bCs/>
                <w:color w:val="000000"/>
                <w:sz w:val="20"/>
                <w:szCs w:val="20"/>
              </w:rPr>
            </w:pPr>
          </w:p>
        </w:tc>
        <w:tc>
          <w:tcPr>
            <w:tcW w:w="2613" w:type="dxa"/>
            <w:tcBorders>
              <w:top w:val="nil"/>
              <w:bottom w:val="single" w:sz="4" w:space="0" w:color="auto"/>
            </w:tcBorders>
          </w:tcPr>
          <w:p w:rsidR="00DF4F77" w:rsidRPr="00B87500" w:rsidRDefault="00DF4F77" w:rsidP="00DF4F77">
            <w:pPr>
              <w:keepNext/>
              <w:spacing w:before="40" w:after="40" w:line="240" w:lineRule="auto"/>
              <w:rPr>
                <w:rFonts w:asciiTheme="minorHAnsi" w:eastAsia="Times New Roman" w:hAnsiTheme="minorHAnsi" w:cstheme="majorBidi"/>
                <w:b/>
                <w:bCs/>
                <w:color w:val="000000"/>
                <w:sz w:val="20"/>
                <w:szCs w:val="20"/>
              </w:rPr>
            </w:pPr>
          </w:p>
        </w:tc>
      </w:tr>
      <w:tr w:rsidR="00DF4F77" w:rsidRPr="00415291" w:rsidTr="00DF4F77">
        <w:trPr>
          <w:trHeight w:val="315"/>
        </w:trPr>
        <w:tc>
          <w:tcPr>
            <w:tcW w:w="1384" w:type="dxa"/>
            <w:shd w:val="clear" w:color="000000" w:fill="FFFFFF"/>
            <w:hideMark/>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ACT</w:t>
            </w:r>
          </w:p>
        </w:tc>
        <w:tc>
          <w:tcPr>
            <w:tcW w:w="709" w:type="dxa"/>
            <w:shd w:val="clear" w:color="000000" w:fill="FFFFFF"/>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1</w:t>
            </w:r>
          </w:p>
        </w:tc>
        <w:tc>
          <w:tcPr>
            <w:tcW w:w="850" w:type="dxa"/>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9</w:t>
            </w:r>
          </w:p>
        </w:tc>
        <w:tc>
          <w:tcPr>
            <w:tcW w:w="3686" w:type="dxa"/>
            <w:shd w:val="clear" w:color="auto" w:fill="auto"/>
            <w:noWrap/>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KIs reported intra-system cohesiveness and active peak body</w:t>
            </w:r>
          </w:p>
        </w:tc>
        <w:tc>
          <w:tcPr>
            <w:tcW w:w="2613" w:type="dxa"/>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Rural in-reach from NSW</w:t>
            </w:r>
          </w:p>
        </w:tc>
      </w:tr>
      <w:tr w:rsidR="00DF4F77" w:rsidRPr="00415291" w:rsidTr="00DF4F77">
        <w:trPr>
          <w:trHeight w:val="300"/>
        </w:trPr>
        <w:tc>
          <w:tcPr>
            <w:tcW w:w="1384" w:type="dxa"/>
            <w:shd w:val="clear" w:color="000000" w:fill="FFFFFF"/>
            <w:hideMark/>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NSW</w:t>
            </w:r>
          </w:p>
        </w:tc>
        <w:tc>
          <w:tcPr>
            <w:tcW w:w="709" w:type="dxa"/>
            <w:shd w:val="clear" w:color="000000" w:fill="FFFFFF"/>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195</w:t>
            </w:r>
          </w:p>
        </w:tc>
        <w:tc>
          <w:tcPr>
            <w:tcW w:w="850" w:type="dxa"/>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63</w:t>
            </w:r>
          </w:p>
        </w:tc>
        <w:tc>
          <w:tcPr>
            <w:tcW w:w="3686" w:type="dxa"/>
            <w:shd w:val="clear" w:color="auto" w:fill="auto"/>
            <w:noWrap/>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Integrated public health model. Decentralised: funding allocated to Local Health Districts and then distributed</w:t>
            </w:r>
          </w:p>
        </w:tc>
        <w:tc>
          <w:tcPr>
            <w:tcW w:w="2613" w:type="dxa"/>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Services mainly in metro and regional areas</w:t>
            </w:r>
          </w:p>
        </w:tc>
      </w:tr>
      <w:tr w:rsidR="00DF4F77" w:rsidRPr="00415291" w:rsidTr="00DF4F77">
        <w:trPr>
          <w:trHeight w:val="300"/>
        </w:trPr>
        <w:tc>
          <w:tcPr>
            <w:tcW w:w="1384" w:type="dxa"/>
            <w:shd w:val="clear" w:color="000000" w:fill="FFFFFF"/>
            <w:hideMark/>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NT</w:t>
            </w:r>
          </w:p>
        </w:tc>
        <w:tc>
          <w:tcPr>
            <w:tcW w:w="709" w:type="dxa"/>
            <w:shd w:val="clear" w:color="000000" w:fill="FFFFFF"/>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3</w:t>
            </w:r>
          </w:p>
        </w:tc>
        <w:tc>
          <w:tcPr>
            <w:tcW w:w="850" w:type="dxa"/>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17</w:t>
            </w:r>
          </w:p>
        </w:tc>
        <w:tc>
          <w:tcPr>
            <w:tcW w:w="3686" w:type="dxa"/>
            <w:shd w:val="clear" w:color="auto" w:fill="auto"/>
            <w:noWrap/>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Both stand alone and co-located services</w:t>
            </w:r>
          </w:p>
        </w:tc>
        <w:tc>
          <w:tcPr>
            <w:tcW w:w="2613" w:type="dxa"/>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Services mainly in outer regional or remote areas, some very remote</w:t>
            </w:r>
          </w:p>
        </w:tc>
      </w:tr>
      <w:tr w:rsidR="00DF4F77" w:rsidRPr="00415291" w:rsidTr="00DF4F77">
        <w:trPr>
          <w:trHeight w:val="315"/>
        </w:trPr>
        <w:tc>
          <w:tcPr>
            <w:tcW w:w="1384" w:type="dxa"/>
            <w:shd w:val="clear" w:color="000000" w:fill="FFFFFF"/>
            <w:hideMark/>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QLD</w:t>
            </w:r>
          </w:p>
        </w:tc>
        <w:tc>
          <w:tcPr>
            <w:tcW w:w="709" w:type="dxa"/>
            <w:shd w:val="clear" w:color="000000" w:fill="FFFFFF"/>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51</w:t>
            </w:r>
          </w:p>
        </w:tc>
        <w:tc>
          <w:tcPr>
            <w:tcW w:w="850" w:type="dxa"/>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67</w:t>
            </w:r>
          </w:p>
        </w:tc>
        <w:tc>
          <w:tcPr>
            <w:tcW w:w="3686" w:type="dxa"/>
            <w:shd w:val="clear" w:color="auto" w:fill="auto"/>
            <w:noWrap/>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AOD separated across four branches of health department and delivered via Hospital and Health Service regions. Some services funded via Aboriginal controlled health organisations. Strong links to justice system</w:t>
            </w:r>
          </w:p>
        </w:tc>
        <w:tc>
          <w:tcPr>
            <w:tcW w:w="2613" w:type="dxa"/>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Services mainly metro and regional areas, some remote and very remote</w:t>
            </w:r>
          </w:p>
        </w:tc>
      </w:tr>
      <w:tr w:rsidR="00DF4F77" w:rsidRPr="00415291" w:rsidTr="00DF4F77">
        <w:trPr>
          <w:trHeight w:val="300"/>
        </w:trPr>
        <w:tc>
          <w:tcPr>
            <w:tcW w:w="1384" w:type="dxa"/>
            <w:tcBorders>
              <w:bottom w:val="nil"/>
            </w:tcBorders>
            <w:shd w:val="clear" w:color="000000" w:fill="FFFFFF"/>
            <w:hideMark/>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SA</w:t>
            </w:r>
          </w:p>
        </w:tc>
        <w:tc>
          <w:tcPr>
            <w:tcW w:w="709" w:type="dxa"/>
            <w:tcBorders>
              <w:bottom w:val="nil"/>
            </w:tcBorders>
            <w:shd w:val="clear" w:color="000000" w:fill="FFFFFF"/>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42</w:t>
            </w:r>
          </w:p>
        </w:tc>
        <w:tc>
          <w:tcPr>
            <w:tcW w:w="850" w:type="dxa"/>
            <w:tcBorders>
              <w:bottom w:val="nil"/>
            </w:tcBorders>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17</w:t>
            </w:r>
          </w:p>
        </w:tc>
        <w:tc>
          <w:tcPr>
            <w:tcW w:w="3686" w:type="dxa"/>
            <w:tcBorders>
              <w:bottom w:val="nil"/>
            </w:tcBorders>
            <w:shd w:val="clear" w:color="auto" w:fill="auto"/>
            <w:noWrap/>
          </w:tcPr>
          <w:p w:rsidR="00DF4F77" w:rsidRPr="00B87500" w:rsidRDefault="00AF1AB9" w:rsidP="00DF4F77">
            <w:pPr>
              <w:keepNext/>
              <w:spacing w:before="40" w:after="40" w:line="240" w:lineRule="auto"/>
              <w:rPr>
                <w:rFonts w:asciiTheme="minorHAnsi" w:eastAsia="Times New Roman" w:hAnsiTheme="minorHAnsi" w:cstheme="majorBidi"/>
                <w:color w:val="000000"/>
                <w:sz w:val="20"/>
                <w:szCs w:val="20"/>
              </w:rPr>
            </w:pPr>
            <w:r>
              <w:rPr>
                <w:rFonts w:asciiTheme="minorHAnsi" w:eastAsia="Times New Roman" w:hAnsiTheme="minorHAnsi" w:cstheme="majorBidi"/>
                <w:color w:val="000000"/>
                <w:sz w:val="20"/>
                <w:szCs w:val="20"/>
              </w:rPr>
              <w:t>Both stand-</w:t>
            </w:r>
            <w:r w:rsidR="00DF4F77" w:rsidRPr="00B87500">
              <w:rPr>
                <w:rFonts w:asciiTheme="minorHAnsi" w:eastAsia="Times New Roman" w:hAnsiTheme="minorHAnsi" w:cstheme="majorBidi"/>
                <w:color w:val="000000"/>
                <w:sz w:val="20"/>
                <w:szCs w:val="20"/>
              </w:rPr>
              <w:t>alone and co-located services, with reportedly strong focus on inter-agency collaboration between community health, hospitals, mental health and GP clinics</w:t>
            </w:r>
          </w:p>
        </w:tc>
        <w:tc>
          <w:tcPr>
            <w:tcW w:w="2613" w:type="dxa"/>
            <w:tcBorders>
              <w:bottom w:val="nil"/>
            </w:tcBorders>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Sole-worker in-reach to less populated areas</w:t>
            </w:r>
          </w:p>
        </w:tc>
      </w:tr>
      <w:tr w:rsidR="00DF4F77" w:rsidRPr="00415291" w:rsidTr="00DF4F77">
        <w:trPr>
          <w:trHeight w:val="330"/>
        </w:trPr>
        <w:tc>
          <w:tcPr>
            <w:tcW w:w="1384" w:type="dxa"/>
            <w:tcBorders>
              <w:top w:val="nil"/>
              <w:bottom w:val="nil"/>
            </w:tcBorders>
            <w:shd w:val="clear" w:color="000000" w:fill="FFFFFF"/>
            <w:hideMark/>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TAS</w:t>
            </w:r>
          </w:p>
        </w:tc>
        <w:tc>
          <w:tcPr>
            <w:tcW w:w="709" w:type="dxa"/>
            <w:tcBorders>
              <w:top w:val="nil"/>
              <w:bottom w:val="nil"/>
            </w:tcBorders>
            <w:shd w:val="clear" w:color="000000" w:fill="FFFFFF"/>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4</w:t>
            </w:r>
          </w:p>
        </w:tc>
        <w:tc>
          <w:tcPr>
            <w:tcW w:w="850" w:type="dxa"/>
            <w:tcBorders>
              <w:top w:val="nil"/>
              <w:bottom w:val="nil"/>
            </w:tcBorders>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11</w:t>
            </w:r>
          </w:p>
        </w:tc>
        <w:tc>
          <w:tcPr>
            <w:tcW w:w="3686" w:type="dxa"/>
            <w:tcBorders>
              <w:top w:val="nil"/>
              <w:bottom w:val="nil"/>
            </w:tcBorders>
            <w:shd w:val="clear" w:color="auto" w:fill="auto"/>
            <w:noWrap/>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 xml:space="preserve">GO services focus on withdrawal and pharmacotherapy, while NGO primarily deliver psychosocial interventions and prevention </w:t>
            </w:r>
          </w:p>
        </w:tc>
        <w:tc>
          <w:tcPr>
            <w:tcW w:w="2613" w:type="dxa"/>
            <w:tcBorders>
              <w:top w:val="nil"/>
              <w:bottom w:val="nil"/>
            </w:tcBorders>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Services mainly in metro areas, some remote</w:t>
            </w:r>
          </w:p>
        </w:tc>
      </w:tr>
      <w:tr w:rsidR="00DF4F77" w:rsidRPr="00415291" w:rsidTr="00DF4F77">
        <w:trPr>
          <w:trHeight w:val="300"/>
        </w:trPr>
        <w:tc>
          <w:tcPr>
            <w:tcW w:w="1384" w:type="dxa"/>
            <w:tcBorders>
              <w:top w:val="nil"/>
            </w:tcBorders>
            <w:shd w:val="clear" w:color="000000" w:fill="FFFFFF"/>
            <w:hideMark/>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VIC</w:t>
            </w:r>
          </w:p>
        </w:tc>
        <w:tc>
          <w:tcPr>
            <w:tcW w:w="709" w:type="dxa"/>
            <w:tcBorders>
              <w:top w:val="nil"/>
            </w:tcBorders>
            <w:shd w:val="clear" w:color="000000" w:fill="FFFFFF"/>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NA</w:t>
            </w:r>
            <w:r w:rsidRPr="005B2F9A">
              <w:rPr>
                <w:rFonts w:asciiTheme="minorHAnsi" w:eastAsia="Times New Roman" w:hAnsiTheme="minorHAnsi" w:cstheme="majorBidi"/>
                <w:color w:val="000000"/>
                <w:sz w:val="20"/>
                <w:szCs w:val="20"/>
                <w:vertAlign w:val="superscript"/>
              </w:rPr>
              <w:t>2</w:t>
            </w:r>
          </w:p>
        </w:tc>
        <w:tc>
          <w:tcPr>
            <w:tcW w:w="850" w:type="dxa"/>
            <w:tcBorders>
              <w:top w:val="nil"/>
            </w:tcBorders>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138</w:t>
            </w:r>
          </w:p>
        </w:tc>
        <w:tc>
          <w:tcPr>
            <w:tcW w:w="3686" w:type="dxa"/>
            <w:tcBorders>
              <w:top w:val="nil"/>
            </w:tcBorders>
            <w:shd w:val="clear" w:color="auto" w:fill="auto"/>
            <w:noWrap/>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System reform and recommissioning intended to reduce fragmentation and  improve continuity</w:t>
            </w:r>
          </w:p>
        </w:tc>
        <w:tc>
          <w:tcPr>
            <w:tcW w:w="2613" w:type="dxa"/>
            <w:tcBorders>
              <w:top w:val="nil"/>
            </w:tcBorders>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Services mainly in metro and regional areas</w:t>
            </w:r>
          </w:p>
        </w:tc>
      </w:tr>
      <w:tr w:rsidR="00DF4F77" w:rsidRPr="00415291" w:rsidTr="00DF4F77">
        <w:trPr>
          <w:trHeight w:val="300"/>
        </w:trPr>
        <w:tc>
          <w:tcPr>
            <w:tcW w:w="1384" w:type="dxa"/>
            <w:shd w:val="clear" w:color="000000" w:fill="FFFFFF"/>
            <w:hideMark/>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WA</w:t>
            </w:r>
          </w:p>
        </w:tc>
        <w:tc>
          <w:tcPr>
            <w:tcW w:w="709" w:type="dxa"/>
            <w:shd w:val="clear" w:color="000000" w:fill="FFFFFF"/>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10</w:t>
            </w:r>
          </w:p>
        </w:tc>
        <w:tc>
          <w:tcPr>
            <w:tcW w:w="850" w:type="dxa"/>
          </w:tcPr>
          <w:p w:rsidR="00DF4F77" w:rsidRPr="00B87500" w:rsidRDefault="00DF4F77" w:rsidP="00DF4F77">
            <w:pPr>
              <w:keepNext/>
              <w:spacing w:before="40" w:after="40" w:line="240" w:lineRule="auto"/>
              <w:jc w:val="center"/>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39</w:t>
            </w:r>
          </w:p>
        </w:tc>
        <w:tc>
          <w:tcPr>
            <w:tcW w:w="3686" w:type="dxa"/>
            <w:shd w:val="clear" w:color="auto" w:fill="auto"/>
            <w:noWrap/>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Linkage between GO and NGO services reported to be well supported by a variety of means  e.g. co-location, integrated policies and procedures, single client record and shared client management database</w:t>
            </w:r>
          </w:p>
        </w:tc>
        <w:tc>
          <w:tcPr>
            <w:tcW w:w="2613" w:type="dxa"/>
          </w:tcPr>
          <w:p w:rsidR="00DF4F77" w:rsidRPr="00B87500" w:rsidRDefault="00DF4F77" w:rsidP="00DF4F77">
            <w:pPr>
              <w:keepNext/>
              <w:spacing w:before="40" w:after="40" w:line="240" w:lineRule="auto"/>
              <w:rPr>
                <w:rFonts w:asciiTheme="minorHAnsi" w:eastAsia="Times New Roman" w:hAnsiTheme="minorHAnsi" w:cstheme="majorBidi"/>
                <w:color w:val="000000"/>
                <w:sz w:val="20"/>
                <w:szCs w:val="20"/>
              </w:rPr>
            </w:pPr>
            <w:r w:rsidRPr="00B87500">
              <w:rPr>
                <w:rFonts w:asciiTheme="minorHAnsi" w:eastAsia="Times New Roman" w:hAnsiTheme="minorHAnsi" w:cstheme="majorBidi"/>
                <w:color w:val="000000"/>
                <w:sz w:val="20"/>
                <w:szCs w:val="20"/>
              </w:rPr>
              <w:t>Services mainly metro and regional areas, some remote and very remote</w:t>
            </w:r>
          </w:p>
        </w:tc>
      </w:tr>
    </w:tbl>
    <w:p w:rsidR="00DF4F77" w:rsidRPr="008E0FD3" w:rsidRDefault="008E0FD3" w:rsidP="008E0FD3">
      <w:pPr>
        <w:spacing w:after="0" w:line="240" w:lineRule="auto"/>
        <w:rPr>
          <w:sz w:val="18"/>
        </w:rPr>
      </w:pPr>
      <w:r>
        <w:rPr>
          <w:sz w:val="18"/>
        </w:rPr>
        <w:t>1. B</w:t>
      </w:r>
      <w:r w:rsidR="00DF4F77" w:rsidRPr="008E0FD3">
        <w:rPr>
          <w:sz w:val="18"/>
        </w:rPr>
        <w:t>ased on AODTS-NMDS data for 2009-10</w:t>
      </w:r>
    </w:p>
    <w:p w:rsidR="00DF4F77" w:rsidRPr="008E0FD3" w:rsidRDefault="00DF4F77" w:rsidP="008E0FD3">
      <w:pPr>
        <w:spacing w:after="0" w:line="240" w:lineRule="auto"/>
        <w:rPr>
          <w:sz w:val="18"/>
        </w:rPr>
      </w:pPr>
      <w:r w:rsidRPr="008E0FD3">
        <w:rPr>
          <w:sz w:val="18"/>
        </w:rPr>
        <w:t>2</w:t>
      </w:r>
      <w:r w:rsidR="008E0FD3">
        <w:rPr>
          <w:sz w:val="18"/>
        </w:rPr>
        <w:t>.</w:t>
      </w:r>
      <w:r w:rsidRPr="008E0FD3">
        <w:rPr>
          <w:sz w:val="18"/>
        </w:rPr>
        <w:t xml:space="preserve"> In Victoria, all AOD services reported to be NGO, though some receive substantial government funding and may be </w:t>
      </w:r>
      <w:proofErr w:type="spellStart"/>
      <w:r w:rsidRPr="008E0FD3">
        <w:rPr>
          <w:sz w:val="18"/>
        </w:rPr>
        <w:t>auspiced</w:t>
      </w:r>
      <w:proofErr w:type="spellEnd"/>
      <w:r w:rsidRPr="008E0FD3">
        <w:rPr>
          <w:sz w:val="18"/>
        </w:rPr>
        <w:t xml:space="preserve"> and housed by GO</w:t>
      </w:r>
    </w:p>
    <w:p w:rsidR="00DF4F77" w:rsidRPr="00415291" w:rsidRDefault="00DF4F77" w:rsidP="00DF4F77">
      <w:pPr>
        <w:spacing w:after="120" w:line="240" w:lineRule="auto"/>
        <w:ind w:left="1191" w:hanging="1134"/>
        <w:jc w:val="both"/>
        <w:rPr>
          <w:rFonts w:ascii="Times New Roman" w:eastAsia="Times New Roman" w:hAnsi="Times New Roman"/>
          <w:b/>
          <w:bCs/>
          <w:noProof/>
          <w:kern w:val="32"/>
          <w:lang w:val="en-US"/>
        </w:rPr>
      </w:pPr>
      <w:r w:rsidRPr="00415291">
        <w:rPr>
          <w:rFonts w:ascii="Times New Roman" w:hAnsi="Times New Roman"/>
        </w:rPr>
        <w:br w:type="page"/>
      </w:r>
    </w:p>
    <w:p w:rsidR="00DF4F77" w:rsidRPr="00B87500" w:rsidRDefault="00DF4F77" w:rsidP="00A126E3">
      <w:pPr>
        <w:pStyle w:val="FAREtableheading"/>
      </w:pPr>
      <w:bookmarkStart w:id="85" w:name="_Toc386108205"/>
      <w:bookmarkStart w:id="86" w:name="_Toc387426353"/>
      <w:bookmarkStart w:id="87" w:name="_Toc398105062"/>
      <w:proofErr w:type="gramStart"/>
      <w:r w:rsidRPr="00B87500">
        <w:lastRenderedPageBreak/>
        <w:t xml:space="preserve">Table </w:t>
      </w:r>
      <w:r w:rsidR="00BE3D19" w:rsidRPr="00B87500">
        <w:fldChar w:fldCharType="begin"/>
      </w:r>
      <w:r w:rsidRPr="00B87500">
        <w:instrText xml:space="preserve"> STYLEREF 1 \s </w:instrText>
      </w:r>
      <w:r w:rsidR="00BE3D19" w:rsidRPr="00B87500">
        <w:fldChar w:fldCharType="separate"/>
      </w:r>
      <w:r w:rsidR="00E150CA">
        <w:rPr>
          <w:noProof/>
        </w:rPr>
        <w:t>2</w:t>
      </w:r>
      <w:r w:rsidR="00BE3D19" w:rsidRPr="00B87500">
        <w:fldChar w:fldCharType="end"/>
      </w:r>
      <w:r w:rsidRPr="00B87500">
        <w:t>.</w:t>
      </w:r>
      <w:proofErr w:type="gramEnd"/>
      <w:r w:rsidR="00BE3D19" w:rsidRPr="00B87500">
        <w:fldChar w:fldCharType="begin"/>
      </w:r>
      <w:r w:rsidRPr="00B87500">
        <w:instrText xml:space="preserve"> SEQ Table \* ARABIC \s 1 </w:instrText>
      </w:r>
      <w:r w:rsidR="00BE3D19" w:rsidRPr="00B87500">
        <w:fldChar w:fldCharType="separate"/>
      </w:r>
      <w:r w:rsidR="00E150CA">
        <w:rPr>
          <w:noProof/>
        </w:rPr>
        <w:t>3</w:t>
      </w:r>
      <w:r w:rsidR="00BE3D19" w:rsidRPr="00B87500">
        <w:fldChar w:fldCharType="end"/>
      </w:r>
      <w:r w:rsidR="006244F5">
        <w:t xml:space="preserve">  </w:t>
      </w:r>
      <w:r w:rsidRPr="00B87500">
        <w:t>Summary of performance and accountability approaches by jurisdiction, as reported in 2012</w:t>
      </w:r>
      <w:bookmarkEnd w:id="85"/>
      <w:bookmarkEnd w:id="86"/>
      <w:bookmarkEnd w:id="87"/>
    </w:p>
    <w:tbl>
      <w:tblPr>
        <w:tblStyle w:val="TableGrid"/>
        <w:tblW w:w="512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  Summary of performance and accountability approaches by jurisdiction, as reported in 2012"/>
        <w:tblDescription w:val="  Summary of performance and accountability approaches by jurisdiction, as reported in 2012"/>
      </w:tblPr>
      <w:tblGrid>
        <w:gridCol w:w="1259"/>
        <w:gridCol w:w="4221"/>
        <w:gridCol w:w="3984"/>
      </w:tblGrid>
      <w:tr w:rsidR="00DF4F77" w:rsidRPr="00415291" w:rsidTr="00046CCA">
        <w:trPr>
          <w:tblHeader/>
        </w:trPr>
        <w:tc>
          <w:tcPr>
            <w:tcW w:w="665" w:type="pct"/>
            <w:tcBorders>
              <w:top w:val="single" w:sz="4" w:space="0" w:color="auto"/>
              <w:bottom w:val="single" w:sz="4" w:space="0" w:color="auto"/>
            </w:tcBorders>
          </w:tcPr>
          <w:p w:rsidR="00DF4F77" w:rsidRPr="00B87500" w:rsidRDefault="00DF4F77" w:rsidP="00DF4F77">
            <w:pPr>
              <w:keepNext/>
              <w:spacing w:before="40" w:after="40"/>
              <w:rPr>
                <w:rFonts w:asciiTheme="minorHAnsi" w:hAnsiTheme="minorHAnsi" w:cstheme="majorBidi"/>
                <w:b/>
                <w:bCs/>
                <w:color w:val="000000"/>
                <w:sz w:val="22"/>
                <w:szCs w:val="22"/>
                <w:lang w:eastAsia="en-US"/>
              </w:rPr>
            </w:pPr>
            <w:r w:rsidRPr="00B87500">
              <w:rPr>
                <w:rFonts w:asciiTheme="minorHAnsi" w:hAnsiTheme="minorHAnsi" w:cstheme="majorBidi"/>
                <w:b/>
                <w:bCs/>
                <w:color w:val="000000"/>
                <w:sz w:val="22"/>
                <w:szCs w:val="22"/>
                <w:lang w:eastAsia="en-US"/>
              </w:rPr>
              <w:t>Jurisdiction</w:t>
            </w:r>
          </w:p>
        </w:tc>
        <w:tc>
          <w:tcPr>
            <w:tcW w:w="2230" w:type="pct"/>
            <w:tcBorders>
              <w:top w:val="single" w:sz="4" w:space="0" w:color="auto"/>
              <w:bottom w:val="single" w:sz="4" w:space="0" w:color="auto"/>
            </w:tcBorders>
          </w:tcPr>
          <w:p w:rsidR="00DF4F77" w:rsidRPr="00B87500" w:rsidRDefault="00DF4F77" w:rsidP="00DF4F77">
            <w:pPr>
              <w:keepNext/>
              <w:spacing w:before="40" w:after="40"/>
              <w:rPr>
                <w:rFonts w:asciiTheme="minorHAnsi" w:hAnsiTheme="minorHAnsi" w:cstheme="majorBidi"/>
                <w:b/>
                <w:bCs/>
                <w:color w:val="000000"/>
                <w:sz w:val="22"/>
                <w:szCs w:val="22"/>
                <w:lang w:eastAsia="en-US"/>
              </w:rPr>
            </w:pPr>
            <w:r w:rsidRPr="00B87500">
              <w:rPr>
                <w:rFonts w:asciiTheme="minorHAnsi" w:hAnsiTheme="minorHAnsi" w:cstheme="majorBidi"/>
                <w:b/>
                <w:bCs/>
                <w:color w:val="000000"/>
                <w:sz w:val="22"/>
                <w:szCs w:val="22"/>
                <w:lang w:eastAsia="en-US"/>
              </w:rPr>
              <w:t>Strategic monitoring</w:t>
            </w:r>
          </w:p>
        </w:tc>
        <w:tc>
          <w:tcPr>
            <w:tcW w:w="2105" w:type="pct"/>
            <w:tcBorders>
              <w:top w:val="single" w:sz="4" w:space="0" w:color="auto"/>
              <w:bottom w:val="single" w:sz="4" w:space="0" w:color="auto"/>
            </w:tcBorders>
          </w:tcPr>
          <w:p w:rsidR="00DF4F77" w:rsidRPr="00B87500" w:rsidRDefault="00DF4F77" w:rsidP="00DF4F77">
            <w:pPr>
              <w:keepNext/>
              <w:spacing w:before="40" w:after="40"/>
              <w:rPr>
                <w:rFonts w:asciiTheme="minorHAnsi" w:hAnsiTheme="minorHAnsi" w:cstheme="majorBidi"/>
                <w:b/>
                <w:bCs/>
                <w:color w:val="000000"/>
                <w:sz w:val="22"/>
                <w:szCs w:val="22"/>
                <w:lang w:eastAsia="en-US"/>
              </w:rPr>
            </w:pPr>
            <w:r w:rsidRPr="00B87500">
              <w:rPr>
                <w:rFonts w:asciiTheme="minorHAnsi" w:hAnsiTheme="minorHAnsi" w:cstheme="majorBidi"/>
                <w:b/>
                <w:bCs/>
                <w:color w:val="000000"/>
                <w:sz w:val="22"/>
                <w:szCs w:val="22"/>
                <w:lang w:eastAsia="en-US"/>
              </w:rPr>
              <w:t>Service reporting, monitoring, and funding accountability mechanisms</w:t>
            </w:r>
          </w:p>
        </w:tc>
      </w:tr>
      <w:tr w:rsidR="00DF4F77" w:rsidRPr="00415291" w:rsidTr="00DF4F77">
        <w:tc>
          <w:tcPr>
            <w:tcW w:w="665" w:type="pct"/>
            <w:tcBorders>
              <w:top w:val="single" w:sz="4" w:space="0" w:color="auto"/>
            </w:tcBorders>
          </w:tcPr>
          <w:p w:rsidR="00DF4F77" w:rsidRPr="00B87500" w:rsidRDefault="00DF4F77" w:rsidP="00DF4F77">
            <w:pPr>
              <w:keepNext/>
              <w:spacing w:before="40" w:after="40"/>
              <w:rPr>
                <w:rFonts w:asciiTheme="minorHAnsi" w:hAnsiTheme="minorHAnsi" w:cstheme="majorBidi"/>
                <w:color w:val="000000"/>
              </w:rPr>
            </w:pPr>
            <w:r w:rsidRPr="00B87500">
              <w:rPr>
                <w:rFonts w:asciiTheme="minorHAnsi" w:hAnsiTheme="minorHAnsi" w:cstheme="majorBidi"/>
                <w:color w:val="000000"/>
              </w:rPr>
              <w:t>ACT</w:t>
            </w:r>
          </w:p>
        </w:tc>
        <w:tc>
          <w:tcPr>
            <w:tcW w:w="2230" w:type="pct"/>
            <w:tcBorders>
              <w:top w:val="single" w:sz="4" w:space="0" w:color="auto"/>
            </w:tcBorders>
          </w:tcPr>
          <w:p w:rsidR="00DF4F77" w:rsidRPr="00B87500" w:rsidRDefault="00DF4F77" w:rsidP="00DF4F77">
            <w:pPr>
              <w:keepNext/>
              <w:spacing w:before="40" w:after="40" w:line="240" w:lineRule="auto"/>
              <w:rPr>
                <w:rFonts w:asciiTheme="minorHAnsi" w:hAnsiTheme="minorHAnsi" w:cstheme="majorBidi"/>
                <w:color w:val="000000"/>
              </w:rPr>
            </w:pPr>
            <w:r w:rsidRPr="00B87500">
              <w:rPr>
                <w:rFonts w:asciiTheme="minorHAnsi" w:hAnsiTheme="minorHAnsi" w:cstheme="majorBidi"/>
                <w:color w:val="000000"/>
              </w:rPr>
              <w:t>Implementation and monitoring of drug strategy oversighted by group with both government and community representation</w:t>
            </w:r>
          </w:p>
        </w:tc>
        <w:tc>
          <w:tcPr>
            <w:tcW w:w="2105" w:type="pct"/>
            <w:tcBorders>
              <w:top w:val="single" w:sz="4" w:space="0" w:color="auto"/>
            </w:tcBorders>
          </w:tcPr>
          <w:p w:rsidR="00DF4F77" w:rsidRPr="00B87500" w:rsidRDefault="00DF4F77" w:rsidP="0026107A">
            <w:pPr>
              <w:pStyle w:val="ListParagraph"/>
              <w:keepNext/>
              <w:numPr>
                <w:ilvl w:val="0"/>
                <w:numId w:val="13"/>
              </w:numPr>
              <w:spacing w:before="40" w:after="40" w:line="240" w:lineRule="auto"/>
              <w:ind w:left="333" w:hanging="283"/>
              <w:rPr>
                <w:rFonts w:asciiTheme="minorHAnsi" w:hAnsiTheme="minorHAnsi" w:cstheme="majorBidi"/>
                <w:color w:val="000000"/>
                <w:sz w:val="20"/>
              </w:rPr>
            </w:pPr>
            <w:r w:rsidRPr="00B87500">
              <w:rPr>
                <w:rFonts w:asciiTheme="minorHAnsi" w:hAnsiTheme="minorHAnsi" w:cstheme="majorBidi"/>
                <w:color w:val="000000"/>
                <w:sz w:val="20"/>
              </w:rPr>
              <w:t>Biannual reporting of drug use and harms</w:t>
            </w:r>
          </w:p>
          <w:p w:rsidR="00DF4F77" w:rsidRPr="00B87500" w:rsidRDefault="00DF4F77" w:rsidP="0026107A">
            <w:pPr>
              <w:pStyle w:val="ListParagraph"/>
              <w:keepNext/>
              <w:numPr>
                <w:ilvl w:val="0"/>
                <w:numId w:val="13"/>
              </w:numPr>
              <w:spacing w:before="40" w:after="40" w:line="240" w:lineRule="auto"/>
              <w:ind w:left="333" w:hanging="283"/>
              <w:rPr>
                <w:rFonts w:asciiTheme="minorHAnsi" w:hAnsiTheme="minorHAnsi" w:cstheme="majorBidi"/>
                <w:color w:val="000000"/>
                <w:sz w:val="20"/>
              </w:rPr>
            </w:pPr>
            <w:r w:rsidRPr="00B87500">
              <w:rPr>
                <w:rFonts w:asciiTheme="minorHAnsi" w:hAnsiTheme="minorHAnsi" w:cstheme="majorBidi"/>
                <w:color w:val="000000"/>
                <w:sz w:val="20"/>
              </w:rPr>
              <w:t>Surveys of satisfaction and workforce</w:t>
            </w:r>
          </w:p>
          <w:p w:rsidR="00DF4F77" w:rsidRPr="00B87500" w:rsidRDefault="00DF4F77" w:rsidP="0026107A">
            <w:pPr>
              <w:pStyle w:val="ListParagraph"/>
              <w:keepNext/>
              <w:numPr>
                <w:ilvl w:val="0"/>
                <w:numId w:val="13"/>
              </w:numPr>
              <w:spacing w:before="40" w:after="40" w:line="240" w:lineRule="auto"/>
              <w:ind w:left="333" w:hanging="283"/>
              <w:rPr>
                <w:rFonts w:asciiTheme="minorHAnsi" w:hAnsiTheme="minorHAnsi" w:cstheme="majorBidi"/>
                <w:color w:val="000000"/>
                <w:sz w:val="20"/>
              </w:rPr>
            </w:pPr>
            <w:r w:rsidRPr="00B87500">
              <w:rPr>
                <w:rFonts w:asciiTheme="minorHAnsi" w:hAnsiTheme="minorHAnsi" w:cstheme="majorBidi"/>
                <w:color w:val="000000"/>
                <w:sz w:val="20"/>
              </w:rPr>
              <w:t>Service accreditation</w:t>
            </w:r>
          </w:p>
        </w:tc>
      </w:tr>
      <w:tr w:rsidR="00DF4F77" w:rsidRPr="00415291" w:rsidTr="00DF4F77">
        <w:tc>
          <w:tcPr>
            <w:tcW w:w="665" w:type="pct"/>
            <w:shd w:val="clear" w:color="auto" w:fill="auto"/>
          </w:tcPr>
          <w:p w:rsidR="00DF4F77" w:rsidRPr="00B87500" w:rsidRDefault="00DF4F77" w:rsidP="00DF4F77">
            <w:pPr>
              <w:keepNext/>
              <w:spacing w:before="40" w:after="40"/>
              <w:rPr>
                <w:rFonts w:asciiTheme="minorHAnsi" w:hAnsiTheme="minorHAnsi" w:cstheme="majorBidi"/>
                <w:color w:val="000000"/>
              </w:rPr>
            </w:pPr>
            <w:r w:rsidRPr="00B87500">
              <w:rPr>
                <w:rFonts w:asciiTheme="minorHAnsi" w:hAnsiTheme="minorHAnsi" w:cstheme="majorBidi"/>
                <w:color w:val="000000"/>
              </w:rPr>
              <w:t>NSW</w:t>
            </w:r>
          </w:p>
        </w:tc>
        <w:tc>
          <w:tcPr>
            <w:tcW w:w="2230" w:type="pct"/>
            <w:shd w:val="clear" w:color="auto" w:fill="auto"/>
          </w:tcPr>
          <w:p w:rsidR="00DF4F77" w:rsidRPr="00B87500" w:rsidRDefault="00DF4F77" w:rsidP="00DF4F77">
            <w:pPr>
              <w:keepNext/>
              <w:spacing w:before="40" w:after="40" w:line="240" w:lineRule="auto"/>
              <w:rPr>
                <w:rFonts w:asciiTheme="minorHAnsi" w:hAnsiTheme="minorHAnsi" w:cstheme="majorBidi"/>
                <w:color w:val="000000"/>
              </w:rPr>
            </w:pPr>
            <w:r w:rsidRPr="00B87500">
              <w:rPr>
                <w:rFonts w:asciiTheme="minorHAnsi" w:hAnsiTheme="minorHAnsi" w:cstheme="majorBidi"/>
                <w:color w:val="000000"/>
              </w:rPr>
              <w:t>Drug and Alcohol Program Council sub-committees responsible for oversighting service delivery and clinical practice guidelines and  information management</w:t>
            </w:r>
          </w:p>
        </w:tc>
        <w:tc>
          <w:tcPr>
            <w:tcW w:w="2105" w:type="pct"/>
            <w:shd w:val="clear" w:color="auto" w:fill="auto"/>
          </w:tcPr>
          <w:p w:rsidR="00DF4F77" w:rsidRPr="00B87500" w:rsidRDefault="00DF4F77" w:rsidP="0026107A">
            <w:pPr>
              <w:pStyle w:val="ListParagraph"/>
              <w:keepNext/>
              <w:numPr>
                <w:ilvl w:val="0"/>
                <w:numId w:val="13"/>
              </w:numPr>
              <w:spacing w:before="40" w:after="40" w:line="240" w:lineRule="auto"/>
              <w:ind w:left="333" w:hanging="283"/>
              <w:rPr>
                <w:rFonts w:asciiTheme="minorHAnsi" w:hAnsiTheme="minorHAnsi" w:cstheme="majorBidi"/>
                <w:color w:val="000000"/>
                <w:sz w:val="20"/>
              </w:rPr>
            </w:pPr>
            <w:r w:rsidRPr="00B87500">
              <w:rPr>
                <w:rFonts w:asciiTheme="minorHAnsi" w:hAnsiTheme="minorHAnsi" w:cstheme="majorBidi"/>
                <w:color w:val="000000"/>
                <w:sz w:val="20"/>
              </w:rPr>
              <w:t>Client Outcome Monitoring System incorporating standardised measures being piloted</w:t>
            </w:r>
          </w:p>
        </w:tc>
      </w:tr>
      <w:tr w:rsidR="00DF4F77" w:rsidRPr="00415291" w:rsidTr="00DF4F77">
        <w:tc>
          <w:tcPr>
            <w:tcW w:w="665" w:type="pct"/>
          </w:tcPr>
          <w:p w:rsidR="00DF4F77" w:rsidRPr="00B87500" w:rsidRDefault="00DF4F77" w:rsidP="00DF4F77">
            <w:pPr>
              <w:keepNext/>
              <w:spacing w:before="40" w:after="40"/>
              <w:rPr>
                <w:rFonts w:asciiTheme="minorHAnsi" w:hAnsiTheme="minorHAnsi" w:cstheme="majorBidi"/>
                <w:color w:val="000000"/>
              </w:rPr>
            </w:pPr>
            <w:r w:rsidRPr="00B87500">
              <w:rPr>
                <w:rFonts w:asciiTheme="minorHAnsi" w:hAnsiTheme="minorHAnsi" w:cstheme="majorBidi"/>
                <w:color w:val="000000"/>
              </w:rPr>
              <w:t>NT</w:t>
            </w:r>
          </w:p>
        </w:tc>
        <w:tc>
          <w:tcPr>
            <w:tcW w:w="2230" w:type="pct"/>
          </w:tcPr>
          <w:p w:rsidR="00DF4F77" w:rsidRPr="00B87500" w:rsidRDefault="00DF4F77" w:rsidP="00DF4F77">
            <w:pPr>
              <w:keepNext/>
              <w:spacing w:before="40" w:after="40" w:line="240" w:lineRule="auto"/>
              <w:rPr>
                <w:rFonts w:asciiTheme="minorHAnsi" w:hAnsiTheme="minorHAnsi" w:cstheme="majorBidi"/>
                <w:color w:val="000000"/>
              </w:rPr>
            </w:pPr>
            <w:r w:rsidRPr="00B87500">
              <w:rPr>
                <w:rFonts w:asciiTheme="minorHAnsi" w:hAnsiTheme="minorHAnsi" w:cstheme="majorBidi"/>
                <w:color w:val="000000"/>
              </w:rPr>
              <w:t>Office of the Chief Executive facilitate strategic policy development</w:t>
            </w:r>
          </w:p>
        </w:tc>
        <w:tc>
          <w:tcPr>
            <w:tcW w:w="2105" w:type="pct"/>
          </w:tcPr>
          <w:p w:rsidR="00DF4F77" w:rsidRPr="00B87500" w:rsidRDefault="00DF4F77" w:rsidP="0026107A">
            <w:pPr>
              <w:pStyle w:val="ListParagraph"/>
              <w:keepNext/>
              <w:numPr>
                <w:ilvl w:val="0"/>
                <w:numId w:val="13"/>
              </w:numPr>
              <w:spacing w:before="40" w:after="40" w:line="240" w:lineRule="auto"/>
              <w:ind w:left="333" w:hanging="283"/>
              <w:rPr>
                <w:rFonts w:asciiTheme="minorHAnsi" w:hAnsiTheme="minorHAnsi" w:cstheme="majorBidi"/>
                <w:color w:val="000000"/>
                <w:sz w:val="20"/>
              </w:rPr>
            </w:pPr>
            <w:r w:rsidRPr="00B87500">
              <w:rPr>
                <w:rFonts w:asciiTheme="minorHAnsi" w:hAnsiTheme="minorHAnsi" w:cstheme="majorBidi"/>
                <w:color w:val="000000"/>
                <w:sz w:val="20"/>
              </w:rPr>
              <w:t>Developing standardised procedures for service activity and performance measures</w:t>
            </w:r>
          </w:p>
          <w:p w:rsidR="00DF4F77" w:rsidRPr="00B87500" w:rsidRDefault="00DF4F77" w:rsidP="0026107A">
            <w:pPr>
              <w:pStyle w:val="ListParagraph"/>
              <w:keepNext/>
              <w:numPr>
                <w:ilvl w:val="0"/>
                <w:numId w:val="13"/>
              </w:numPr>
              <w:spacing w:before="40" w:after="40" w:line="240" w:lineRule="auto"/>
              <w:ind w:left="333" w:hanging="283"/>
              <w:rPr>
                <w:rFonts w:asciiTheme="minorHAnsi" w:hAnsiTheme="minorHAnsi" w:cstheme="majorBidi"/>
                <w:color w:val="000000"/>
                <w:sz w:val="20"/>
              </w:rPr>
            </w:pPr>
            <w:r w:rsidRPr="00B87500">
              <w:rPr>
                <w:rFonts w:asciiTheme="minorHAnsi" w:hAnsiTheme="minorHAnsi" w:cstheme="majorBidi"/>
                <w:color w:val="000000"/>
                <w:sz w:val="20"/>
              </w:rPr>
              <w:t>Service funding agreements and grants administered  by Department of Health</w:t>
            </w:r>
          </w:p>
        </w:tc>
      </w:tr>
      <w:tr w:rsidR="00DF4F77" w:rsidRPr="00415291" w:rsidTr="00DF4F77">
        <w:tc>
          <w:tcPr>
            <w:tcW w:w="665" w:type="pct"/>
          </w:tcPr>
          <w:p w:rsidR="00DF4F77" w:rsidRPr="00B87500" w:rsidRDefault="00DF4F77" w:rsidP="00DF4F77">
            <w:pPr>
              <w:keepNext/>
              <w:spacing w:before="40" w:after="40"/>
              <w:rPr>
                <w:rFonts w:asciiTheme="minorHAnsi" w:hAnsiTheme="minorHAnsi" w:cstheme="majorBidi"/>
                <w:color w:val="000000"/>
              </w:rPr>
            </w:pPr>
            <w:r w:rsidRPr="00B87500">
              <w:rPr>
                <w:rFonts w:asciiTheme="minorHAnsi" w:hAnsiTheme="minorHAnsi" w:cstheme="majorBidi"/>
                <w:color w:val="000000"/>
              </w:rPr>
              <w:t>QLD</w:t>
            </w:r>
          </w:p>
        </w:tc>
        <w:tc>
          <w:tcPr>
            <w:tcW w:w="2230" w:type="pct"/>
          </w:tcPr>
          <w:p w:rsidR="00DF4F77" w:rsidRPr="00B87500" w:rsidRDefault="00DF4F77" w:rsidP="00DF4F77">
            <w:pPr>
              <w:keepNext/>
              <w:spacing w:before="40" w:after="40" w:line="240" w:lineRule="auto"/>
              <w:rPr>
                <w:rFonts w:asciiTheme="minorHAnsi" w:hAnsiTheme="minorHAnsi" w:cstheme="majorBidi"/>
                <w:color w:val="000000"/>
              </w:rPr>
            </w:pPr>
            <w:r w:rsidRPr="00B87500">
              <w:rPr>
                <w:rFonts w:asciiTheme="minorHAnsi" w:hAnsiTheme="minorHAnsi" w:cstheme="majorBidi"/>
                <w:color w:val="000000"/>
              </w:rPr>
              <w:t>Drug policy oversighted by committee with representation from several government departments (including health, justice, and education) and police</w:t>
            </w:r>
          </w:p>
        </w:tc>
        <w:tc>
          <w:tcPr>
            <w:tcW w:w="2105" w:type="pct"/>
          </w:tcPr>
          <w:p w:rsidR="00DF4F77" w:rsidRPr="00B87500" w:rsidRDefault="00DF4F77" w:rsidP="0026107A">
            <w:pPr>
              <w:pStyle w:val="ListParagraph"/>
              <w:keepNext/>
              <w:numPr>
                <w:ilvl w:val="0"/>
                <w:numId w:val="13"/>
              </w:numPr>
              <w:spacing w:before="40" w:after="40" w:line="240" w:lineRule="auto"/>
              <w:ind w:left="333" w:hanging="283"/>
              <w:rPr>
                <w:rFonts w:asciiTheme="minorHAnsi" w:hAnsiTheme="minorHAnsi" w:cstheme="majorBidi"/>
                <w:color w:val="000000"/>
                <w:sz w:val="20"/>
              </w:rPr>
            </w:pPr>
            <w:r w:rsidRPr="00B87500">
              <w:rPr>
                <w:rFonts w:asciiTheme="minorHAnsi" w:hAnsiTheme="minorHAnsi" w:cstheme="majorBidi"/>
                <w:color w:val="000000"/>
                <w:sz w:val="20"/>
              </w:rPr>
              <w:t>Agreements between government and individual Hospital and Health Services cover performance and outcome</w:t>
            </w:r>
          </w:p>
          <w:p w:rsidR="00DF4F77" w:rsidRPr="00B87500" w:rsidRDefault="00DF4F77" w:rsidP="0026107A">
            <w:pPr>
              <w:pStyle w:val="ListParagraph"/>
              <w:keepNext/>
              <w:numPr>
                <w:ilvl w:val="0"/>
                <w:numId w:val="13"/>
              </w:numPr>
              <w:spacing w:before="40" w:after="40" w:line="240" w:lineRule="auto"/>
              <w:ind w:left="333" w:hanging="283"/>
              <w:rPr>
                <w:rFonts w:asciiTheme="minorHAnsi" w:hAnsiTheme="minorHAnsi" w:cstheme="majorBidi"/>
                <w:color w:val="000000"/>
                <w:sz w:val="20"/>
              </w:rPr>
            </w:pPr>
            <w:r w:rsidRPr="00B87500">
              <w:rPr>
                <w:rFonts w:asciiTheme="minorHAnsi" w:hAnsiTheme="minorHAnsi" w:cstheme="majorBidi"/>
                <w:color w:val="000000"/>
                <w:sz w:val="20"/>
              </w:rPr>
              <w:t>A performance framework covers NGO sector</w:t>
            </w:r>
          </w:p>
        </w:tc>
      </w:tr>
      <w:tr w:rsidR="00DF4F77" w:rsidRPr="00415291" w:rsidTr="00DF4F77">
        <w:tc>
          <w:tcPr>
            <w:tcW w:w="665" w:type="pct"/>
            <w:shd w:val="clear" w:color="auto" w:fill="auto"/>
          </w:tcPr>
          <w:p w:rsidR="00DF4F77" w:rsidRPr="00B87500" w:rsidRDefault="00DF4F77" w:rsidP="00DF4F77">
            <w:pPr>
              <w:keepNext/>
              <w:spacing w:before="40" w:after="40"/>
              <w:rPr>
                <w:rFonts w:asciiTheme="minorHAnsi" w:hAnsiTheme="minorHAnsi" w:cstheme="majorBidi"/>
                <w:color w:val="000000"/>
              </w:rPr>
            </w:pPr>
            <w:r w:rsidRPr="00B87500">
              <w:rPr>
                <w:rFonts w:asciiTheme="minorHAnsi" w:hAnsiTheme="minorHAnsi" w:cstheme="majorBidi"/>
                <w:color w:val="000000"/>
              </w:rPr>
              <w:t>SA</w:t>
            </w:r>
          </w:p>
        </w:tc>
        <w:tc>
          <w:tcPr>
            <w:tcW w:w="2230" w:type="pct"/>
            <w:shd w:val="clear" w:color="auto" w:fill="auto"/>
          </w:tcPr>
          <w:p w:rsidR="00DF4F77" w:rsidRPr="00B87500" w:rsidRDefault="00DF4F77" w:rsidP="00DF4F77">
            <w:pPr>
              <w:keepNext/>
              <w:spacing w:before="40" w:after="40" w:line="240" w:lineRule="auto"/>
              <w:rPr>
                <w:rFonts w:asciiTheme="minorHAnsi" w:hAnsiTheme="minorHAnsi" w:cstheme="majorBidi"/>
                <w:color w:val="000000"/>
              </w:rPr>
            </w:pPr>
            <w:r w:rsidRPr="00B87500">
              <w:rPr>
                <w:rFonts w:asciiTheme="minorHAnsi" w:hAnsiTheme="minorHAnsi" w:cstheme="majorBidi"/>
                <w:color w:val="000000"/>
              </w:rPr>
              <w:t>Tendering of all NGO AOD services in 2012 allowed for standardised procurement</w:t>
            </w:r>
          </w:p>
        </w:tc>
        <w:tc>
          <w:tcPr>
            <w:tcW w:w="2105" w:type="pct"/>
            <w:shd w:val="clear" w:color="auto" w:fill="auto"/>
          </w:tcPr>
          <w:p w:rsidR="00DF4F77" w:rsidRPr="00B87500" w:rsidRDefault="00DF4F77" w:rsidP="0026107A">
            <w:pPr>
              <w:pStyle w:val="ListParagraph"/>
              <w:keepNext/>
              <w:numPr>
                <w:ilvl w:val="0"/>
                <w:numId w:val="13"/>
              </w:numPr>
              <w:spacing w:before="40" w:after="40" w:line="240" w:lineRule="auto"/>
              <w:ind w:left="333" w:hanging="283"/>
              <w:rPr>
                <w:rFonts w:asciiTheme="minorHAnsi" w:hAnsiTheme="minorHAnsi" w:cstheme="majorBidi"/>
                <w:color w:val="000000"/>
                <w:sz w:val="20"/>
              </w:rPr>
            </w:pPr>
            <w:r w:rsidRPr="00B87500">
              <w:rPr>
                <w:rFonts w:asciiTheme="minorHAnsi" w:hAnsiTheme="minorHAnsi" w:cstheme="majorBidi"/>
                <w:color w:val="000000"/>
                <w:sz w:val="20"/>
              </w:rPr>
              <w:t>Annual service activity reporting, including services provided, informal contacts, performance and funding</w:t>
            </w:r>
          </w:p>
        </w:tc>
      </w:tr>
      <w:tr w:rsidR="00DF4F77" w:rsidRPr="00415291" w:rsidTr="00DF4F77">
        <w:tc>
          <w:tcPr>
            <w:tcW w:w="665" w:type="pct"/>
          </w:tcPr>
          <w:p w:rsidR="00DF4F77" w:rsidRPr="00B87500" w:rsidRDefault="00DF4F77" w:rsidP="00DF4F77">
            <w:pPr>
              <w:keepNext/>
              <w:spacing w:before="40" w:after="40"/>
              <w:rPr>
                <w:rFonts w:asciiTheme="minorHAnsi" w:hAnsiTheme="minorHAnsi" w:cstheme="majorBidi"/>
                <w:color w:val="000000"/>
              </w:rPr>
            </w:pPr>
            <w:r w:rsidRPr="00B87500">
              <w:rPr>
                <w:rFonts w:asciiTheme="minorHAnsi" w:hAnsiTheme="minorHAnsi" w:cstheme="majorBidi"/>
                <w:color w:val="000000"/>
              </w:rPr>
              <w:t>TAS</w:t>
            </w:r>
          </w:p>
        </w:tc>
        <w:tc>
          <w:tcPr>
            <w:tcW w:w="2230" w:type="pct"/>
          </w:tcPr>
          <w:p w:rsidR="00DF4F77" w:rsidRPr="00B87500" w:rsidRDefault="00DF4F77" w:rsidP="00DF4F77">
            <w:pPr>
              <w:keepNext/>
              <w:spacing w:before="40" w:after="40" w:line="240" w:lineRule="auto"/>
              <w:rPr>
                <w:rFonts w:asciiTheme="minorHAnsi" w:hAnsiTheme="minorHAnsi" w:cstheme="majorBidi"/>
                <w:color w:val="000000"/>
              </w:rPr>
            </w:pPr>
            <w:r w:rsidRPr="00B87500">
              <w:rPr>
                <w:rFonts w:asciiTheme="minorHAnsi" w:hAnsiTheme="minorHAnsi" w:cstheme="majorBidi"/>
                <w:color w:val="000000"/>
              </w:rPr>
              <w:t>At the time of consultation, a five year plan was in place and an evaluation was being designed</w:t>
            </w:r>
          </w:p>
        </w:tc>
        <w:tc>
          <w:tcPr>
            <w:tcW w:w="2105" w:type="pct"/>
          </w:tcPr>
          <w:p w:rsidR="00DF4F77" w:rsidRPr="00B87500" w:rsidRDefault="00DF4F77" w:rsidP="0026107A">
            <w:pPr>
              <w:pStyle w:val="ListParagraph"/>
              <w:keepNext/>
              <w:numPr>
                <w:ilvl w:val="0"/>
                <w:numId w:val="13"/>
              </w:numPr>
              <w:spacing w:before="40" w:after="40" w:line="240" w:lineRule="auto"/>
              <w:ind w:left="333" w:hanging="283"/>
              <w:rPr>
                <w:rFonts w:asciiTheme="minorHAnsi" w:hAnsiTheme="minorHAnsi" w:cstheme="majorBidi"/>
                <w:color w:val="000000"/>
                <w:sz w:val="20"/>
              </w:rPr>
            </w:pPr>
            <w:r w:rsidRPr="00B87500">
              <w:rPr>
                <w:rFonts w:asciiTheme="minorHAnsi" w:hAnsiTheme="minorHAnsi" w:cstheme="majorBidi"/>
                <w:color w:val="000000"/>
                <w:sz w:val="20"/>
              </w:rPr>
              <w:t>Service capacity being built funded via Commonwealth Improved Services Initiative</w:t>
            </w:r>
          </w:p>
        </w:tc>
      </w:tr>
      <w:tr w:rsidR="00DF4F77" w:rsidRPr="00415291" w:rsidTr="00DF4F77">
        <w:tc>
          <w:tcPr>
            <w:tcW w:w="665" w:type="pct"/>
          </w:tcPr>
          <w:p w:rsidR="00DF4F77" w:rsidRPr="00B87500" w:rsidRDefault="00DF4F77" w:rsidP="00DF4F77">
            <w:pPr>
              <w:keepNext/>
              <w:spacing w:before="40" w:after="40"/>
              <w:rPr>
                <w:rFonts w:asciiTheme="minorHAnsi" w:hAnsiTheme="minorHAnsi" w:cstheme="majorBidi"/>
                <w:color w:val="000000"/>
              </w:rPr>
            </w:pPr>
            <w:r w:rsidRPr="00B87500">
              <w:rPr>
                <w:rFonts w:asciiTheme="minorHAnsi" w:hAnsiTheme="minorHAnsi" w:cstheme="majorBidi"/>
                <w:color w:val="000000"/>
              </w:rPr>
              <w:t>VIC</w:t>
            </w:r>
          </w:p>
        </w:tc>
        <w:tc>
          <w:tcPr>
            <w:tcW w:w="2230" w:type="pct"/>
          </w:tcPr>
          <w:p w:rsidR="00DF4F77" w:rsidRPr="00B87500" w:rsidRDefault="00DF4F77" w:rsidP="00DF4F77">
            <w:pPr>
              <w:keepNext/>
              <w:spacing w:before="40" w:after="40" w:line="240" w:lineRule="auto"/>
              <w:rPr>
                <w:rFonts w:asciiTheme="minorHAnsi" w:hAnsiTheme="minorHAnsi" w:cstheme="majorBidi"/>
                <w:color w:val="000000"/>
              </w:rPr>
            </w:pPr>
            <w:r w:rsidRPr="00B87500">
              <w:rPr>
                <w:rFonts w:asciiTheme="minorHAnsi" w:hAnsiTheme="minorHAnsi" w:cstheme="majorBidi"/>
                <w:color w:val="000000"/>
              </w:rPr>
              <w:t>Annual reporting by Department of Health and Performance Advisory Group established. Senior AOD program managers oversight whole-of-program performance</w:t>
            </w:r>
          </w:p>
        </w:tc>
        <w:tc>
          <w:tcPr>
            <w:tcW w:w="2105" w:type="pct"/>
          </w:tcPr>
          <w:p w:rsidR="00DF4F77" w:rsidRPr="00B87500" w:rsidRDefault="00DF4F77" w:rsidP="0026107A">
            <w:pPr>
              <w:pStyle w:val="ListParagraph"/>
              <w:keepNext/>
              <w:numPr>
                <w:ilvl w:val="0"/>
                <w:numId w:val="13"/>
              </w:numPr>
              <w:spacing w:before="40" w:after="40" w:line="240" w:lineRule="auto"/>
              <w:ind w:left="333" w:hanging="283"/>
              <w:rPr>
                <w:rFonts w:asciiTheme="minorHAnsi" w:hAnsiTheme="minorHAnsi" w:cstheme="majorBidi"/>
                <w:color w:val="000000"/>
                <w:sz w:val="20"/>
              </w:rPr>
            </w:pPr>
            <w:r w:rsidRPr="00B87500">
              <w:rPr>
                <w:rFonts w:asciiTheme="minorHAnsi" w:hAnsiTheme="minorHAnsi" w:cstheme="majorBidi"/>
                <w:color w:val="000000"/>
                <w:sz w:val="20"/>
              </w:rPr>
              <w:t>Services report against target on a quarterly basis</w:t>
            </w:r>
          </w:p>
          <w:p w:rsidR="00DF4F77" w:rsidRPr="00B87500" w:rsidRDefault="00DF4F77" w:rsidP="0026107A">
            <w:pPr>
              <w:pStyle w:val="ListParagraph"/>
              <w:keepNext/>
              <w:numPr>
                <w:ilvl w:val="0"/>
                <w:numId w:val="13"/>
              </w:numPr>
              <w:spacing w:before="40" w:after="40" w:line="240" w:lineRule="auto"/>
              <w:ind w:left="333" w:hanging="283"/>
              <w:rPr>
                <w:rFonts w:asciiTheme="minorHAnsi" w:hAnsiTheme="minorHAnsi" w:cstheme="majorBidi"/>
                <w:color w:val="000000"/>
                <w:sz w:val="20"/>
              </w:rPr>
            </w:pPr>
            <w:r w:rsidRPr="00B87500">
              <w:rPr>
                <w:rFonts w:asciiTheme="minorHAnsi" w:hAnsiTheme="minorHAnsi" w:cstheme="majorBidi"/>
                <w:color w:val="000000"/>
                <w:sz w:val="20"/>
              </w:rPr>
              <w:t>Performance management framework initiated April 2010</w:t>
            </w:r>
          </w:p>
        </w:tc>
      </w:tr>
      <w:tr w:rsidR="00DF4F77" w:rsidRPr="00415291" w:rsidTr="00DF4F77">
        <w:tc>
          <w:tcPr>
            <w:tcW w:w="665" w:type="pct"/>
            <w:tcBorders>
              <w:bottom w:val="single" w:sz="4" w:space="0" w:color="auto"/>
            </w:tcBorders>
          </w:tcPr>
          <w:p w:rsidR="00DF4F77" w:rsidRPr="00B87500" w:rsidRDefault="00DF4F77" w:rsidP="00DF4F77">
            <w:pPr>
              <w:keepNext/>
              <w:spacing w:before="40" w:after="40"/>
              <w:rPr>
                <w:rFonts w:asciiTheme="minorHAnsi" w:hAnsiTheme="minorHAnsi" w:cstheme="majorBidi"/>
                <w:color w:val="000000"/>
              </w:rPr>
            </w:pPr>
            <w:r w:rsidRPr="00B87500">
              <w:rPr>
                <w:rFonts w:asciiTheme="minorHAnsi" w:hAnsiTheme="minorHAnsi" w:cstheme="majorBidi"/>
                <w:color w:val="000000"/>
              </w:rPr>
              <w:t>WA</w:t>
            </w:r>
          </w:p>
        </w:tc>
        <w:tc>
          <w:tcPr>
            <w:tcW w:w="2230" w:type="pct"/>
            <w:tcBorders>
              <w:bottom w:val="single" w:sz="4" w:space="0" w:color="auto"/>
            </w:tcBorders>
          </w:tcPr>
          <w:p w:rsidR="00DF4F77" w:rsidRPr="00B87500" w:rsidRDefault="00DF4F77" w:rsidP="00DF4F77">
            <w:pPr>
              <w:keepNext/>
              <w:spacing w:before="40" w:after="40" w:line="240" w:lineRule="auto"/>
              <w:rPr>
                <w:rFonts w:asciiTheme="minorHAnsi" w:hAnsiTheme="minorHAnsi" w:cstheme="majorBidi"/>
                <w:color w:val="000000"/>
              </w:rPr>
            </w:pPr>
            <w:r w:rsidRPr="00B87500">
              <w:rPr>
                <w:rFonts w:asciiTheme="minorHAnsi" w:hAnsiTheme="minorHAnsi" w:cstheme="majorBidi"/>
                <w:color w:val="000000"/>
              </w:rPr>
              <w:t>Monitoring, evaluation and research activities conducted by relevant branch of Drug and Alcohol Office. Planning undertaken within framework of strategic plan</w:t>
            </w:r>
          </w:p>
        </w:tc>
        <w:tc>
          <w:tcPr>
            <w:tcW w:w="2105" w:type="pct"/>
            <w:tcBorders>
              <w:bottom w:val="single" w:sz="4" w:space="0" w:color="auto"/>
            </w:tcBorders>
          </w:tcPr>
          <w:p w:rsidR="00DF4F77" w:rsidRPr="00B87500" w:rsidRDefault="00DF4F77" w:rsidP="0026107A">
            <w:pPr>
              <w:pStyle w:val="ListParagraph"/>
              <w:keepNext/>
              <w:numPr>
                <w:ilvl w:val="0"/>
                <w:numId w:val="13"/>
              </w:numPr>
              <w:spacing w:before="40" w:after="40" w:line="240" w:lineRule="auto"/>
              <w:ind w:left="333" w:hanging="283"/>
              <w:rPr>
                <w:rFonts w:asciiTheme="minorHAnsi" w:hAnsiTheme="minorHAnsi" w:cstheme="majorBidi"/>
                <w:color w:val="000000"/>
                <w:sz w:val="20"/>
              </w:rPr>
            </w:pPr>
            <w:r w:rsidRPr="00B87500">
              <w:rPr>
                <w:rFonts w:asciiTheme="minorHAnsi" w:hAnsiTheme="minorHAnsi" w:cstheme="majorBidi"/>
                <w:color w:val="000000"/>
                <w:sz w:val="20"/>
              </w:rPr>
              <w:t>Drug and Alcohol Office policy and procedures templates available to assist in monitoring standards</w:t>
            </w:r>
          </w:p>
          <w:p w:rsidR="00DF4F77" w:rsidRPr="00B87500" w:rsidRDefault="00DF4F77" w:rsidP="0026107A">
            <w:pPr>
              <w:pStyle w:val="ListParagraph"/>
              <w:keepNext/>
              <w:numPr>
                <w:ilvl w:val="0"/>
                <w:numId w:val="13"/>
              </w:numPr>
              <w:spacing w:before="40" w:after="40" w:line="240" w:lineRule="auto"/>
              <w:ind w:left="333" w:hanging="283"/>
              <w:rPr>
                <w:rFonts w:asciiTheme="minorHAnsi" w:hAnsiTheme="minorHAnsi" w:cstheme="majorBidi"/>
                <w:color w:val="000000"/>
                <w:sz w:val="20"/>
              </w:rPr>
            </w:pPr>
            <w:r w:rsidRPr="00B87500">
              <w:rPr>
                <w:rFonts w:asciiTheme="minorHAnsi" w:hAnsiTheme="minorHAnsi" w:cstheme="majorBidi"/>
                <w:color w:val="000000"/>
                <w:sz w:val="20"/>
              </w:rPr>
              <w:t>Six monthly activity and outcomes reporting</w:t>
            </w:r>
          </w:p>
          <w:p w:rsidR="00DF4F77" w:rsidRPr="00B87500" w:rsidRDefault="00DF4F77" w:rsidP="0026107A">
            <w:pPr>
              <w:pStyle w:val="ListParagraph"/>
              <w:keepNext/>
              <w:numPr>
                <w:ilvl w:val="0"/>
                <w:numId w:val="13"/>
              </w:numPr>
              <w:spacing w:before="40" w:after="40" w:line="240" w:lineRule="auto"/>
              <w:ind w:left="333" w:hanging="283"/>
              <w:rPr>
                <w:rFonts w:asciiTheme="minorHAnsi" w:hAnsiTheme="minorHAnsi" w:cstheme="majorBidi"/>
                <w:color w:val="000000"/>
                <w:sz w:val="20"/>
              </w:rPr>
            </w:pPr>
            <w:r w:rsidRPr="00B87500">
              <w:rPr>
                <w:rFonts w:asciiTheme="minorHAnsi" w:hAnsiTheme="minorHAnsi" w:cstheme="majorBidi"/>
                <w:color w:val="000000"/>
                <w:sz w:val="20"/>
              </w:rPr>
              <w:t>Reviewing outcome measures</w:t>
            </w:r>
          </w:p>
        </w:tc>
      </w:tr>
    </w:tbl>
    <w:p w:rsidR="00DF4F77" w:rsidRPr="00415291" w:rsidRDefault="00DF4F77" w:rsidP="00DF4F77">
      <w:pPr>
        <w:spacing w:after="120" w:line="240" w:lineRule="auto"/>
        <w:ind w:left="1191" w:hanging="1134"/>
        <w:jc w:val="both"/>
        <w:rPr>
          <w:rFonts w:ascii="Times New Roman" w:eastAsia="Times New Roman" w:hAnsi="Times New Roman"/>
          <w:b/>
          <w:bCs/>
          <w:noProof/>
          <w:kern w:val="32"/>
          <w:lang w:val="en-US"/>
        </w:rPr>
      </w:pPr>
      <w:r w:rsidRPr="00415291">
        <w:rPr>
          <w:rFonts w:ascii="Times New Roman" w:hAnsi="Times New Roman"/>
        </w:rPr>
        <w:br w:type="page"/>
      </w:r>
    </w:p>
    <w:p w:rsidR="00DF4F77" w:rsidRPr="006B1350" w:rsidRDefault="00DF4F77" w:rsidP="00DF4F77">
      <w:pPr>
        <w:keepNext/>
        <w:keepLines/>
        <w:spacing w:before="120" w:after="120" w:line="240" w:lineRule="auto"/>
        <w:outlineLvl w:val="1"/>
        <w:rPr>
          <w:rFonts w:ascii="Cambria" w:eastAsia="SimSun" w:hAnsi="Cambria"/>
          <w:bCs/>
          <w:i/>
          <w:sz w:val="24"/>
          <w:szCs w:val="24"/>
        </w:rPr>
      </w:pPr>
      <w:r w:rsidRPr="006B1350">
        <w:rPr>
          <w:rFonts w:ascii="Cambria" w:eastAsia="SimSun" w:hAnsi="Cambria"/>
          <w:bCs/>
          <w:i/>
          <w:sz w:val="24"/>
          <w:szCs w:val="24"/>
        </w:rPr>
        <w:lastRenderedPageBreak/>
        <w:t>Strengths and challenges</w:t>
      </w:r>
    </w:p>
    <w:p w:rsidR="00DF4F77" w:rsidRPr="006B1350" w:rsidRDefault="00DF4F77" w:rsidP="00DF4F77">
      <w:pPr>
        <w:pStyle w:val="FAREnormaltext"/>
      </w:pPr>
      <w:r w:rsidRPr="006B1350">
        <w:t>The consultation process in most jurisdictions yielded lists of both strengths and challenges for the AOD system, many of which were common across states and territories. Indeed, in some places the s</w:t>
      </w:r>
      <w:r w:rsidR="005B4859">
        <w:t xml:space="preserve">ame factor was listed as both </w:t>
      </w:r>
      <w:proofErr w:type="gramStart"/>
      <w:r w:rsidR="005B4859">
        <w:t xml:space="preserve">a </w:t>
      </w:r>
      <w:r w:rsidRPr="006B1350">
        <w:t>strength</w:t>
      </w:r>
      <w:proofErr w:type="gramEnd"/>
      <w:r w:rsidRPr="006B1350">
        <w:t xml:space="preserve"> and a challenge. Rather than attempt to exhaustively analyse these by jurisdiction and whether </w:t>
      </w:r>
      <w:proofErr w:type="gramStart"/>
      <w:r w:rsidRPr="006B1350">
        <w:t>a strength</w:t>
      </w:r>
      <w:proofErr w:type="gramEnd"/>
      <w:r w:rsidRPr="006B1350">
        <w:t xml:space="preserve"> or a challenge, the following has been compiled from the synopses as a broad list of issues identified for AOD service systems:</w:t>
      </w:r>
    </w:p>
    <w:p w:rsidR="00DF4F77" w:rsidRPr="000B12F7" w:rsidRDefault="00DF4F77" w:rsidP="0026107A">
      <w:pPr>
        <w:pStyle w:val="ListParagraph"/>
        <w:keepNext/>
        <w:keepLines/>
        <w:numPr>
          <w:ilvl w:val="0"/>
          <w:numId w:val="17"/>
        </w:numPr>
        <w:spacing w:after="120" w:line="240" w:lineRule="auto"/>
        <w:outlineLvl w:val="1"/>
        <w:rPr>
          <w:rFonts w:asciiTheme="minorHAnsi" w:hAnsiTheme="minorHAnsi"/>
          <w:b/>
        </w:rPr>
      </w:pPr>
      <w:r w:rsidRPr="000B12F7">
        <w:rPr>
          <w:rFonts w:asciiTheme="minorHAnsi" w:eastAsia="SimSun" w:hAnsiTheme="minorHAnsi"/>
          <w:b/>
          <w:bCs/>
        </w:rPr>
        <w:t>Issues of treatment access and appropriateness</w:t>
      </w:r>
    </w:p>
    <w:p w:rsidR="00DF4F77" w:rsidRPr="00B87500" w:rsidRDefault="00DF4F77" w:rsidP="00DF4F77">
      <w:pPr>
        <w:pStyle w:val="FAREdotpoints"/>
      </w:pPr>
      <w:r w:rsidRPr="00B87500">
        <w:t>Addressing the needs of particular population groups, especially Aboriginal and Torres Strait Islander people, young people, women, prisoners, migrant and remote communities</w:t>
      </w:r>
      <w:r w:rsidR="005B4859">
        <w:t>;</w:t>
      </w:r>
    </w:p>
    <w:p w:rsidR="00DF4F77" w:rsidRPr="00B87500" w:rsidRDefault="00DF4F77" w:rsidP="00DF4F77">
      <w:pPr>
        <w:pStyle w:val="FAREdotpoints"/>
      </w:pPr>
      <w:r w:rsidRPr="00B87500">
        <w:t>Addressing complex needs including mental health, acquired brain injury, intergenerational substance use, tobacco use</w:t>
      </w:r>
      <w:r w:rsidR="005B4859">
        <w:t>;</w:t>
      </w:r>
    </w:p>
    <w:p w:rsidR="00DF4F77" w:rsidRPr="00B87500" w:rsidRDefault="00DF4F77" w:rsidP="00DF4F77">
      <w:pPr>
        <w:pStyle w:val="FAREdotpoints"/>
      </w:pPr>
      <w:r w:rsidRPr="00B87500">
        <w:t>Responsiveness to emerging issues</w:t>
      </w:r>
      <w:r w:rsidR="0048043A">
        <w:t>,</w:t>
      </w:r>
      <w:r w:rsidRPr="00B87500">
        <w:t xml:space="preserve"> e.g. drug trends</w:t>
      </w:r>
      <w:r w:rsidR="005B4859">
        <w:t>.</w:t>
      </w:r>
    </w:p>
    <w:p w:rsidR="00DF4F77" w:rsidRPr="000B12F7" w:rsidRDefault="00DF4F77" w:rsidP="0026107A">
      <w:pPr>
        <w:pStyle w:val="ListParagraph"/>
        <w:keepNext/>
        <w:keepLines/>
        <w:numPr>
          <w:ilvl w:val="0"/>
          <w:numId w:val="17"/>
        </w:numPr>
        <w:spacing w:after="120" w:line="240" w:lineRule="auto"/>
        <w:outlineLvl w:val="1"/>
        <w:rPr>
          <w:rFonts w:asciiTheme="minorHAnsi" w:eastAsia="SimSun" w:hAnsiTheme="minorHAnsi"/>
          <w:b/>
          <w:bCs/>
        </w:rPr>
      </w:pPr>
      <w:r w:rsidRPr="000B12F7">
        <w:rPr>
          <w:rFonts w:asciiTheme="minorHAnsi" w:eastAsia="SimSun" w:hAnsiTheme="minorHAnsi"/>
          <w:b/>
          <w:bCs/>
        </w:rPr>
        <w:t>Issues of service delivery</w:t>
      </w:r>
    </w:p>
    <w:p w:rsidR="00DF4F77" w:rsidRPr="00B87500" w:rsidRDefault="00DF4F77" w:rsidP="00DF4F77">
      <w:pPr>
        <w:pStyle w:val="FAREdotpoints"/>
      </w:pPr>
      <w:r w:rsidRPr="00B87500">
        <w:t>Maintaining and improving quality of service provision, standardising performance measures, evaluation, evidence based-practice</w:t>
      </w:r>
      <w:r w:rsidR="005B4859">
        <w:t>;</w:t>
      </w:r>
    </w:p>
    <w:p w:rsidR="00DF4F77" w:rsidRPr="00B87500" w:rsidRDefault="00DF4F77" w:rsidP="00DF4F77">
      <w:pPr>
        <w:pStyle w:val="FAREdotpoints"/>
      </w:pPr>
      <w:r w:rsidRPr="00B87500">
        <w:t>Sustainability of service provision</w:t>
      </w:r>
      <w:r w:rsidR="0048043A">
        <w:t>,</w:t>
      </w:r>
      <w:r w:rsidRPr="00B87500">
        <w:t xml:space="preserve"> e.g. workforce capacity building, skill mix and succession planning</w:t>
      </w:r>
      <w:r w:rsidR="005B4859">
        <w:t>;</w:t>
      </w:r>
    </w:p>
    <w:p w:rsidR="00DF4F77" w:rsidRPr="00B87500" w:rsidRDefault="00DF4F77" w:rsidP="00DF4F77">
      <w:pPr>
        <w:pStyle w:val="FAREdotpoints"/>
      </w:pPr>
      <w:r w:rsidRPr="00B87500">
        <w:t>Funding</w:t>
      </w:r>
      <w:r w:rsidR="00D51944">
        <w:t>,</w:t>
      </w:r>
      <w:r w:rsidRPr="00B87500">
        <w:t xml:space="preserve"> e.g. full cost of service delivery, funding inequities within sector, ensuring funding models encourage continuity of care</w:t>
      </w:r>
      <w:r w:rsidR="005B4859">
        <w:t>.</w:t>
      </w:r>
    </w:p>
    <w:p w:rsidR="00DF4F77" w:rsidRPr="000B12F7" w:rsidRDefault="00DF4F77" w:rsidP="0026107A">
      <w:pPr>
        <w:pStyle w:val="ListParagraph"/>
        <w:keepNext/>
        <w:keepLines/>
        <w:numPr>
          <w:ilvl w:val="0"/>
          <w:numId w:val="17"/>
        </w:numPr>
        <w:spacing w:after="120" w:line="240" w:lineRule="auto"/>
        <w:outlineLvl w:val="1"/>
        <w:rPr>
          <w:rFonts w:asciiTheme="minorHAnsi" w:eastAsia="SimSun" w:hAnsiTheme="minorHAnsi"/>
          <w:b/>
          <w:bCs/>
        </w:rPr>
      </w:pPr>
      <w:r w:rsidRPr="000B12F7">
        <w:rPr>
          <w:rFonts w:asciiTheme="minorHAnsi" w:eastAsia="SimSun" w:hAnsiTheme="minorHAnsi"/>
          <w:b/>
          <w:bCs/>
        </w:rPr>
        <w:t>Issues of service context</w:t>
      </w:r>
    </w:p>
    <w:p w:rsidR="00DF4F77" w:rsidRPr="00B87500" w:rsidRDefault="00DF4F77" w:rsidP="00DF4F77">
      <w:pPr>
        <w:pStyle w:val="FAREdotpoints"/>
      </w:pPr>
      <w:r w:rsidRPr="00B87500">
        <w:t>Balance of demand reduction, harm reduction and supply reduction</w:t>
      </w:r>
      <w:r w:rsidR="005B4859">
        <w:t>;</w:t>
      </w:r>
    </w:p>
    <w:p w:rsidR="00DF4F77" w:rsidRDefault="0048043A" w:rsidP="00DF4F77">
      <w:pPr>
        <w:pStyle w:val="FAREdotpoints"/>
      </w:pPr>
      <w:r>
        <w:t>Intra-</w:t>
      </w:r>
      <w:r w:rsidR="00DF4F77" w:rsidRPr="00B87500">
        <w:t>and inter-sectoral linkage, community connection</w:t>
      </w:r>
    </w:p>
    <w:p w:rsidR="00D57802" w:rsidRPr="00B87500" w:rsidRDefault="00D57802" w:rsidP="00D57802">
      <w:pPr>
        <w:pStyle w:val="FAREdotpoints"/>
        <w:numPr>
          <w:ilvl w:val="0"/>
          <w:numId w:val="0"/>
        </w:numPr>
        <w:ind w:left="720"/>
      </w:pPr>
    </w:p>
    <w:p w:rsidR="00DF4F77" w:rsidRPr="00872CA8" w:rsidRDefault="00DF4F77" w:rsidP="00173B16">
      <w:pPr>
        <w:pStyle w:val="FAREH2Nbr"/>
      </w:pPr>
      <w:bookmarkStart w:id="88" w:name="_Toc386108193"/>
      <w:bookmarkStart w:id="89" w:name="_Toc387426333"/>
      <w:bookmarkStart w:id="90" w:name="_Toc398105042"/>
      <w:r w:rsidRPr="00872CA8">
        <w:t>Summary</w:t>
      </w:r>
      <w:bookmarkEnd w:id="88"/>
      <w:bookmarkEnd w:id="89"/>
      <w:bookmarkEnd w:id="90"/>
    </w:p>
    <w:p w:rsidR="00DF4F77" w:rsidRPr="006B1350" w:rsidRDefault="00DF4F77" w:rsidP="00DF4F77">
      <w:pPr>
        <w:pStyle w:val="FAREnormaltext"/>
      </w:pPr>
      <w:r w:rsidRPr="006B1350">
        <w:t>The documentation of AOD treatment systems in each state and territory reveals some important commonalities as well as areas of difference. There are broad principles which are articulated in most relevant strategic policy documents. In essence, most systems strive to provide accessible, client-centred services which deliver evidence-based treatment within a harm-reduction framework. There is also a general aspiration that individual services are just one part of a larger interconnected system, including AOD services and other health and welfare services.</w:t>
      </w:r>
    </w:p>
    <w:p w:rsidR="00DF4F77" w:rsidRPr="006B1350" w:rsidRDefault="00DF4F77" w:rsidP="00DF4F77">
      <w:pPr>
        <w:pStyle w:val="FAREnormaltext"/>
      </w:pPr>
      <w:r w:rsidRPr="006B1350">
        <w:t>Assessment, counselling and withdrawal appear to be the cornerstone of treatment in many jurisdictions, although there is considerable variability in treatment utilised across the country. While some client characteristics are relatively homogenous across jurisdictions (e.g. gender, age, country of birth), there is considerable heterogeneity in terms of Indigenous status, primary drug</w:t>
      </w:r>
      <w:r w:rsidR="00845AC6">
        <w:t xml:space="preserve"> of concern and referral source, </w:t>
      </w:r>
      <w:r w:rsidR="00845AC6" w:rsidRPr="00845AC6">
        <w:t>although it is not clear that system variations are a direct response to differences in presenting populations or profiles</w:t>
      </w:r>
      <w:r w:rsidR="00845AC6">
        <w:t>.</w:t>
      </w:r>
    </w:p>
    <w:p w:rsidR="00DF4F77" w:rsidRPr="006B1350" w:rsidRDefault="00DF4F77" w:rsidP="00DF4F77">
      <w:pPr>
        <w:pStyle w:val="FAREnormaltext"/>
      </w:pPr>
      <w:r w:rsidRPr="006B1350">
        <w:lastRenderedPageBreak/>
        <w:t>There is a diversity of models of service provision across Australia. For example, there is variability in the ratio of GO to NGO services</w:t>
      </w:r>
      <w:r w:rsidR="0048043A">
        <w:t xml:space="preserve"> - in the </w:t>
      </w:r>
      <w:r w:rsidRPr="006B1350">
        <w:t xml:space="preserve">emphasis placed on different treatment types, </w:t>
      </w:r>
      <w:r w:rsidR="0048043A">
        <w:t xml:space="preserve">in </w:t>
      </w:r>
      <w:r w:rsidRPr="006B1350">
        <w:t xml:space="preserve">the degree of centralisation versus decentralisation, and </w:t>
      </w:r>
      <w:r w:rsidR="0048043A">
        <w:t xml:space="preserve">in </w:t>
      </w:r>
      <w:r w:rsidRPr="006B1350">
        <w:t>structural support for linkages with other services. There is apparent commitment in all states and territories to monitoring and accountability, although the mechanisms in place to support this vary by jurisdiction and it is an area for ongoing development. There is clear support for ensuring AOD service systems are accessible to, and responsive</w:t>
      </w:r>
      <w:r w:rsidR="005B4859">
        <w:t>,</w:t>
      </w:r>
      <w:r w:rsidRPr="006B1350">
        <w:t xml:space="preserve"> to the needs of clients. Further, ensuring the interconnectedness of services with each other and with other sectors is an objective in many states and territories, although the challenges in achieving this are widely recognised.</w:t>
      </w:r>
      <w:r w:rsidR="00690998">
        <w:t xml:space="preserve"> As mentioned earlier, a comprehensive review of the Australian AOD treatment system is under</w:t>
      </w:r>
      <w:r w:rsidR="0048043A">
        <w:t xml:space="preserve"> </w:t>
      </w:r>
      <w:r w:rsidR="00690998">
        <w:t>way. The review commenced after the consultations for this project were undertaken, but before reporting. To avoid duplication of effort, the synopses prepared for this project have been provided to the DPMP team to inform their project design and data collection.</w:t>
      </w:r>
    </w:p>
    <w:p w:rsidR="00DF4F77" w:rsidRPr="006B1350" w:rsidRDefault="00DF4F77" w:rsidP="00DF4F77">
      <w:pPr>
        <w:pStyle w:val="FAREnormaltext"/>
      </w:pPr>
      <w:r w:rsidRPr="006B1350">
        <w:t xml:space="preserve">Given the policy emphasis on accessible and interconnected service systems in most jurisdictions, it is not clear from the evidence gathered through the document review and consultation processes how well integrated existing AOD systems actually are. For example, it is not immediately clear from the synopses how clients initially access treatment, how they progress from one phase or type of treatment to another, and to what extent clients accessing AOD treatment also access other health and welfare agencies. </w:t>
      </w:r>
      <w:r w:rsidR="00845AC6" w:rsidRPr="00845AC6">
        <w:t>This links to the perceived omission around formal mechanisms for demand modelling and for mapping addiction and treatment careers. It is hoped the linkage work illustrated below will assist in addressing this issue.</w:t>
      </w:r>
      <w:r w:rsidRPr="006B1350">
        <w:t xml:space="preserve"> </w:t>
      </w:r>
    </w:p>
    <w:p w:rsidR="009B0C37" w:rsidRPr="00926621" w:rsidRDefault="009B0C37" w:rsidP="00872CA8">
      <w:pPr>
        <w:rPr>
          <w:sz w:val="18"/>
          <w:szCs w:val="18"/>
        </w:rPr>
      </w:pPr>
      <w:r w:rsidRPr="00926621">
        <w:rPr>
          <w:sz w:val="18"/>
          <w:szCs w:val="18"/>
        </w:rPr>
        <w:br w:type="page"/>
      </w:r>
    </w:p>
    <w:p w:rsidR="00EF5EE7" w:rsidRDefault="00E6080A" w:rsidP="00C2662D">
      <w:pPr>
        <w:pStyle w:val="Heading1"/>
      </w:pPr>
      <w:bookmarkStart w:id="91" w:name="_Toc398105043"/>
      <w:r>
        <w:lastRenderedPageBreak/>
        <w:t>Client survey data: b</w:t>
      </w:r>
      <w:r w:rsidR="00EF5EE7">
        <w:t>aseline and follow-up</w:t>
      </w:r>
      <w:bookmarkEnd w:id="91"/>
      <w:r w:rsidR="00EF5EE7">
        <w:t xml:space="preserve"> </w:t>
      </w:r>
    </w:p>
    <w:p w:rsidR="00D51944" w:rsidRPr="007A4CA5" w:rsidRDefault="00D51944" w:rsidP="00D51944">
      <w:pPr>
        <w:pStyle w:val="FAREnormaltext"/>
      </w:pPr>
      <w:bookmarkStart w:id="92" w:name="_Toc387426335"/>
      <w:r w:rsidRPr="007A4CA5">
        <w:t>The purpose of client interviews was four-fold: first</w:t>
      </w:r>
      <w:r w:rsidR="00845AC6" w:rsidRPr="007A4CA5">
        <w:t xml:space="preserve">ly our aim </w:t>
      </w:r>
      <w:r w:rsidR="00937ADC" w:rsidRPr="007A4CA5">
        <w:t>was</w:t>
      </w:r>
      <w:r w:rsidR="00845AC6" w:rsidRPr="007A4CA5">
        <w:t xml:space="preserve"> to </w:t>
      </w:r>
      <w:r w:rsidRPr="007A4CA5">
        <w:t xml:space="preserve">examine populations who engage in treatment in Victoria and WA, their </w:t>
      </w:r>
      <w:r w:rsidR="00937ADC" w:rsidRPr="007A4CA5">
        <w:t>substance use</w:t>
      </w:r>
      <w:r w:rsidRPr="007A4CA5">
        <w:t xml:space="preserve"> profile</w:t>
      </w:r>
      <w:r w:rsidR="00937ADC" w:rsidRPr="007A4CA5">
        <w:t xml:space="preserve"> and other presenting/complex needs</w:t>
      </w:r>
      <w:r w:rsidRPr="007A4CA5">
        <w:t>; second</w:t>
      </w:r>
      <w:r w:rsidR="00845AC6" w:rsidRPr="007A4CA5">
        <w:t>ly</w:t>
      </w:r>
      <w:r w:rsidRPr="007A4CA5">
        <w:t>, to examine the services engaged with at the primary index treatment (PIT) and the clients</w:t>
      </w:r>
      <w:r w:rsidR="00845AC6" w:rsidRPr="007A4CA5">
        <w:t>’</w:t>
      </w:r>
      <w:r w:rsidRPr="007A4CA5">
        <w:t xml:space="preserve"> recent history of help seeking; third</w:t>
      </w:r>
      <w:r w:rsidR="00845AC6" w:rsidRPr="007A4CA5">
        <w:t>ly</w:t>
      </w:r>
      <w:r w:rsidRPr="007A4CA5">
        <w:t>, to examine client pathways through AOD treatment and other forms of peer and professional help; and fourth</w:t>
      </w:r>
      <w:r w:rsidR="00845AC6" w:rsidRPr="007A4CA5">
        <w:t>ly</w:t>
      </w:r>
      <w:r w:rsidRPr="007A4CA5">
        <w:t>, to examine client outcomes achieved over this time and how they differ according to the extent of AOD service use and integration with other community services - i.e., the treatment pathway</w:t>
      </w:r>
      <w:r w:rsidR="00845AC6" w:rsidRPr="007A4CA5">
        <w:t xml:space="preserve"> engaged in</w:t>
      </w:r>
      <w:r w:rsidRPr="007A4CA5">
        <w:t>.</w:t>
      </w:r>
    </w:p>
    <w:p w:rsidR="00872CA8" w:rsidRPr="00872CA8" w:rsidRDefault="00872CA8" w:rsidP="00173B16">
      <w:pPr>
        <w:pStyle w:val="FAREH2Nbr"/>
      </w:pPr>
      <w:bookmarkStart w:id="93" w:name="_Toc398105044"/>
      <w:r w:rsidRPr="00872CA8">
        <w:t>Methods</w:t>
      </w:r>
      <w:bookmarkEnd w:id="92"/>
      <w:bookmarkEnd w:id="93"/>
    </w:p>
    <w:p w:rsidR="00872CA8" w:rsidRPr="00872CA8" w:rsidRDefault="00872CA8" w:rsidP="00872CA8">
      <w:pPr>
        <w:keepNext/>
        <w:keepLines/>
        <w:spacing w:before="120" w:after="120" w:line="240" w:lineRule="auto"/>
        <w:outlineLvl w:val="1"/>
        <w:rPr>
          <w:rFonts w:ascii="Cambria" w:eastAsia="SimSun" w:hAnsi="Cambria"/>
          <w:bCs/>
          <w:i/>
          <w:sz w:val="24"/>
          <w:szCs w:val="24"/>
        </w:rPr>
      </w:pPr>
      <w:r w:rsidRPr="00872CA8">
        <w:rPr>
          <w:rFonts w:ascii="Cambria" w:eastAsia="SimSun" w:hAnsi="Cambria"/>
          <w:bCs/>
          <w:i/>
          <w:sz w:val="24"/>
          <w:szCs w:val="24"/>
        </w:rPr>
        <w:t>Ethics approval</w:t>
      </w:r>
    </w:p>
    <w:p w:rsidR="00872CA8" w:rsidRPr="001E00EE" w:rsidRDefault="00872CA8" w:rsidP="00872CA8">
      <w:pPr>
        <w:pStyle w:val="FAREnormaltext"/>
      </w:pPr>
      <w:r w:rsidRPr="001E00EE">
        <w:t>Ethics approval for this project was obtained from Eastern Health Research and Ethics Committee (</w:t>
      </w:r>
      <w:r w:rsidR="00E60056">
        <w:t>LR28/1112 for the systems description</w:t>
      </w:r>
      <w:r w:rsidR="00143486">
        <w:t xml:space="preserve">; </w:t>
      </w:r>
      <w:r w:rsidRPr="001E00EE">
        <w:t>E17/1112</w:t>
      </w:r>
      <w:r w:rsidR="00E60056">
        <w:t xml:space="preserve"> for the client survey and qualitative component and</w:t>
      </w:r>
      <w:r w:rsidR="00143486">
        <w:t xml:space="preserve"> </w:t>
      </w:r>
      <w:r w:rsidR="00B12B11">
        <w:t>E60/1112</w:t>
      </w:r>
      <w:r w:rsidR="00E60056">
        <w:t xml:space="preserve"> for the linkage component</w:t>
      </w:r>
      <w:r w:rsidRPr="001E00EE">
        <w:t>), Monash University Human Research Ethics Committee (201200020) and Curtin University (HR11/2012)</w:t>
      </w:r>
      <w:r w:rsidR="00B83433">
        <w:t>.</w:t>
      </w:r>
    </w:p>
    <w:p w:rsidR="00872CA8" w:rsidRPr="00872CA8" w:rsidRDefault="00872CA8" w:rsidP="00872CA8">
      <w:pPr>
        <w:keepNext/>
        <w:keepLines/>
        <w:spacing w:before="120" w:after="120" w:line="240" w:lineRule="auto"/>
        <w:outlineLvl w:val="1"/>
        <w:rPr>
          <w:rFonts w:ascii="Cambria" w:eastAsia="SimSun" w:hAnsi="Cambria"/>
          <w:bCs/>
          <w:i/>
          <w:sz w:val="24"/>
          <w:szCs w:val="24"/>
        </w:rPr>
      </w:pPr>
      <w:r w:rsidRPr="00872CA8">
        <w:rPr>
          <w:rFonts w:ascii="Cambria" w:eastAsia="SimSun" w:hAnsi="Cambria"/>
          <w:bCs/>
          <w:i/>
          <w:sz w:val="24"/>
          <w:szCs w:val="24"/>
        </w:rPr>
        <w:t>Eligibility</w:t>
      </w:r>
    </w:p>
    <w:p w:rsidR="00872CA8" w:rsidRPr="001E00EE" w:rsidRDefault="00872CA8" w:rsidP="00872CA8">
      <w:pPr>
        <w:pStyle w:val="FAREnormaltext"/>
      </w:pPr>
      <w:r w:rsidRPr="001E00EE">
        <w:t xml:space="preserve">To be eligible for the study, AOD treatment service clients had to be aged over 18 and </w:t>
      </w:r>
      <w:r w:rsidR="006E7C94">
        <w:t xml:space="preserve">must </w:t>
      </w:r>
      <w:r w:rsidR="00190EFE" w:rsidRPr="001E00EE">
        <w:t>not</w:t>
      </w:r>
      <w:r w:rsidR="006E7C94">
        <w:t xml:space="preserve"> have</w:t>
      </w:r>
      <w:r w:rsidR="00190EFE" w:rsidRPr="001E00EE">
        <w:t xml:space="preserve"> participated in the same treatment type </w:t>
      </w:r>
      <w:r w:rsidR="00190EFE">
        <w:t xml:space="preserve">at the same service </w:t>
      </w:r>
      <w:r w:rsidR="00190EFE" w:rsidRPr="001E00EE">
        <w:t xml:space="preserve">in the three weeks prior to entering their </w:t>
      </w:r>
      <w:r w:rsidR="00190EFE">
        <w:t>primary index</w:t>
      </w:r>
      <w:r w:rsidR="00190EFE" w:rsidRPr="001E00EE">
        <w:t xml:space="preserve"> treatment</w:t>
      </w:r>
      <w:r w:rsidR="00190EFE">
        <w:t xml:space="preserve"> (PIT)</w:t>
      </w:r>
      <w:r w:rsidR="00190EFE" w:rsidRPr="001E00EE">
        <w:t>.</w:t>
      </w:r>
    </w:p>
    <w:p w:rsidR="00872CA8" w:rsidRPr="00872CA8" w:rsidRDefault="00872CA8" w:rsidP="00872CA8">
      <w:pPr>
        <w:keepNext/>
        <w:keepLines/>
        <w:spacing w:before="120" w:after="120" w:line="240" w:lineRule="auto"/>
        <w:outlineLvl w:val="1"/>
        <w:rPr>
          <w:rFonts w:ascii="Cambria" w:eastAsia="SimSun" w:hAnsi="Cambria"/>
          <w:bCs/>
          <w:i/>
          <w:sz w:val="24"/>
          <w:szCs w:val="24"/>
        </w:rPr>
      </w:pPr>
      <w:r w:rsidRPr="00872CA8">
        <w:rPr>
          <w:rFonts w:ascii="Cambria" w:eastAsia="SimSun" w:hAnsi="Cambria"/>
          <w:bCs/>
          <w:i/>
          <w:sz w:val="24"/>
          <w:szCs w:val="24"/>
        </w:rPr>
        <w:t>Recruitment</w:t>
      </w:r>
    </w:p>
    <w:p w:rsidR="00872CA8" w:rsidRDefault="00872CA8" w:rsidP="00872CA8">
      <w:pPr>
        <w:pStyle w:val="FAREnormaltext"/>
      </w:pPr>
      <w:r w:rsidRPr="001E00EE">
        <w:t xml:space="preserve">Management and staff of AOD treatment services were approached to assist with the recruitment of clients to the project. </w:t>
      </w:r>
      <w:proofErr w:type="gramStart"/>
      <w:r w:rsidRPr="001E00EE">
        <w:t>Staff were</w:t>
      </w:r>
      <w:proofErr w:type="gramEnd"/>
      <w:r w:rsidRPr="001E00EE">
        <w:t xml:space="preserve"> provided with a brief information sheet to show clients and were asked to collect the contact details of those who were interested in participating. The research team then made contact with the client to arrange a mutually convenient interview time, or, particularly for those in residential treatment, an interview appointment was made via the service.</w:t>
      </w:r>
    </w:p>
    <w:p w:rsidR="00872CA8" w:rsidRPr="00872CA8" w:rsidRDefault="00872CA8" w:rsidP="00872CA8">
      <w:pPr>
        <w:keepNext/>
        <w:keepLines/>
        <w:spacing w:before="120" w:after="120" w:line="240" w:lineRule="auto"/>
        <w:outlineLvl w:val="1"/>
        <w:rPr>
          <w:rFonts w:ascii="Cambria" w:eastAsia="SimSun" w:hAnsi="Cambria"/>
          <w:bCs/>
          <w:i/>
          <w:sz w:val="24"/>
          <w:szCs w:val="24"/>
        </w:rPr>
      </w:pPr>
      <w:r w:rsidRPr="00872CA8">
        <w:rPr>
          <w:rFonts w:ascii="Cambria" w:eastAsia="SimSun" w:hAnsi="Cambria"/>
          <w:bCs/>
          <w:i/>
          <w:sz w:val="24"/>
          <w:szCs w:val="24"/>
        </w:rPr>
        <w:t>Response rate</w:t>
      </w:r>
    </w:p>
    <w:p w:rsidR="00872CA8" w:rsidRPr="001E00EE" w:rsidRDefault="00872CA8" w:rsidP="00872CA8">
      <w:pPr>
        <w:pStyle w:val="FAREnormaltext"/>
      </w:pPr>
      <w:r w:rsidRPr="001E00EE">
        <w:t>A total of 1054 people provided contact details directly to the project team or via an AOD agency</w:t>
      </w:r>
      <w:r w:rsidR="00D51944">
        <w:t>,</w:t>
      </w:r>
      <w:r w:rsidRPr="001E00EE">
        <w:t xml:space="preserve"> and 796 participated in the baseline interview (i.e. 7</w:t>
      </w:r>
      <w:r w:rsidR="00D15BE7">
        <w:t>6</w:t>
      </w:r>
      <w:r w:rsidRPr="001E00EE">
        <w:t xml:space="preserve">% of those who initially provided contact details). Of the 258 people not interviewed </w:t>
      </w:r>
      <w:r w:rsidR="00845AC6">
        <w:t>at baseline</w:t>
      </w:r>
      <w:r w:rsidRPr="001E00EE">
        <w:t xml:space="preserve">, 26 were no longer interested in participating, 81 were ineligible (i.e. </w:t>
      </w:r>
      <w:r w:rsidR="006E7C94">
        <w:t>had received treatment in the past 3 weeks</w:t>
      </w:r>
      <w:r w:rsidRPr="001E00EE">
        <w:t>), 150 people were unreachable via contacts provided, and one person was deceased. It is impossible to determine the exact number of people who were notified about the project by AOD treatment service staff.</w:t>
      </w:r>
    </w:p>
    <w:p w:rsidR="00872CA8" w:rsidRPr="00872CA8" w:rsidRDefault="00872CA8" w:rsidP="00872CA8">
      <w:pPr>
        <w:keepNext/>
        <w:keepLines/>
        <w:spacing w:before="120" w:after="120" w:line="240" w:lineRule="auto"/>
        <w:outlineLvl w:val="1"/>
        <w:rPr>
          <w:rFonts w:ascii="Cambria" w:eastAsia="SimSun" w:hAnsi="Cambria"/>
          <w:bCs/>
          <w:i/>
          <w:sz w:val="24"/>
          <w:szCs w:val="24"/>
        </w:rPr>
      </w:pPr>
      <w:r w:rsidRPr="00872CA8">
        <w:rPr>
          <w:rFonts w:ascii="Cambria" w:eastAsia="SimSun" w:hAnsi="Cambria"/>
          <w:bCs/>
          <w:i/>
          <w:sz w:val="24"/>
          <w:szCs w:val="24"/>
        </w:rPr>
        <w:t>Settings</w:t>
      </w:r>
    </w:p>
    <w:p w:rsidR="00872CA8" w:rsidRPr="001E00EE" w:rsidRDefault="00872CA8" w:rsidP="00872CA8">
      <w:pPr>
        <w:pStyle w:val="FAREnormaltext"/>
      </w:pPr>
      <w:r w:rsidRPr="001E00EE">
        <w:t>Participants were recruited from a range of treatment agencies in Victoria (n=13) and Western Australia (n=8) representing the spectrum of AOD treatment services available (including various forms of outpatient and inpatient treatment and residential rehabilitation) in each jurisdiction. Interviews were conducted by a team of trained and experienced researchers from Turning Point (n=5), the National Drug Research Institute (NDRI) (n=7) and Monash University (n=1).</w:t>
      </w:r>
    </w:p>
    <w:p w:rsidR="00872CA8" w:rsidRPr="00872CA8" w:rsidRDefault="00872CA8" w:rsidP="00872CA8">
      <w:pPr>
        <w:keepNext/>
        <w:keepLines/>
        <w:spacing w:before="120" w:after="120" w:line="240" w:lineRule="auto"/>
        <w:outlineLvl w:val="1"/>
        <w:rPr>
          <w:rFonts w:ascii="Cambria" w:eastAsia="SimSun" w:hAnsi="Cambria"/>
          <w:bCs/>
          <w:i/>
          <w:sz w:val="24"/>
          <w:szCs w:val="24"/>
        </w:rPr>
      </w:pPr>
      <w:r w:rsidRPr="00872CA8">
        <w:rPr>
          <w:rFonts w:ascii="Cambria" w:eastAsia="SimSun" w:hAnsi="Cambria"/>
          <w:bCs/>
          <w:i/>
          <w:sz w:val="24"/>
          <w:szCs w:val="24"/>
        </w:rPr>
        <w:lastRenderedPageBreak/>
        <w:t xml:space="preserve">Sampling frame </w:t>
      </w:r>
    </w:p>
    <w:p w:rsidR="005B3259" w:rsidRPr="005B3259" w:rsidRDefault="005B3259" w:rsidP="005B3259">
      <w:pPr>
        <w:pStyle w:val="FAREnormaltext"/>
      </w:pPr>
      <w:r w:rsidRPr="005B3259">
        <w:t xml:space="preserve">The Victorian agencies in the sample were selected from the </w:t>
      </w:r>
      <w:proofErr w:type="spellStart"/>
      <w:r w:rsidRPr="005B3259">
        <w:t>statewide</w:t>
      </w:r>
      <w:proofErr w:type="spellEnd"/>
      <w:r w:rsidRPr="005B3259">
        <w:t xml:space="preserve"> telephone information and referral service at Turning Point, and represent those services in Victoria providing specialist Alcohol and Drug treatment services as represented by the National Minimum Dataset </w:t>
      </w:r>
      <w:r w:rsidR="006E7C94">
        <w:t>(AODTS-NMDS)</w:t>
      </w:r>
      <w:r w:rsidRPr="005B3259">
        <w:t xml:space="preserve"> with additional recruitment of clients receiving specialist pharmacotherapy services (SPS). For the Western Australia sample, agencies were identified via the Drug and Alcohol listing of services, produced by the Government of Western Australia, Drug and Alcohol Office. The rationale for the inclusion of clients of the SPS was that they represent a significant portion of people involved in AOD treatment at both the state and national level, but are not recorded in the same systems that contribute to the national </w:t>
      </w:r>
      <w:r w:rsidR="006E7C94">
        <w:t>AODTS-NMDS</w:t>
      </w:r>
      <w:r w:rsidRPr="005B3259">
        <w:t xml:space="preserve">. </w:t>
      </w:r>
    </w:p>
    <w:p w:rsidR="00872CA8" w:rsidRPr="005F3F17" w:rsidRDefault="00872CA8" w:rsidP="00872CA8">
      <w:pPr>
        <w:pStyle w:val="FAREnormaltext"/>
      </w:pPr>
      <w:r w:rsidRPr="005F3F17">
        <w:t>A number of exclusion criteria served to reduce the number of services from the initial database. Exclusion criteria included</w:t>
      </w:r>
      <w:r w:rsidR="00727386">
        <w:t>:</w:t>
      </w:r>
    </w:p>
    <w:p w:rsidR="00872CA8" w:rsidRPr="00872CA8" w:rsidRDefault="00872CA8" w:rsidP="00872CA8">
      <w:pPr>
        <w:pStyle w:val="FAREdotpoints"/>
      </w:pPr>
      <w:r w:rsidRPr="00872CA8">
        <w:t>Services where the target group is not described as having any alcohol and/or other drugs-related concerns</w:t>
      </w:r>
    </w:p>
    <w:p w:rsidR="00872CA8" w:rsidRPr="00872CA8" w:rsidRDefault="00872CA8" w:rsidP="00872CA8">
      <w:pPr>
        <w:pStyle w:val="FAREdotpoints"/>
      </w:pPr>
      <w:r w:rsidRPr="00872CA8">
        <w:t>Services that do not provide for primary users (e.g. significant others or family members of users as the target group, research groups)</w:t>
      </w:r>
    </w:p>
    <w:p w:rsidR="00872CA8" w:rsidRPr="00872CA8" w:rsidRDefault="00872CA8" w:rsidP="00872CA8">
      <w:pPr>
        <w:pStyle w:val="FAREdotpoints"/>
      </w:pPr>
      <w:r w:rsidRPr="00872CA8">
        <w:t>Justice services (although services providing mainstream services to people referred via the Justice system are not excluded)</w:t>
      </w:r>
    </w:p>
    <w:p w:rsidR="00872CA8" w:rsidRPr="00872CA8" w:rsidRDefault="00872CA8" w:rsidP="00872CA8">
      <w:pPr>
        <w:pStyle w:val="FAREdotpoints"/>
      </w:pPr>
      <w:r w:rsidRPr="00872CA8">
        <w:t>Services catering exclusively to clients in recovery</w:t>
      </w:r>
    </w:p>
    <w:p w:rsidR="00872CA8" w:rsidRPr="00872CA8" w:rsidRDefault="00872CA8" w:rsidP="00872CA8">
      <w:pPr>
        <w:pStyle w:val="FAREdotpoints"/>
      </w:pPr>
      <w:r w:rsidRPr="00872CA8">
        <w:t>Harm reduction services (i.e. AOD treatment is not the core service provided)</w:t>
      </w:r>
    </w:p>
    <w:p w:rsidR="00872CA8" w:rsidRPr="00872CA8" w:rsidRDefault="00872CA8" w:rsidP="00872CA8">
      <w:pPr>
        <w:pStyle w:val="FAREdotpoints"/>
      </w:pPr>
      <w:r w:rsidRPr="00872CA8">
        <w:t>Services catering exclusively to clients under the age of 18 years</w:t>
      </w:r>
    </w:p>
    <w:p w:rsidR="00872CA8" w:rsidRPr="00872CA8" w:rsidRDefault="00872CA8" w:rsidP="00872CA8">
      <w:pPr>
        <w:pStyle w:val="FAREdotpoints"/>
      </w:pPr>
      <w:r w:rsidRPr="00872CA8">
        <w:t xml:space="preserve">Services catering exclusively to Aboriginal and/or Torres Strait Islander people </w:t>
      </w:r>
    </w:p>
    <w:p w:rsidR="00872CA8" w:rsidRPr="00872CA8" w:rsidRDefault="00872CA8" w:rsidP="00872CA8">
      <w:pPr>
        <w:pStyle w:val="FAREnormaltext"/>
      </w:pPr>
      <w:r w:rsidRPr="00872CA8">
        <w:t xml:space="preserve">Following exclusion of services not fitting the target criteria, those services from the remaining catalogue of services were prioritised, with services providing multiple relevant AOD treatment types selected as the primary focus for inclusion in the sample. Other services, providing a smaller selection of treatment options (including those providing a single treatment type), were then selected in order to supplement the services already selected as part of the sample. </w:t>
      </w:r>
    </w:p>
    <w:p w:rsidR="00872CA8" w:rsidRPr="00872CA8" w:rsidRDefault="00872CA8" w:rsidP="00872CA8">
      <w:pPr>
        <w:pStyle w:val="FAREnormaltext"/>
      </w:pPr>
      <w:r w:rsidRPr="00872CA8">
        <w:t xml:space="preserve">The agencies selected at this initial stage were then sent invitations to participate in the study, followed by briefing meetings. Those agencies who responded positively to the invitation to form part of the sample group were included. Once confirmation of the involvement of a number of agencies has been achieved, the existing sample was re-examined. </w:t>
      </w:r>
      <w:r w:rsidR="009D3A88" w:rsidRPr="00872CA8">
        <w:t xml:space="preserve">A number of factors were considered, particularly the geographical distribution of agencies across catchment areas, as well as sufficient representation from </w:t>
      </w:r>
      <w:r w:rsidR="009D3A88">
        <w:t>major</w:t>
      </w:r>
      <w:r w:rsidR="009D3A88" w:rsidRPr="00872CA8">
        <w:t xml:space="preserve"> treatment </w:t>
      </w:r>
      <w:r w:rsidR="009D3A88">
        <w:t xml:space="preserve">types. </w:t>
      </w:r>
      <w:r w:rsidRPr="00872CA8">
        <w:t xml:space="preserve">Once these criteria were considered to be sufficiently addressed, it was decided that no further agencies were required in order to meet the estimated quota of referrals necessary to meet the interview quota. The final sample included 20 agencies (12 in Victoria; 8 in WA), which included 37 sites (21 outpatient providers; 8 inpatient withdrawal units; 6 residential rehabilitation services (including TC); and 2 supported accommodation services (See </w:t>
      </w:r>
      <w:r w:rsidR="009415A2">
        <w:t xml:space="preserve">Appendix </w:t>
      </w:r>
      <w:r w:rsidR="00071415">
        <w:t>2</w:t>
      </w:r>
      <w:r w:rsidR="002461FE">
        <w:t>.1</w:t>
      </w:r>
      <w:r w:rsidR="009415A2">
        <w:t xml:space="preserve"> </w:t>
      </w:r>
      <w:r w:rsidRPr="00872CA8">
        <w:t>for a list of AOD agencies involved as recruitment sites</w:t>
      </w:r>
      <w:r w:rsidR="00951D1B">
        <w:t xml:space="preserve"> - </w:t>
      </w:r>
    </w:p>
    <w:p w:rsidR="00413BF2" w:rsidRPr="00413BF2" w:rsidRDefault="00413BF2" w:rsidP="00413BF2">
      <w:pPr>
        <w:keepNext/>
        <w:keepLines/>
        <w:spacing w:before="120" w:after="120" w:line="240" w:lineRule="auto"/>
        <w:outlineLvl w:val="0"/>
        <w:rPr>
          <w:rFonts w:ascii="Cambria" w:eastAsia="SimSun" w:hAnsi="Cambria"/>
          <w:bCs/>
          <w:i/>
          <w:sz w:val="24"/>
          <w:szCs w:val="24"/>
        </w:rPr>
      </w:pPr>
      <w:r w:rsidRPr="00413BF2">
        <w:rPr>
          <w:rFonts w:ascii="Cambria" w:eastAsia="SimSun" w:hAnsi="Cambria"/>
          <w:bCs/>
          <w:i/>
          <w:sz w:val="24"/>
          <w:szCs w:val="24"/>
        </w:rPr>
        <w:lastRenderedPageBreak/>
        <w:t>Measures</w:t>
      </w:r>
    </w:p>
    <w:p w:rsidR="00972B3E" w:rsidRPr="005F3F17" w:rsidRDefault="006D29AE" w:rsidP="00972B3E">
      <w:pPr>
        <w:pStyle w:val="FAREnormaltext"/>
      </w:pPr>
      <w:r>
        <w:t xml:space="preserve">Clients participating in the study </w:t>
      </w:r>
      <w:r w:rsidR="00972B3E" w:rsidRPr="005F3F17">
        <w:t xml:space="preserve">completed a comprehensive assessment interview at baseline and again at follow-up assessing the areas listed below. Standardised instruments that have been validated on Australian populations were used where available. </w:t>
      </w:r>
    </w:p>
    <w:p w:rsidR="00972B3E" w:rsidRPr="005F3F17" w:rsidRDefault="00972B3E" w:rsidP="00972B3E">
      <w:pPr>
        <w:spacing w:after="80" w:line="360" w:lineRule="auto"/>
        <w:ind w:left="714" w:hanging="357"/>
        <w:rPr>
          <w:rFonts w:asciiTheme="minorHAnsi" w:eastAsia="SimSun" w:hAnsiTheme="minorHAnsi" w:cs="Arial"/>
        </w:rPr>
      </w:pPr>
      <w:r w:rsidRPr="00415291">
        <w:rPr>
          <w:rFonts w:ascii="Times New Roman" w:hAnsi="Times New Roman"/>
          <w:lang w:val="en-GB"/>
        </w:rPr>
        <w:t>(</w:t>
      </w:r>
      <w:proofErr w:type="spellStart"/>
      <w:r w:rsidRPr="005F3F17">
        <w:rPr>
          <w:rFonts w:asciiTheme="minorHAnsi" w:eastAsia="SimSun" w:hAnsiTheme="minorHAnsi" w:cs="Arial"/>
        </w:rPr>
        <w:t>i</w:t>
      </w:r>
      <w:proofErr w:type="spellEnd"/>
      <w:r w:rsidRPr="005F3F17">
        <w:rPr>
          <w:rFonts w:asciiTheme="minorHAnsi" w:eastAsia="SimSun" w:hAnsiTheme="minorHAnsi" w:cs="Arial"/>
        </w:rPr>
        <w:t>) Participant characteristics</w:t>
      </w:r>
      <w:r w:rsidR="004F3B68">
        <w:rPr>
          <w:rFonts w:asciiTheme="minorHAnsi" w:eastAsia="SimSun" w:hAnsiTheme="minorHAnsi" w:cs="Arial"/>
        </w:rPr>
        <w:t>.</w:t>
      </w:r>
      <w:r w:rsidRPr="005F3F17">
        <w:rPr>
          <w:rFonts w:asciiTheme="minorHAnsi" w:eastAsia="SimSun" w:hAnsiTheme="minorHAnsi" w:cs="Arial"/>
        </w:rPr>
        <w:t xml:space="preserve"> </w:t>
      </w:r>
    </w:p>
    <w:p w:rsidR="00972B3E" w:rsidRPr="005F3F17" w:rsidRDefault="00972B3E" w:rsidP="00972B3E">
      <w:pPr>
        <w:spacing w:after="80" w:line="360" w:lineRule="auto"/>
        <w:ind w:left="714" w:hanging="357"/>
        <w:rPr>
          <w:rFonts w:asciiTheme="minorHAnsi" w:eastAsia="SimSun" w:hAnsiTheme="minorHAnsi" w:cs="Arial"/>
        </w:rPr>
      </w:pPr>
      <w:r w:rsidRPr="005F3F17">
        <w:rPr>
          <w:rFonts w:asciiTheme="minorHAnsi" w:eastAsia="SimSun" w:hAnsiTheme="minorHAnsi" w:cs="Arial"/>
        </w:rPr>
        <w:t>(ii) Pattern of substance indicated by frequency and quantity of use of all licit and illicit substances in the past 30 days</w:t>
      </w:r>
      <w:r w:rsidR="004F3B68">
        <w:rPr>
          <w:rFonts w:asciiTheme="minorHAnsi" w:eastAsia="SimSun" w:hAnsiTheme="minorHAnsi" w:cs="Arial"/>
        </w:rPr>
        <w:t>.</w:t>
      </w:r>
    </w:p>
    <w:p w:rsidR="00972B3E" w:rsidRPr="005F3F17" w:rsidRDefault="00972B3E" w:rsidP="00972B3E">
      <w:pPr>
        <w:spacing w:after="80" w:line="360" w:lineRule="auto"/>
        <w:ind w:left="714" w:hanging="357"/>
        <w:rPr>
          <w:rFonts w:asciiTheme="minorHAnsi" w:eastAsia="SimSun" w:hAnsiTheme="minorHAnsi" w:cs="Arial"/>
        </w:rPr>
      </w:pPr>
      <w:r w:rsidRPr="005F3F17">
        <w:rPr>
          <w:rFonts w:asciiTheme="minorHAnsi" w:eastAsia="SimSun" w:hAnsiTheme="minorHAnsi" w:cs="Arial"/>
        </w:rPr>
        <w:t xml:space="preserve">(iii) Problem severity using the Severity of Dependence </w:t>
      </w:r>
      <w:r>
        <w:rPr>
          <w:rFonts w:asciiTheme="minorHAnsi" w:eastAsia="SimSun" w:hAnsiTheme="minorHAnsi" w:cs="Arial"/>
        </w:rPr>
        <w:t>Scale.</w:t>
      </w:r>
    </w:p>
    <w:p w:rsidR="00972B3E" w:rsidRPr="005F3F17" w:rsidRDefault="00972B3E" w:rsidP="00972B3E">
      <w:pPr>
        <w:spacing w:after="80" w:line="360" w:lineRule="auto"/>
        <w:ind w:left="714" w:hanging="357"/>
        <w:rPr>
          <w:rFonts w:asciiTheme="minorHAnsi" w:eastAsia="SimSun" w:hAnsiTheme="minorHAnsi" w:cs="Arial"/>
        </w:rPr>
      </w:pPr>
      <w:proofErr w:type="gramStart"/>
      <w:r w:rsidRPr="005F3F17">
        <w:rPr>
          <w:rFonts w:asciiTheme="minorHAnsi" w:eastAsia="SimSun" w:hAnsiTheme="minorHAnsi" w:cs="Arial"/>
        </w:rPr>
        <w:t>(iv) Quality of life</w:t>
      </w:r>
      <w:proofErr w:type="gramEnd"/>
      <w:r w:rsidRPr="005F3F17">
        <w:rPr>
          <w:rFonts w:asciiTheme="minorHAnsi" w:eastAsia="SimSun" w:hAnsiTheme="minorHAnsi" w:cs="Arial"/>
        </w:rPr>
        <w:t xml:space="preserve"> – using the WHO-</w:t>
      </w:r>
      <w:r w:rsidR="00EE7A8F">
        <w:rPr>
          <w:rFonts w:asciiTheme="minorHAnsi" w:eastAsia="SimSun" w:hAnsiTheme="minorHAnsi" w:cs="Arial"/>
        </w:rPr>
        <w:t>QOL</w:t>
      </w:r>
      <w:r w:rsidRPr="005F3F17">
        <w:rPr>
          <w:rFonts w:asciiTheme="minorHAnsi" w:eastAsia="SimSun" w:hAnsiTheme="minorHAnsi" w:cs="Arial"/>
        </w:rPr>
        <w:t xml:space="preserve"> BREF which provides a global measure of well-being, with four sub-domains; psychological, physical, social, and environmental. </w:t>
      </w:r>
    </w:p>
    <w:p w:rsidR="00972B3E" w:rsidRPr="005F3F17" w:rsidRDefault="00972B3E" w:rsidP="00972B3E">
      <w:pPr>
        <w:spacing w:after="80" w:line="360" w:lineRule="auto"/>
        <w:ind w:left="714" w:hanging="357"/>
        <w:rPr>
          <w:rFonts w:asciiTheme="minorHAnsi" w:eastAsia="SimSun" w:hAnsiTheme="minorHAnsi" w:cs="Arial"/>
        </w:rPr>
      </w:pPr>
      <w:r w:rsidRPr="005F3F17">
        <w:rPr>
          <w:rFonts w:asciiTheme="minorHAnsi" w:eastAsia="SimSun" w:hAnsiTheme="minorHAnsi" w:cs="Arial"/>
        </w:rPr>
        <w:t>(v) Health, social/welfare and acute service utilisation in the previous 12-months was captured using a tool developed specifically to record referral pathways and number of visits</w:t>
      </w:r>
      <w:r w:rsidR="004F3B68">
        <w:rPr>
          <w:rFonts w:asciiTheme="minorHAnsi" w:eastAsia="SimSun" w:hAnsiTheme="minorHAnsi" w:cs="Arial"/>
        </w:rPr>
        <w:t xml:space="preserve"> </w:t>
      </w:r>
      <w:r w:rsidR="00F45E30">
        <w:rPr>
          <w:rFonts w:asciiTheme="minorHAnsi" w:eastAsia="SimSun" w:hAnsiTheme="minorHAnsi" w:cs="Arial"/>
        </w:rPr>
        <w:t>(</w:t>
      </w:r>
      <w:r w:rsidR="004F3B68">
        <w:rPr>
          <w:rFonts w:asciiTheme="minorHAnsi" w:eastAsia="SimSun" w:hAnsiTheme="minorHAnsi" w:cs="Arial"/>
        </w:rPr>
        <w:t>deta</w:t>
      </w:r>
      <w:r w:rsidR="00B73C8D">
        <w:rPr>
          <w:rFonts w:asciiTheme="minorHAnsi" w:eastAsia="SimSun" w:hAnsiTheme="minorHAnsi" w:cs="Arial"/>
        </w:rPr>
        <w:t>ils collected for up to 5 contacts</w:t>
      </w:r>
      <w:r w:rsidR="00B73C8D">
        <w:rPr>
          <w:rStyle w:val="FootnoteReference"/>
          <w:rFonts w:asciiTheme="minorHAnsi" w:eastAsia="SimSun" w:hAnsiTheme="minorHAnsi" w:cs="Arial"/>
        </w:rPr>
        <w:footnoteReference w:id="5"/>
      </w:r>
      <w:r w:rsidR="004F3B68">
        <w:rPr>
          <w:rFonts w:asciiTheme="minorHAnsi" w:eastAsia="SimSun" w:hAnsiTheme="minorHAnsi" w:cs="Arial"/>
        </w:rPr>
        <w:t>)</w:t>
      </w:r>
      <w:r w:rsidRPr="005F3F17">
        <w:rPr>
          <w:rFonts w:asciiTheme="minorHAnsi" w:eastAsia="SimSun" w:hAnsiTheme="minorHAnsi" w:cs="Arial"/>
        </w:rPr>
        <w:t xml:space="preserve"> across the following areas: withdrawal services</w:t>
      </w:r>
      <w:r w:rsidR="004F3B68">
        <w:rPr>
          <w:rFonts w:asciiTheme="minorHAnsi" w:eastAsia="SimSun" w:hAnsiTheme="minorHAnsi" w:cs="Arial"/>
        </w:rPr>
        <w:t xml:space="preserve">; </w:t>
      </w:r>
      <w:r w:rsidRPr="005F3F17">
        <w:rPr>
          <w:rFonts w:asciiTheme="minorHAnsi" w:eastAsia="SimSun" w:hAnsiTheme="minorHAnsi" w:cs="Arial"/>
        </w:rPr>
        <w:t>outpatient counselling</w:t>
      </w:r>
      <w:r w:rsidR="004F3B68">
        <w:rPr>
          <w:rFonts w:asciiTheme="minorHAnsi" w:eastAsia="SimSun" w:hAnsiTheme="minorHAnsi" w:cs="Arial"/>
        </w:rPr>
        <w:t>;</w:t>
      </w:r>
      <w:r w:rsidR="004F3B68" w:rsidRPr="005F3F17">
        <w:rPr>
          <w:rFonts w:asciiTheme="minorHAnsi" w:eastAsia="SimSun" w:hAnsiTheme="minorHAnsi" w:cs="Arial"/>
        </w:rPr>
        <w:t xml:space="preserve"> </w:t>
      </w:r>
      <w:r w:rsidR="00F45E30">
        <w:rPr>
          <w:rFonts w:asciiTheme="minorHAnsi" w:eastAsia="SimSun" w:hAnsiTheme="minorHAnsi" w:cs="Arial"/>
        </w:rPr>
        <w:t xml:space="preserve">residential </w:t>
      </w:r>
      <w:r w:rsidRPr="005F3F17">
        <w:rPr>
          <w:rFonts w:asciiTheme="minorHAnsi" w:eastAsia="SimSun" w:hAnsiTheme="minorHAnsi" w:cs="Arial"/>
        </w:rPr>
        <w:t>rehabilitation</w:t>
      </w:r>
      <w:r w:rsidR="004F3B68">
        <w:rPr>
          <w:rFonts w:asciiTheme="minorHAnsi" w:eastAsia="SimSun" w:hAnsiTheme="minorHAnsi" w:cs="Arial"/>
        </w:rPr>
        <w:t>;</w:t>
      </w:r>
      <w:r w:rsidR="004F3B68" w:rsidRPr="005F3F17">
        <w:rPr>
          <w:rFonts w:asciiTheme="minorHAnsi" w:eastAsia="SimSun" w:hAnsiTheme="minorHAnsi" w:cs="Arial"/>
        </w:rPr>
        <w:t xml:space="preserve"> </w:t>
      </w:r>
      <w:r w:rsidRPr="005F3F17">
        <w:rPr>
          <w:rFonts w:asciiTheme="minorHAnsi" w:eastAsia="SimSun" w:hAnsiTheme="minorHAnsi" w:cs="Arial"/>
        </w:rPr>
        <w:t>peer-support/self-help programmes</w:t>
      </w:r>
      <w:r w:rsidR="004F3B68">
        <w:rPr>
          <w:rFonts w:asciiTheme="minorHAnsi" w:eastAsia="SimSun" w:hAnsiTheme="minorHAnsi" w:cs="Arial"/>
        </w:rPr>
        <w:t xml:space="preserve">; </w:t>
      </w:r>
      <w:r w:rsidRPr="005F3F17">
        <w:rPr>
          <w:rFonts w:asciiTheme="minorHAnsi" w:eastAsia="SimSun" w:hAnsiTheme="minorHAnsi" w:cs="Arial"/>
        </w:rPr>
        <w:t>GP</w:t>
      </w:r>
      <w:r w:rsidR="004F3B68">
        <w:rPr>
          <w:rFonts w:asciiTheme="minorHAnsi" w:eastAsia="SimSun" w:hAnsiTheme="minorHAnsi" w:cs="Arial"/>
        </w:rPr>
        <w:t xml:space="preserve">; </w:t>
      </w:r>
      <w:r w:rsidR="004F3B68" w:rsidRPr="005F3F17">
        <w:rPr>
          <w:rFonts w:asciiTheme="minorHAnsi" w:eastAsia="SimSun" w:hAnsiTheme="minorHAnsi" w:cs="Arial"/>
        </w:rPr>
        <w:t xml:space="preserve"> </w:t>
      </w:r>
      <w:r w:rsidRPr="005F3F17">
        <w:rPr>
          <w:rFonts w:asciiTheme="minorHAnsi" w:eastAsia="SimSun" w:hAnsiTheme="minorHAnsi" w:cs="Arial"/>
        </w:rPr>
        <w:t>ambulance</w:t>
      </w:r>
      <w:r w:rsidR="004F3B68">
        <w:rPr>
          <w:rFonts w:asciiTheme="minorHAnsi" w:eastAsia="SimSun" w:hAnsiTheme="minorHAnsi" w:cs="Arial"/>
        </w:rPr>
        <w:t>;</w:t>
      </w:r>
      <w:r w:rsidR="00F45E30">
        <w:rPr>
          <w:rFonts w:asciiTheme="minorHAnsi" w:eastAsia="SimSun" w:hAnsiTheme="minorHAnsi" w:cs="Arial"/>
        </w:rPr>
        <w:t xml:space="preserve"> </w:t>
      </w:r>
      <w:r w:rsidRPr="005F3F17">
        <w:rPr>
          <w:rFonts w:asciiTheme="minorHAnsi" w:eastAsia="SimSun" w:hAnsiTheme="minorHAnsi" w:cs="Arial"/>
        </w:rPr>
        <w:t>hospital emergency departments</w:t>
      </w:r>
      <w:r w:rsidR="00E75C62">
        <w:rPr>
          <w:rFonts w:asciiTheme="minorHAnsi" w:eastAsia="SimSun" w:hAnsiTheme="minorHAnsi" w:cs="Arial"/>
        </w:rPr>
        <w:t>;</w:t>
      </w:r>
      <w:r w:rsidR="00E75C62" w:rsidRPr="005F3F17">
        <w:rPr>
          <w:rFonts w:asciiTheme="minorHAnsi" w:eastAsia="SimSun" w:hAnsiTheme="minorHAnsi" w:cs="Arial"/>
        </w:rPr>
        <w:t xml:space="preserve"> </w:t>
      </w:r>
      <w:r w:rsidRPr="005F3F17">
        <w:rPr>
          <w:rFonts w:asciiTheme="minorHAnsi" w:eastAsia="SimSun" w:hAnsiTheme="minorHAnsi" w:cs="Arial"/>
        </w:rPr>
        <w:t>hospital inpatient services</w:t>
      </w:r>
      <w:r w:rsidR="00E75C62">
        <w:rPr>
          <w:rFonts w:asciiTheme="minorHAnsi" w:eastAsia="SimSun" w:hAnsiTheme="minorHAnsi" w:cs="Arial"/>
        </w:rPr>
        <w:t>;</w:t>
      </w:r>
      <w:r w:rsidR="00E75C62" w:rsidRPr="005F3F17">
        <w:rPr>
          <w:rFonts w:asciiTheme="minorHAnsi" w:eastAsia="SimSun" w:hAnsiTheme="minorHAnsi" w:cs="Arial"/>
        </w:rPr>
        <w:t xml:space="preserve"> </w:t>
      </w:r>
      <w:r w:rsidRPr="005F3F17">
        <w:rPr>
          <w:rFonts w:asciiTheme="minorHAnsi" w:eastAsia="SimSun" w:hAnsiTheme="minorHAnsi" w:cs="Arial"/>
        </w:rPr>
        <w:t>mental health services</w:t>
      </w:r>
      <w:r w:rsidR="00E75C62">
        <w:rPr>
          <w:rFonts w:asciiTheme="minorHAnsi" w:eastAsia="SimSun" w:hAnsiTheme="minorHAnsi" w:cs="Arial"/>
        </w:rPr>
        <w:t>;</w:t>
      </w:r>
      <w:r w:rsidR="00E75C62" w:rsidRPr="005F3F17">
        <w:rPr>
          <w:rFonts w:asciiTheme="minorHAnsi" w:eastAsia="SimSun" w:hAnsiTheme="minorHAnsi" w:cs="Arial"/>
        </w:rPr>
        <w:t xml:space="preserve"> </w:t>
      </w:r>
      <w:r w:rsidRPr="005F3F17">
        <w:rPr>
          <w:rFonts w:asciiTheme="minorHAnsi" w:eastAsia="SimSun" w:hAnsiTheme="minorHAnsi" w:cs="Arial"/>
        </w:rPr>
        <w:t>legal aid</w:t>
      </w:r>
      <w:r w:rsidR="00E75C62">
        <w:rPr>
          <w:rFonts w:asciiTheme="minorHAnsi" w:eastAsia="SimSun" w:hAnsiTheme="minorHAnsi" w:cs="Arial"/>
        </w:rPr>
        <w:t>;</w:t>
      </w:r>
      <w:r w:rsidR="00E75C62" w:rsidRPr="005F3F17">
        <w:rPr>
          <w:rFonts w:asciiTheme="minorHAnsi" w:eastAsia="SimSun" w:hAnsiTheme="minorHAnsi" w:cs="Arial"/>
        </w:rPr>
        <w:t xml:space="preserve"> </w:t>
      </w:r>
      <w:r w:rsidRPr="005F3F17">
        <w:rPr>
          <w:rFonts w:asciiTheme="minorHAnsi" w:eastAsia="SimSun" w:hAnsiTheme="minorHAnsi" w:cs="Arial"/>
        </w:rPr>
        <w:t>financial counselling</w:t>
      </w:r>
      <w:r w:rsidR="00E75C62">
        <w:rPr>
          <w:rFonts w:asciiTheme="minorHAnsi" w:eastAsia="SimSun" w:hAnsiTheme="minorHAnsi" w:cs="Arial"/>
        </w:rPr>
        <w:t>;</w:t>
      </w:r>
      <w:r w:rsidR="00E75C62" w:rsidRPr="005F3F17">
        <w:rPr>
          <w:rFonts w:asciiTheme="minorHAnsi" w:eastAsia="SimSun" w:hAnsiTheme="minorHAnsi" w:cs="Arial"/>
        </w:rPr>
        <w:t xml:space="preserve"> </w:t>
      </w:r>
      <w:r w:rsidRPr="005F3F17">
        <w:rPr>
          <w:rFonts w:asciiTheme="minorHAnsi" w:eastAsia="SimSun" w:hAnsiTheme="minorHAnsi" w:cs="Arial"/>
        </w:rPr>
        <w:t>employment services</w:t>
      </w:r>
      <w:r w:rsidR="00E75C62">
        <w:rPr>
          <w:rFonts w:asciiTheme="minorHAnsi" w:eastAsia="SimSun" w:hAnsiTheme="minorHAnsi" w:cs="Arial"/>
        </w:rPr>
        <w:t>;</w:t>
      </w:r>
      <w:r w:rsidR="00E75C62" w:rsidRPr="005F3F17">
        <w:rPr>
          <w:rFonts w:asciiTheme="minorHAnsi" w:eastAsia="SimSun" w:hAnsiTheme="minorHAnsi" w:cs="Arial"/>
        </w:rPr>
        <w:t xml:space="preserve"> </w:t>
      </w:r>
      <w:r w:rsidRPr="005F3F17">
        <w:rPr>
          <w:rFonts w:asciiTheme="minorHAnsi" w:eastAsia="SimSun" w:hAnsiTheme="minorHAnsi" w:cs="Arial"/>
        </w:rPr>
        <w:t>family/relationship counselling</w:t>
      </w:r>
      <w:r w:rsidR="00E75C62">
        <w:rPr>
          <w:rFonts w:asciiTheme="minorHAnsi" w:eastAsia="SimSun" w:hAnsiTheme="minorHAnsi" w:cs="Arial"/>
        </w:rPr>
        <w:t>;</w:t>
      </w:r>
      <w:r w:rsidR="00E75C62" w:rsidRPr="005F3F17">
        <w:rPr>
          <w:rFonts w:asciiTheme="minorHAnsi" w:eastAsia="SimSun" w:hAnsiTheme="minorHAnsi" w:cs="Arial"/>
        </w:rPr>
        <w:t xml:space="preserve"> </w:t>
      </w:r>
      <w:r w:rsidRPr="005F3F17">
        <w:rPr>
          <w:rFonts w:asciiTheme="minorHAnsi" w:eastAsia="SimSun" w:hAnsiTheme="minorHAnsi" w:cs="Arial"/>
        </w:rPr>
        <w:t>housing, other services</w:t>
      </w:r>
      <w:r w:rsidR="00E75C62">
        <w:rPr>
          <w:rFonts w:asciiTheme="minorHAnsi" w:eastAsia="SimSun" w:hAnsiTheme="minorHAnsi" w:cs="Arial"/>
        </w:rPr>
        <w:t>;</w:t>
      </w:r>
      <w:r w:rsidR="00E75C62" w:rsidRPr="005F3F17">
        <w:rPr>
          <w:rFonts w:asciiTheme="minorHAnsi" w:eastAsia="SimSun" w:hAnsiTheme="minorHAnsi" w:cs="Arial"/>
        </w:rPr>
        <w:t xml:space="preserve"> </w:t>
      </w:r>
      <w:r w:rsidRPr="005F3F17">
        <w:rPr>
          <w:rFonts w:asciiTheme="minorHAnsi" w:eastAsia="SimSun" w:hAnsiTheme="minorHAnsi" w:cs="Arial"/>
        </w:rPr>
        <w:t>criminal justice involvement.</w:t>
      </w:r>
    </w:p>
    <w:p w:rsidR="00972B3E" w:rsidRPr="005F3F17" w:rsidRDefault="00972B3E" w:rsidP="00972B3E">
      <w:pPr>
        <w:spacing w:after="80" w:line="360" w:lineRule="auto"/>
        <w:ind w:left="714" w:hanging="357"/>
        <w:rPr>
          <w:rFonts w:asciiTheme="minorHAnsi" w:eastAsia="SimSun" w:hAnsiTheme="minorHAnsi" w:cs="Arial"/>
        </w:rPr>
      </w:pPr>
      <w:proofErr w:type="gramStart"/>
      <w:r w:rsidRPr="005F3F17">
        <w:rPr>
          <w:rFonts w:asciiTheme="minorHAnsi" w:eastAsia="SimSun" w:hAnsiTheme="minorHAnsi" w:cs="Arial"/>
        </w:rPr>
        <w:t>(v</w:t>
      </w:r>
      <w:r>
        <w:rPr>
          <w:rFonts w:asciiTheme="minorHAnsi" w:eastAsia="SimSun" w:hAnsiTheme="minorHAnsi" w:cs="Arial"/>
        </w:rPr>
        <w:t>i) Other</w:t>
      </w:r>
      <w:proofErr w:type="gramEnd"/>
      <w:r>
        <w:rPr>
          <w:rFonts w:asciiTheme="minorHAnsi" w:eastAsia="SimSun" w:hAnsiTheme="minorHAnsi" w:cs="Arial"/>
        </w:rPr>
        <w:t xml:space="preserve"> measures included</w:t>
      </w:r>
      <w:r w:rsidR="00E75C62">
        <w:rPr>
          <w:rFonts w:asciiTheme="minorHAnsi" w:eastAsia="SimSun" w:hAnsiTheme="minorHAnsi" w:cs="Arial"/>
        </w:rPr>
        <w:t>:</w:t>
      </w:r>
      <w:r>
        <w:rPr>
          <w:rFonts w:asciiTheme="minorHAnsi" w:eastAsia="SimSun" w:hAnsiTheme="minorHAnsi" w:cs="Arial"/>
        </w:rPr>
        <w:t xml:space="preserve"> the assessment of perceived levels of community support available</w:t>
      </w:r>
      <w:r w:rsidR="00D72E09">
        <w:rPr>
          <w:rFonts w:asciiTheme="minorHAnsi" w:eastAsia="SimSun" w:hAnsiTheme="minorHAnsi" w:cs="Arial"/>
        </w:rPr>
        <w:t xml:space="preserve">; </w:t>
      </w:r>
      <w:r>
        <w:rPr>
          <w:rFonts w:asciiTheme="minorHAnsi" w:eastAsia="SimSun" w:hAnsiTheme="minorHAnsi" w:cs="Arial"/>
        </w:rPr>
        <w:t>perceived level of support from family,</w:t>
      </w:r>
      <w:r w:rsidR="00D72E09">
        <w:rPr>
          <w:rFonts w:asciiTheme="minorHAnsi" w:eastAsia="SimSun" w:hAnsiTheme="minorHAnsi" w:cs="Arial"/>
        </w:rPr>
        <w:t xml:space="preserve"> </w:t>
      </w:r>
      <w:r>
        <w:rPr>
          <w:rFonts w:asciiTheme="minorHAnsi" w:eastAsia="SimSun" w:hAnsiTheme="minorHAnsi" w:cs="Arial"/>
        </w:rPr>
        <w:t>friends and significant others</w:t>
      </w:r>
      <w:r w:rsidR="00D72E09">
        <w:rPr>
          <w:rFonts w:asciiTheme="minorHAnsi" w:eastAsia="SimSun" w:hAnsiTheme="minorHAnsi" w:cs="Arial"/>
        </w:rPr>
        <w:t xml:space="preserve">; </w:t>
      </w:r>
      <w:r w:rsidRPr="005F3F17">
        <w:rPr>
          <w:rFonts w:asciiTheme="minorHAnsi" w:eastAsia="SimSun" w:hAnsiTheme="minorHAnsi" w:cs="Arial"/>
        </w:rPr>
        <w:t>treatment moti</w:t>
      </w:r>
      <w:r>
        <w:rPr>
          <w:rFonts w:asciiTheme="minorHAnsi" w:eastAsia="SimSun" w:hAnsiTheme="minorHAnsi" w:cs="Arial"/>
        </w:rPr>
        <w:t>vation</w:t>
      </w:r>
      <w:r w:rsidR="004F3B68">
        <w:rPr>
          <w:rFonts w:asciiTheme="minorHAnsi" w:eastAsia="SimSun" w:hAnsiTheme="minorHAnsi" w:cs="Arial"/>
        </w:rPr>
        <w:t xml:space="preserve">; </w:t>
      </w:r>
      <w:r>
        <w:rPr>
          <w:rFonts w:asciiTheme="minorHAnsi" w:eastAsia="SimSun" w:hAnsiTheme="minorHAnsi" w:cs="Arial"/>
        </w:rPr>
        <w:t>treatment satisfaction</w:t>
      </w:r>
      <w:r w:rsidR="004F3B68">
        <w:rPr>
          <w:rFonts w:asciiTheme="minorHAnsi" w:eastAsia="SimSun" w:hAnsiTheme="minorHAnsi" w:cs="Arial"/>
        </w:rPr>
        <w:t>;</w:t>
      </w:r>
      <w:r>
        <w:rPr>
          <w:rFonts w:asciiTheme="minorHAnsi" w:eastAsia="SimSun" w:hAnsiTheme="minorHAnsi" w:cs="Arial"/>
        </w:rPr>
        <w:t xml:space="preserve"> r</w:t>
      </w:r>
      <w:r w:rsidRPr="005F3F17">
        <w:rPr>
          <w:rFonts w:asciiTheme="minorHAnsi" w:eastAsia="SimSun" w:hAnsiTheme="minorHAnsi" w:cs="Arial"/>
        </w:rPr>
        <w:t>easons for seeking</w:t>
      </w:r>
      <w:r>
        <w:rPr>
          <w:rFonts w:asciiTheme="minorHAnsi" w:eastAsia="SimSun" w:hAnsiTheme="minorHAnsi" w:cs="Arial"/>
        </w:rPr>
        <w:t xml:space="preserve"> AOD</w:t>
      </w:r>
      <w:r w:rsidRPr="005F3F17">
        <w:rPr>
          <w:rFonts w:asciiTheme="minorHAnsi" w:eastAsia="SimSun" w:hAnsiTheme="minorHAnsi" w:cs="Arial"/>
        </w:rPr>
        <w:t xml:space="preserve"> treatment</w:t>
      </w:r>
      <w:r w:rsidR="004F3B68">
        <w:rPr>
          <w:rFonts w:asciiTheme="minorHAnsi" w:eastAsia="SimSun" w:hAnsiTheme="minorHAnsi" w:cs="Arial"/>
        </w:rPr>
        <w:t>;</w:t>
      </w:r>
      <w:r>
        <w:rPr>
          <w:rFonts w:asciiTheme="minorHAnsi" w:eastAsia="SimSun" w:hAnsiTheme="minorHAnsi" w:cs="Arial"/>
        </w:rPr>
        <w:t xml:space="preserve"> barriers </w:t>
      </w:r>
      <w:r w:rsidR="004F3B68">
        <w:rPr>
          <w:rFonts w:asciiTheme="minorHAnsi" w:eastAsia="SimSun" w:hAnsiTheme="minorHAnsi" w:cs="Arial"/>
        </w:rPr>
        <w:t xml:space="preserve">to treatment; and </w:t>
      </w:r>
      <w:r>
        <w:rPr>
          <w:rFonts w:asciiTheme="minorHAnsi" w:eastAsia="SimSun" w:hAnsiTheme="minorHAnsi" w:cs="Arial"/>
        </w:rPr>
        <w:t xml:space="preserve">types of discrimination and stigma. </w:t>
      </w:r>
    </w:p>
    <w:p w:rsidR="00972B3E" w:rsidRDefault="00972B3E" w:rsidP="00972B3E">
      <w:pPr>
        <w:keepNext/>
        <w:keepLines/>
        <w:spacing w:before="120" w:after="120" w:line="240" w:lineRule="auto"/>
        <w:jc w:val="both"/>
        <w:outlineLvl w:val="1"/>
        <w:rPr>
          <w:lang w:val="en-GB"/>
        </w:rPr>
      </w:pPr>
      <w:r w:rsidRPr="00413BF2">
        <w:rPr>
          <w:lang w:val="en-GB"/>
        </w:rPr>
        <w:t xml:space="preserve">For a more detailed description of the </w:t>
      </w:r>
      <w:r>
        <w:rPr>
          <w:lang w:val="en-GB"/>
        </w:rPr>
        <w:t xml:space="preserve">baseline follow-up surveys </w:t>
      </w:r>
      <w:r w:rsidRPr="00413BF2">
        <w:rPr>
          <w:lang w:val="en-GB"/>
        </w:rPr>
        <w:t xml:space="preserve">see </w:t>
      </w:r>
      <w:r>
        <w:rPr>
          <w:lang w:val="en-GB"/>
        </w:rPr>
        <w:t xml:space="preserve">Table 3.1. </w:t>
      </w:r>
    </w:p>
    <w:p w:rsidR="00972B3E" w:rsidRDefault="00972B3E">
      <w:pPr>
        <w:spacing w:after="120" w:line="240" w:lineRule="auto"/>
        <w:ind w:left="1191" w:hanging="1134"/>
        <w:jc w:val="both"/>
        <w:rPr>
          <w:b/>
          <w:lang w:val="en-GB" w:eastAsia="en-AU"/>
        </w:rPr>
      </w:pPr>
      <w:r>
        <w:br w:type="page"/>
      </w:r>
    </w:p>
    <w:p w:rsidR="00972B3E" w:rsidRPr="000B12F7" w:rsidRDefault="00972B3E" w:rsidP="00972B3E">
      <w:pPr>
        <w:pStyle w:val="FAREtableheading"/>
      </w:pPr>
      <w:bookmarkStart w:id="94" w:name="_Toc398105063"/>
      <w:proofErr w:type="gramStart"/>
      <w:r w:rsidRPr="000B12F7">
        <w:lastRenderedPageBreak/>
        <w:t xml:space="preserve">Table </w:t>
      </w:r>
      <w:r w:rsidR="00BE3D19">
        <w:fldChar w:fldCharType="begin"/>
      </w:r>
      <w:r w:rsidR="009A5B3F">
        <w:instrText xml:space="preserve"> STYLEREF 1 \s </w:instrText>
      </w:r>
      <w:r w:rsidR="00BE3D19">
        <w:fldChar w:fldCharType="separate"/>
      </w:r>
      <w:r w:rsidR="00E150CA">
        <w:rPr>
          <w:noProof/>
        </w:rPr>
        <w:t>3</w:t>
      </w:r>
      <w:r w:rsidR="00BE3D19">
        <w:rPr>
          <w:noProof/>
        </w:rPr>
        <w:fldChar w:fldCharType="end"/>
      </w:r>
      <w:r w:rsidRPr="000B12F7">
        <w:t>.</w:t>
      </w:r>
      <w:proofErr w:type="gramEnd"/>
      <w:r w:rsidR="00BE3D19" w:rsidRPr="000B12F7">
        <w:fldChar w:fldCharType="begin"/>
      </w:r>
      <w:r w:rsidRPr="000B12F7">
        <w:instrText xml:space="preserve"> SEQ Table \* ARABIC \s 1 </w:instrText>
      </w:r>
      <w:r w:rsidR="00BE3D19" w:rsidRPr="000B12F7">
        <w:fldChar w:fldCharType="separate"/>
      </w:r>
      <w:r w:rsidR="00E150CA">
        <w:rPr>
          <w:noProof/>
        </w:rPr>
        <w:t>1</w:t>
      </w:r>
      <w:r w:rsidR="00BE3D19" w:rsidRPr="000B12F7">
        <w:fldChar w:fldCharType="end"/>
      </w:r>
      <w:r w:rsidR="006244F5">
        <w:t xml:space="preserve">  </w:t>
      </w:r>
      <w:r w:rsidR="00561263" w:rsidRPr="000B12F7">
        <w:t>Items included in structured interview with clients ‘new’ to AOD treatment</w:t>
      </w:r>
      <w:bookmarkEnd w:id="94"/>
      <w:r w:rsidR="00561263">
        <w:t xml:space="preserve"> </w:t>
      </w:r>
    </w:p>
    <w:tbl>
      <w:tblPr>
        <w:tblW w:w="0" w:type="auto"/>
        <w:tblLook w:val="04A0" w:firstRow="1" w:lastRow="0" w:firstColumn="1" w:lastColumn="0" w:noHBand="0" w:noVBand="1"/>
      </w:tblPr>
      <w:tblGrid>
        <w:gridCol w:w="1662"/>
        <w:gridCol w:w="4465"/>
        <w:gridCol w:w="3115"/>
      </w:tblGrid>
      <w:tr w:rsidR="00246A73" w:rsidRPr="0020046D" w:rsidTr="009A5B3F">
        <w:trPr>
          <w:tblHeader/>
        </w:trPr>
        <w:tc>
          <w:tcPr>
            <w:tcW w:w="0" w:type="auto"/>
            <w:tcBorders>
              <w:top w:val="single" w:sz="4" w:space="0" w:color="auto"/>
            </w:tcBorders>
          </w:tcPr>
          <w:p w:rsidR="00972B3E" w:rsidRPr="008D3541" w:rsidRDefault="00972B3E" w:rsidP="009A5B3F">
            <w:pPr>
              <w:keepNext/>
              <w:spacing w:before="40" w:after="40"/>
              <w:rPr>
                <w:rFonts w:asciiTheme="minorHAnsi" w:hAnsiTheme="minorHAnsi" w:cstheme="majorBidi"/>
                <w:b/>
                <w:bCs/>
                <w:color w:val="000000"/>
              </w:rPr>
            </w:pPr>
            <w:r w:rsidRPr="008D3541">
              <w:rPr>
                <w:rFonts w:asciiTheme="minorHAnsi" w:hAnsiTheme="minorHAnsi" w:cstheme="majorBidi"/>
                <w:b/>
                <w:bCs/>
                <w:color w:val="000000"/>
              </w:rPr>
              <w:t>Domain</w:t>
            </w:r>
          </w:p>
        </w:tc>
        <w:tc>
          <w:tcPr>
            <w:tcW w:w="0" w:type="auto"/>
            <w:tcBorders>
              <w:top w:val="single" w:sz="4" w:space="0" w:color="auto"/>
            </w:tcBorders>
          </w:tcPr>
          <w:p w:rsidR="00972B3E" w:rsidRPr="008D3541" w:rsidRDefault="00972B3E" w:rsidP="009A5B3F">
            <w:pPr>
              <w:keepNext/>
              <w:spacing w:before="40" w:after="40"/>
              <w:rPr>
                <w:rFonts w:asciiTheme="minorHAnsi" w:hAnsiTheme="minorHAnsi" w:cstheme="majorBidi"/>
                <w:b/>
                <w:bCs/>
                <w:color w:val="000000"/>
              </w:rPr>
            </w:pPr>
            <w:r w:rsidRPr="008D3541">
              <w:rPr>
                <w:rFonts w:asciiTheme="minorHAnsi" w:hAnsiTheme="minorHAnsi" w:cstheme="majorBidi"/>
                <w:b/>
                <w:bCs/>
                <w:color w:val="000000"/>
              </w:rPr>
              <w:t>Survey items/instrument</w:t>
            </w:r>
          </w:p>
        </w:tc>
        <w:tc>
          <w:tcPr>
            <w:tcW w:w="0" w:type="auto"/>
            <w:tcBorders>
              <w:top w:val="single" w:sz="4" w:space="0" w:color="auto"/>
            </w:tcBorders>
          </w:tcPr>
          <w:p w:rsidR="00972B3E" w:rsidRPr="008D3541" w:rsidRDefault="00972B3E" w:rsidP="009A5B3F">
            <w:pPr>
              <w:keepNext/>
              <w:spacing w:before="40" w:after="40"/>
              <w:rPr>
                <w:rFonts w:asciiTheme="minorHAnsi" w:hAnsiTheme="minorHAnsi" w:cstheme="majorBidi"/>
                <w:b/>
                <w:bCs/>
                <w:color w:val="000000"/>
              </w:rPr>
            </w:pPr>
            <w:r w:rsidRPr="008D3541">
              <w:rPr>
                <w:rFonts w:asciiTheme="minorHAnsi" w:hAnsiTheme="minorHAnsi" w:cstheme="majorBidi"/>
                <w:b/>
                <w:bCs/>
                <w:color w:val="000000"/>
              </w:rPr>
              <w:t>Purpose</w:t>
            </w:r>
          </w:p>
        </w:tc>
      </w:tr>
      <w:tr w:rsidR="00972B3E" w:rsidTr="009A5B3F">
        <w:tc>
          <w:tcPr>
            <w:tcW w:w="0" w:type="auto"/>
            <w:gridSpan w:val="3"/>
          </w:tcPr>
          <w:p w:rsidR="00972B3E" w:rsidRPr="008D3541" w:rsidRDefault="00972B3E" w:rsidP="009A5B3F">
            <w:pPr>
              <w:keepNext/>
              <w:spacing w:before="40" w:after="40" w:line="240" w:lineRule="auto"/>
              <w:rPr>
                <w:rFonts w:ascii="Times New Roman" w:hAnsi="Times New Roman"/>
                <w:i/>
              </w:rPr>
            </w:pPr>
            <w:r w:rsidRPr="008D3541">
              <w:rPr>
                <w:rFonts w:asciiTheme="minorHAnsi" w:hAnsiTheme="minorHAnsi" w:cstheme="majorBidi"/>
                <w:i/>
                <w:color w:val="000000"/>
                <w:sz w:val="20"/>
                <w:szCs w:val="20"/>
              </w:rPr>
              <w:t>About the participant</w:t>
            </w:r>
          </w:p>
        </w:tc>
      </w:tr>
      <w:tr w:rsidR="00246A73" w:rsidTr="009A5B3F">
        <w:tc>
          <w:tcPr>
            <w:tcW w:w="0" w:type="auto"/>
          </w:tcPr>
          <w:p w:rsidR="00972B3E" w:rsidRPr="008D3541" w:rsidRDefault="00972B3E" w:rsidP="002024D0">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 xml:space="preserve">Demographics, social </w:t>
            </w:r>
            <w:proofErr w:type="spellStart"/>
            <w:r w:rsidRPr="008D3541">
              <w:rPr>
                <w:rFonts w:asciiTheme="minorHAnsi" w:hAnsiTheme="minorHAnsi" w:cstheme="majorBidi"/>
                <w:color w:val="000000"/>
                <w:sz w:val="20"/>
                <w:szCs w:val="20"/>
              </w:rPr>
              <w:t>circumstances</w:t>
            </w:r>
            <w:r w:rsidR="002024D0">
              <w:rPr>
                <w:vertAlign w:val="superscript"/>
              </w:rPr>
              <w:t>a</w:t>
            </w:r>
            <w:proofErr w:type="spellEnd"/>
          </w:p>
        </w:tc>
        <w:tc>
          <w:tcPr>
            <w:tcW w:w="0" w:type="auto"/>
          </w:tcPr>
          <w:p w:rsidR="00972B3E" w:rsidRPr="008D3541" w:rsidRDefault="00972B3E" w:rsidP="002024D0">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 xml:space="preserve">Post code, age, gender, marital status, education level, employment status, housing situation, country of birth, cultural background, medical </w:t>
            </w:r>
            <w:proofErr w:type="spellStart"/>
            <w:r w:rsidRPr="008D3541">
              <w:rPr>
                <w:rFonts w:asciiTheme="minorHAnsi" w:hAnsiTheme="minorHAnsi" w:cstheme="majorBidi"/>
                <w:color w:val="000000"/>
                <w:sz w:val="20"/>
                <w:szCs w:val="20"/>
              </w:rPr>
              <w:t>status</w:t>
            </w:r>
            <w:r w:rsidR="002024D0">
              <w:rPr>
                <w:rFonts w:asciiTheme="minorHAnsi" w:hAnsiTheme="minorHAnsi" w:cstheme="majorBidi"/>
                <w:color w:val="000000"/>
                <w:sz w:val="20"/>
                <w:szCs w:val="20"/>
                <w:vertAlign w:val="superscript"/>
              </w:rPr>
              <w:t>b</w:t>
            </w:r>
            <w:proofErr w:type="spellEnd"/>
            <w:r w:rsidRPr="008D3541">
              <w:rPr>
                <w:rFonts w:asciiTheme="minorHAnsi" w:hAnsiTheme="minorHAnsi" w:cstheme="majorBidi"/>
                <w:color w:val="000000"/>
                <w:sz w:val="20"/>
                <w:szCs w:val="20"/>
              </w:rPr>
              <w:t>, legal status, and family and social relationships</w:t>
            </w:r>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To describe participant characteristics and enable comparisons between different participant groups</w:t>
            </w:r>
          </w:p>
        </w:tc>
      </w:tr>
      <w:tr w:rsidR="00246A73" w:rsidTr="009A5B3F">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AOD use</w:t>
            </w:r>
          </w:p>
        </w:tc>
        <w:tc>
          <w:tcPr>
            <w:tcW w:w="0" w:type="auto"/>
          </w:tcPr>
          <w:p w:rsidR="00972B3E" w:rsidRPr="008D3541" w:rsidRDefault="00972B3E" w:rsidP="002024D0">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 xml:space="preserve">Primary substance of concern, other substances of concern, drug use past 30 days, drug use ‘typical’ 30 </w:t>
            </w:r>
            <w:proofErr w:type="spellStart"/>
            <w:r w:rsidRPr="008D3541">
              <w:rPr>
                <w:rFonts w:asciiTheme="minorHAnsi" w:hAnsiTheme="minorHAnsi" w:cstheme="majorBidi"/>
                <w:color w:val="000000"/>
                <w:sz w:val="20"/>
                <w:szCs w:val="20"/>
              </w:rPr>
              <w:t>days</w:t>
            </w:r>
            <w:r w:rsidR="002024D0" w:rsidRPr="002024D0">
              <w:rPr>
                <w:rFonts w:asciiTheme="minorHAnsi" w:hAnsiTheme="minorHAnsi" w:cstheme="majorBidi"/>
                <w:color w:val="000000"/>
                <w:sz w:val="20"/>
                <w:szCs w:val="20"/>
                <w:vertAlign w:val="superscript"/>
              </w:rPr>
              <w:t>c</w:t>
            </w:r>
            <w:proofErr w:type="spellEnd"/>
            <w:r w:rsidRPr="008D3541">
              <w:rPr>
                <w:rFonts w:asciiTheme="minorHAnsi" w:hAnsiTheme="minorHAnsi" w:cstheme="majorBidi"/>
                <w:color w:val="000000"/>
                <w:sz w:val="20"/>
                <w:szCs w:val="20"/>
              </w:rPr>
              <w:t xml:space="preserve">, prescription drug use past 30 </w:t>
            </w:r>
            <w:proofErr w:type="spellStart"/>
            <w:r w:rsidRPr="008D3541">
              <w:rPr>
                <w:rFonts w:asciiTheme="minorHAnsi" w:hAnsiTheme="minorHAnsi" w:cstheme="majorBidi"/>
                <w:color w:val="000000"/>
                <w:sz w:val="20"/>
                <w:szCs w:val="20"/>
              </w:rPr>
              <w:t>days</w:t>
            </w:r>
            <w:r w:rsidR="002024D0" w:rsidRPr="002024D0">
              <w:rPr>
                <w:rFonts w:asciiTheme="minorHAnsi" w:hAnsiTheme="minorHAnsi" w:cstheme="majorBidi"/>
                <w:color w:val="000000"/>
                <w:sz w:val="20"/>
                <w:szCs w:val="20"/>
                <w:vertAlign w:val="superscript"/>
              </w:rPr>
              <w:t>c</w:t>
            </w:r>
            <w:proofErr w:type="spellEnd"/>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To identify common substances of concern, to monitor change over time</w:t>
            </w:r>
          </w:p>
        </w:tc>
      </w:tr>
      <w:tr w:rsidR="00246A73" w:rsidTr="009A5B3F">
        <w:tc>
          <w:tcPr>
            <w:tcW w:w="0" w:type="auto"/>
          </w:tcPr>
          <w:p w:rsidR="00972B3E" w:rsidRPr="008D3541" w:rsidRDefault="00972B3E" w:rsidP="002024D0">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Alcohol use</w:t>
            </w:r>
            <w:r w:rsidR="002024D0">
              <w:rPr>
                <w:rFonts w:asciiTheme="minorHAnsi" w:hAnsiTheme="minorHAnsi" w:cstheme="majorBidi"/>
                <w:color w:val="000000"/>
                <w:sz w:val="20"/>
                <w:szCs w:val="20"/>
                <w:vertAlign w:val="superscript"/>
              </w:rPr>
              <w:t>d</w:t>
            </w:r>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Alcohol Use Disorders Identification Test (AUDIT)</w:t>
            </w:r>
            <w:r w:rsidR="00E75C62" w:rsidDel="00E75C62">
              <w:t xml:space="preserve"> </w:t>
            </w:r>
            <w:r w:rsidR="00E75C62" w:rsidRPr="00E75C62">
              <w:rPr>
                <w:rFonts w:asciiTheme="minorHAnsi" w:hAnsiTheme="minorHAnsi" w:cstheme="majorBidi"/>
                <w:color w:val="000000"/>
                <w:sz w:val="20"/>
                <w:szCs w:val="20"/>
              </w:rPr>
              <w:t>(Bush, et al., 1998)</w:t>
            </w:r>
          </w:p>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First 3 items, each scored 0-4</w:t>
            </w:r>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To assess frequency and amount of alcohol consumed by those reporting drinking within past 30 days</w:t>
            </w:r>
          </w:p>
        </w:tc>
      </w:tr>
      <w:tr w:rsidR="00246A73" w:rsidTr="009A5B3F">
        <w:trPr>
          <w:trHeight w:val="594"/>
        </w:trPr>
        <w:tc>
          <w:tcPr>
            <w:tcW w:w="0" w:type="auto"/>
            <w:tcBorders>
              <w:bottom w:val="single" w:sz="4" w:space="0" w:color="auto"/>
            </w:tcBorders>
          </w:tcPr>
          <w:p w:rsidR="00972B3E" w:rsidRPr="008D3541" w:rsidRDefault="00972B3E" w:rsidP="002024D0">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 xml:space="preserve">AOD </w:t>
            </w:r>
            <w:proofErr w:type="spellStart"/>
            <w:r w:rsidRPr="008D3541">
              <w:rPr>
                <w:rFonts w:asciiTheme="minorHAnsi" w:hAnsiTheme="minorHAnsi" w:cstheme="majorBidi"/>
                <w:color w:val="000000"/>
                <w:sz w:val="20"/>
                <w:szCs w:val="20"/>
              </w:rPr>
              <w:t>dependence</w:t>
            </w:r>
            <w:r w:rsidR="002024D0">
              <w:rPr>
                <w:rFonts w:asciiTheme="minorHAnsi" w:hAnsiTheme="minorHAnsi" w:cstheme="majorBidi"/>
                <w:color w:val="000000"/>
                <w:sz w:val="20"/>
                <w:szCs w:val="20"/>
                <w:vertAlign w:val="superscript"/>
              </w:rPr>
              <w:t>e</w:t>
            </w:r>
            <w:proofErr w:type="spellEnd"/>
          </w:p>
        </w:tc>
        <w:tc>
          <w:tcPr>
            <w:tcW w:w="0" w:type="auto"/>
            <w:tcBorders>
              <w:bottom w:val="single" w:sz="4" w:space="0" w:color="auto"/>
            </w:tcBorders>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Severity of Dependence Scale (SDS)</w:t>
            </w:r>
            <w:r w:rsidR="00263BB3">
              <w:rPr>
                <w:rFonts w:asciiTheme="minorHAnsi" w:hAnsiTheme="minorHAnsi" w:cstheme="majorBidi"/>
                <w:color w:val="000000"/>
                <w:sz w:val="20"/>
                <w:szCs w:val="20"/>
              </w:rPr>
              <w:t xml:space="preserve"> </w:t>
            </w:r>
            <w:r w:rsidR="002F7C61" w:rsidRPr="002F7C61">
              <w:rPr>
                <w:rFonts w:asciiTheme="minorHAnsi" w:hAnsiTheme="minorHAnsi" w:cstheme="majorBidi"/>
                <w:color w:val="000000"/>
                <w:sz w:val="20"/>
                <w:szCs w:val="20"/>
              </w:rPr>
              <w:t>(</w:t>
            </w:r>
            <w:proofErr w:type="spellStart"/>
            <w:r w:rsidR="002F7C61" w:rsidRPr="002F7C61">
              <w:rPr>
                <w:rFonts w:asciiTheme="minorHAnsi" w:hAnsiTheme="minorHAnsi" w:cstheme="majorBidi"/>
                <w:color w:val="000000"/>
                <w:sz w:val="20"/>
                <w:szCs w:val="20"/>
              </w:rPr>
              <w:t>Gossop</w:t>
            </w:r>
            <w:proofErr w:type="spellEnd"/>
            <w:r w:rsidR="002F7C61" w:rsidRPr="002F7C61">
              <w:rPr>
                <w:rFonts w:asciiTheme="minorHAnsi" w:hAnsiTheme="minorHAnsi" w:cstheme="majorBidi"/>
                <w:color w:val="000000"/>
                <w:sz w:val="20"/>
                <w:szCs w:val="20"/>
              </w:rPr>
              <w:t xml:space="preserve"> et al., 1995)</w:t>
            </w:r>
          </w:p>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5 items, each scored 0-3</w:t>
            </w:r>
          </w:p>
        </w:tc>
        <w:tc>
          <w:tcPr>
            <w:tcW w:w="0" w:type="auto"/>
            <w:tcBorders>
              <w:bottom w:val="single" w:sz="4" w:space="0" w:color="auto"/>
            </w:tcBorders>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To assess degree of dependence on primary substance of concern</w:t>
            </w:r>
          </w:p>
        </w:tc>
      </w:tr>
      <w:tr w:rsidR="00972B3E" w:rsidTr="009A5B3F">
        <w:tc>
          <w:tcPr>
            <w:tcW w:w="0" w:type="auto"/>
            <w:gridSpan w:val="3"/>
            <w:tcBorders>
              <w:top w:val="single" w:sz="4" w:space="0" w:color="auto"/>
            </w:tcBorders>
          </w:tcPr>
          <w:p w:rsidR="00972B3E" w:rsidRPr="008D3541" w:rsidRDefault="00972B3E" w:rsidP="009A5B3F">
            <w:pPr>
              <w:keepNext/>
              <w:spacing w:before="40" w:after="40" w:line="240" w:lineRule="auto"/>
              <w:rPr>
                <w:rFonts w:asciiTheme="minorHAnsi" w:hAnsiTheme="minorHAnsi" w:cstheme="majorBidi"/>
                <w:i/>
                <w:color w:val="000000"/>
                <w:sz w:val="20"/>
                <w:szCs w:val="20"/>
              </w:rPr>
            </w:pPr>
            <w:r w:rsidRPr="008D3541">
              <w:rPr>
                <w:rFonts w:asciiTheme="minorHAnsi" w:hAnsiTheme="minorHAnsi" w:cstheme="majorBidi"/>
                <w:i/>
                <w:color w:val="000000"/>
                <w:sz w:val="20"/>
                <w:szCs w:val="20"/>
              </w:rPr>
              <w:t>Wellbeing</w:t>
            </w:r>
          </w:p>
        </w:tc>
      </w:tr>
      <w:tr w:rsidR="00246A73" w:rsidTr="009A5B3F">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Social support</w:t>
            </w:r>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Multidimensional Scale of Perceived Social Support (MSPSS)</w:t>
            </w:r>
            <w:hyperlink w:anchor="_ENREF_3" w:tooltip="Zimet, 1988 #11" w:history="1"/>
            <w:r w:rsidR="002F7C61" w:rsidRPr="002F7C61">
              <w:rPr>
                <w:rFonts w:asciiTheme="minorHAnsi" w:hAnsiTheme="minorHAnsi" w:cstheme="majorBidi"/>
                <w:color w:val="000000"/>
                <w:sz w:val="20"/>
                <w:szCs w:val="20"/>
              </w:rPr>
              <w:t xml:space="preserve"> (</w:t>
            </w:r>
            <w:proofErr w:type="spellStart"/>
            <w:r w:rsidR="002F7C61" w:rsidRPr="002F7C61">
              <w:rPr>
                <w:rFonts w:asciiTheme="minorHAnsi" w:hAnsiTheme="minorHAnsi" w:cstheme="majorBidi"/>
                <w:color w:val="000000"/>
                <w:sz w:val="20"/>
                <w:szCs w:val="20"/>
              </w:rPr>
              <w:t>Zimet</w:t>
            </w:r>
            <w:proofErr w:type="spellEnd"/>
            <w:r w:rsidR="002F7C61" w:rsidRPr="002F7C61">
              <w:rPr>
                <w:rFonts w:asciiTheme="minorHAnsi" w:hAnsiTheme="minorHAnsi" w:cstheme="majorBidi"/>
                <w:color w:val="000000"/>
                <w:sz w:val="20"/>
                <w:szCs w:val="20"/>
              </w:rPr>
              <w:t xml:space="preserve"> et al., 1988)</w:t>
            </w:r>
          </w:p>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12 items, each scored 1-7</w:t>
            </w:r>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To assess perceived level of support from family, friends and significant other</w:t>
            </w:r>
          </w:p>
          <w:p w:rsidR="00972B3E" w:rsidRPr="008D3541" w:rsidRDefault="00972B3E" w:rsidP="009A5B3F">
            <w:pPr>
              <w:keepNext/>
              <w:spacing w:before="40" w:after="40" w:line="240" w:lineRule="auto"/>
              <w:rPr>
                <w:rFonts w:asciiTheme="minorHAnsi" w:hAnsiTheme="minorHAnsi" w:cstheme="majorBidi"/>
                <w:color w:val="000000"/>
                <w:sz w:val="20"/>
                <w:szCs w:val="20"/>
              </w:rPr>
            </w:pPr>
          </w:p>
        </w:tc>
      </w:tr>
      <w:tr w:rsidR="00246A73" w:rsidTr="009A5B3F">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Community support for treatment entry</w:t>
            </w:r>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 xml:space="preserve">Community Assessment Inventory (CAI) </w:t>
            </w:r>
            <w:r w:rsidR="002F7C61">
              <w:rPr>
                <w:rFonts w:asciiTheme="minorHAnsi" w:hAnsiTheme="minorHAnsi" w:cstheme="majorBidi"/>
                <w:color w:val="000000"/>
                <w:sz w:val="20"/>
                <w:szCs w:val="20"/>
              </w:rPr>
              <w:t>(</w:t>
            </w:r>
            <w:r w:rsidRPr="008D3541">
              <w:rPr>
                <w:rFonts w:asciiTheme="minorHAnsi" w:hAnsiTheme="minorHAnsi" w:cstheme="majorBidi"/>
                <w:color w:val="000000"/>
                <w:sz w:val="20"/>
                <w:szCs w:val="20"/>
              </w:rPr>
              <w:t>community subscale only</w:t>
            </w:r>
            <w:r w:rsidR="002F7C61">
              <w:rPr>
                <w:rFonts w:asciiTheme="minorHAnsi" w:hAnsiTheme="minorHAnsi" w:cstheme="majorBidi"/>
                <w:color w:val="000000"/>
                <w:sz w:val="20"/>
                <w:szCs w:val="20"/>
              </w:rPr>
              <w:t>)</w:t>
            </w:r>
            <w:r w:rsidR="002F7C61" w:rsidRPr="005F3F17">
              <w:rPr>
                <w:rFonts w:asciiTheme="minorHAnsi" w:eastAsia="SimSun" w:hAnsiTheme="minorHAnsi" w:cs="Arial"/>
              </w:rPr>
              <w:t xml:space="preserve"> </w:t>
            </w:r>
            <w:r w:rsidR="002F7C61" w:rsidRPr="002F7C61">
              <w:rPr>
                <w:rFonts w:asciiTheme="minorHAnsi" w:hAnsiTheme="minorHAnsi" w:cstheme="majorBidi"/>
                <w:color w:val="000000"/>
                <w:sz w:val="20"/>
                <w:szCs w:val="20"/>
              </w:rPr>
              <w:t>(Brown et al., 2004)</w:t>
            </w:r>
          </w:p>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13 items, each scored 1-4</w:t>
            </w:r>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To assess perceived level of community support available</w:t>
            </w:r>
          </w:p>
          <w:p w:rsidR="00972B3E" w:rsidRPr="008D3541" w:rsidRDefault="00972B3E" w:rsidP="009A5B3F">
            <w:pPr>
              <w:keepNext/>
              <w:spacing w:before="40" w:after="40" w:line="240" w:lineRule="auto"/>
              <w:rPr>
                <w:rFonts w:asciiTheme="minorHAnsi" w:hAnsiTheme="minorHAnsi" w:cstheme="majorBidi"/>
                <w:color w:val="000000"/>
                <w:sz w:val="20"/>
                <w:szCs w:val="20"/>
              </w:rPr>
            </w:pPr>
          </w:p>
        </w:tc>
      </w:tr>
      <w:tr w:rsidR="00246A73" w:rsidTr="009A5B3F">
        <w:tc>
          <w:tcPr>
            <w:tcW w:w="0" w:type="auto"/>
            <w:tcBorders>
              <w:bottom w:val="single" w:sz="4" w:space="0" w:color="auto"/>
            </w:tcBorders>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Quality of life</w:t>
            </w:r>
          </w:p>
        </w:tc>
        <w:tc>
          <w:tcPr>
            <w:tcW w:w="0" w:type="auto"/>
            <w:tcBorders>
              <w:bottom w:val="single" w:sz="4" w:space="0" w:color="auto"/>
            </w:tcBorders>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World Health Organization Quality of Life (WHO</w:t>
            </w:r>
            <w:r w:rsidR="00EE7A8F">
              <w:rPr>
                <w:rFonts w:asciiTheme="minorHAnsi" w:hAnsiTheme="minorHAnsi" w:cstheme="majorBidi"/>
                <w:color w:val="000000"/>
                <w:sz w:val="20"/>
                <w:szCs w:val="20"/>
              </w:rPr>
              <w:t>QOL</w:t>
            </w:r>
            <w:r w:rsidRPr="008D3541">
              <w:rPr>
                <w:rFonts w:asciiTheme="minorHAnsi" w:hAnsiTheme="minorHAnsi" w:cstheme="majorBidi"/>
                <w:color w:val="000000"/>
                <w:sz w:val="20"/>
                <w:szCs w:val="20"/>
              </w:rPr>
              <w:t>-BREF)</w:t>
            </w:r>
            <w:r w:rsidR="002F7C61" w:rsidRPr="002F7C61">
              <w:rPr>
                <w:rFonts w:asciiTheme="minorHAnsi" w:hAnsiTheme="minorHAnsi" w:cstheme="majorBidi"/>
                <w:color w:val="000000"/>
                <w:sz w:val="20"/>
                <w:szCs w:val="20"/>
              </w:rPr>
              <w:t xml:space="preserve"> (Skevington et al., 2004)</w:t>
            </w:r>
          </w:p>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26 items, each scored 1-5</w:t>
            </w:r>
          </w:p>
        </w:tc>
        <w:tc>
          <w:tcPr>
            <w:tcW w:w="0" w:type="auto"/>
            <w:tcBorders>
              <w:bottom w:val="single" w:sz="4" w:space="0" w:color="auto"/>
            </w:tcBorders>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To assess four quality of life factors: physical health; psychological health; social relationships, and environment</w:t>
            </w:r>
          </w:p>
        </w:tc>
      </w:tr>
      <w:tr w:rsidR="00972B3E" w:rsidTr="009A5B3F">
        <w:tc>
          <w:tcPr>
            <w:tcW w:w="0" w:type="auto"/>
            <w:gridSpan w:val="3"/>
            <w:tcBorders>
              <w:top w:val="single" w:sz="4" w:space="0" w:color="auto"/>
            </w:tcBorders>
          </w:tcPr>
          <w:p w:rsidR="00972B3E" w:rsidRPr="008D3541" w:rsidRDefault="00972B3E" w:rsidP="009A5B3F">
            <w:pPr>
              <w:keepNext/>
              <w:spacing w:before="40" w:after="40" w:line="240" w:lineRule="auto"/>
              <w:rPr>
                <w:rFonts w:asciiTheme="minorHAnsi" w:hAnsiTheme="minorHAnsi" w:cstheme="majorBidi"/>
                <w:i/>
                <w:color w:val="000000"/>
                <w:sz w:val="20"/>
                <w:szCs w:val="20"/>
              </w:rPr>
            </w:pPr>
            <w:r w:rsidRPr="008D3541">
              <w:rPr>
                <w:rFonts w:asciiTheme="minorHAnsi" w:hAnsiTheme="minorHAnsi" w:cstheme="majorBidi"/>
                <w:i/>
                <w:color w:val="000000"/>
                <w:sz w:val="20"/>
                <w:szCs w:val="20"/>
              </w:rPr>
              <w:t>Help seeking</w:t>
            </w:r>
          </w:p>
        </w:tc>
      </w:tr>
      <w:tr w:rsidR="00246A73" w:rsidTr="009A5B3F">
        <w:tc>
          <w:tcPr>
            <w:tcW w:w="0" w:type="auto"/>
          </w:tcPr>
          <w:p w:rsidR="00972B3E" w:rsidRPr="008D3541" w:rsidRDefault="00972B3E" w:rsidP="002024D0">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 xml:space="preserve">Treatment </w:t>
            </w:r>
            <w:proofErr w:type="spellStart"/>
            <w:r w:rsidRPr="008D3541">
              <w:rPr>
                <w:rFonts w:asciiTheme="minorHAnsi" w:hAnsiTheme="minorHAnsi" w:cstheme="majorBidi"/>
                <w:color w:val="000000"/>
                <w:sz w:val="20"/>
                <w:szCs w:val="20"/>
              </w:rPr>
              <w:t>motivation</w:t>
            </w:r>
            <w:r w:rsidR="002024D0">
              <w:rPr>
                <w:rFonts w:asciiTheme="minorHAnsi" w:hAnsiTheme="minorHAnsi" w:cstheme="majorBidi"/>
                <w:color w:val="000000"/>
                <w:sz w:val="20"/>
                <w:szCs w:val="20"/>
                <w:vertAlign w:val="superscript"/>
              </w:rPr>
              <w:t>f</w:t>
            </w:r>
            <w:proofErr w:type="spellEnd"/>
          </w:p>
        </w:tc>
        <w:tc>
          <w:tcPr>
            <w:tcW w:w="0" w:type="auto"/>
          </w:tcPr>
          <w:p w:rsidR="00972B3E" w:rsidRPr="00910134" w:rsidRDefault="00972B3E" w:rsidP="009A5B3F">
            <w:pPr>
              <w:keepNext/>
              <w:spacing w:before="40" w:after="40" w:line="240" w:lineRule="auto"/>
              <w:rPr>
                <w:rFonts w:asciiTheme="minorHAnsi" w:hAnsiTheme="minorHAnsi" w:cstheme="majorBidi"/>
                <w:color w:val="000000"/>
                <w:sz w:val="20"/>
                <w:szCs w:val="20"/>
              </w:rPr>
            </w:pPr>
            <w:r>
              <w:rPr>
                <w:rFonts w:asciiTheme="minorHAnsi" w:hAnsiTheme="minorHAnsi" w:cstheme="majorBidi"/>
                <w:color w:val="000000"/>
                <w:sz w:val="20"/>
                <w:szCs w:val="20"/>
              </w:rPr>
              <w:t xml:space="preserve">Adapted from the TCU MOTFORM (originally taken </w:t>
            </w:r>
            <w:r w:rsidRPr="00246A73">
              <w:rPr>
                <w:sz w:val="20"/>
                <w:szCs w:val="20"/>
              </w:rPr>
              <w:t>from the TCU CEST Intake</w:t>
            </w:r>
            <w:r w:rsidR="004A4027">
              <w:rPr>
                <w:sz w:val="20"/>
                <w:szCs w:val="20"/>
              </w:rPr>
              <w:t>)</w:t>
            </w:r>
            <w:hyperlink w:anchor="_ENREF_6" w:tooltip="Joe, 2002 #14" w:history="1"/>
            <w:r w:rsidR="00FF4A78" w:rsidRPr="00246A73">
              <w:rPr>
                <w:sz w:val="20"/>
                <w:szCs w:val="20"/>
              </w:rPr>
              <w:t xml:space="preserve"> </w:t>
            </w:r>
            <w:r w:rsidR="00246A73" w:rsidRPr="00246A73">
              <w:rPr>
                <w:sz w:val="20"/>
                <w:szCs w:val="20"/>
              </w:rPr>
              <w:t xml:space="preserve">(Institute of </w:t>
            </w:r>
            <w:proofErr w:type="spellStart"/>
            <w:r w:rsidR="00246A73" w:rsidRPr="00246A73">
              <w:rPr>
                <w:sz w:val="20"/>
                <w:szCs w:val="20"/>
              </w:rPr>
              <w:t>Behavioral</w:t>
            </w:r>
            <w:proofErr w:type="spellEnd"/>
            <w:r w:rsidR="00246A73" w:rsidRPr="00246A73">
              <w:rPr>
                <w:sz w:val="20"/>
                <w:szCs w:val="20"/>
              </w:rPr>
              <w:t xml:space="preserve"> Research, 2008). </w:t>
            </w:r>
            <w:r w:rsidRPr="00910134">
              <w:rPr>
                <w:sz w:val="20"/>
                <w:szCs w:val="20"/>
              </w:rPr>
              <w:t xml:space="preserve">Desire for help, </w:t>
            </w:r>
            <w:r>
              <w:rPr>
                <w:sz w:val="20"/>
                <w:szCs w:val="20"/>
              </w:rPr>
              <w:t>t</w:t>
            </w:r>
            <w:r w:rsidRPr="00910134">
              <w:rPr>
                <w:sz w:val="20"/>
                <w:szCs w:val="20"/>
              </w:rPr>
              <w:t>reatment rea</w:t>
            </w:r>
            <w:r>
              <w:rPr>
                <w:sz w:val="20"/>
                <w:szCs w:val="20"/>
              </w:rPr>
              <w:t>diness, and pressures for treatment scales. The problem recognition domain was omitted as it was deemed not relevant for clients who were already accessing treatment.</w:t>
            </w:r>
          </w:p>
          <w:p w:rsidR="00972B3E" w:rsidRPr="008D3541" w:rsidRDefault="00972B3E" w:rsidP="009A5B3F">
            <w:pPr>
              <w:keepNext/>
              <w:spacing w:before="40" w:after="40" w:line="240" w:lineRule="auto"/>
              <w:rPr>
                <w:rFonts w:asciiTheme="minorHAnsi" w:hAnsiTheme="minorHAnsi" w:cstheme="majorBidi"/>
                <w:color w:val="000000"/>
                <w:sz w:val="20"/>
                <w:szCs w:val="20"/>
              </w:rPr>
            </w:pPr>
            <w:r>
              <w:rPr>
                <w:rFonts w:asciiTheme="minorHAnsi" w:hAnsiTheme="minorHAnsi" w:cstheme="majorBidi"/>
                <w:color w:val="000000"/>
                <w:sz w:val="20"/>
                <w:szCs w:val="20"/>
              </w:rPr>
              <w:t>21</w:t>
            </w:r>
            <w:r w:rsidRPr="00910134">
              <w:rPr>
                <w:rFonts w:asciiTheme="minorHAnsi" w:hAnsiTheme="minorHAnsi" w:cstheme="majorBidi"/>
                <w:color w:val="000000"/>
                <w:sz w:val="20"/>
                <w:szCs w:val="20"/>
              </w:rPr>
              <w:t xml:space="preserve"> items, scored 1-5</w:t>
            </w:r>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 xml:space="preserve">To assess motivation for treatment </w:t>
            </w:r>
            <w:r>
              <w:rPr>
                <w:rFonts w:asciiTheme="minorHAnsi" w:hAnsiTheme="minorHAnsi" w:cstheme="majorBidi"/>
                <w:color w:val="000000"/>
                <w:sz w:val="20"/>
                <w:szCs w:val="20"/>
              </w:rPr>
              <w:t>as measured by the “desire for help” and “treatment readiness” domains and identify external influences on treatment seeking as identified by “pressures for treatment” index</w:t>
            </w:r>
          </w:p>
        </w:tc>
      </w:tr>
      <w:tr w:rsidR="00246A73" w:rsidTr="009A5B3F">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Past use of services</w:t>
            </w:r>
          </w:p>
        </w:tc>
        <w:tc>
          <w:tcPr>
            <w:tcW w:w="0" w:type="auto"/>
          </w:tcPr>
          <w:p w:rsidR="00972B3E" w:rsidRPr="008D3541" w:rsidRDefault="00972B3E" w:rsidP="002024D0">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 xml:space="preserve">Use of various </w:t>
            </w:r>
            <w:proofErr w:type="spellStart"/>
            <w:r w:rsidRPr="008D3541">
              <w:rPr>
                <w:rFonts w:asciiTheme="minorHAnsi" w:hAnsiTheme="minorHAnsi" w:cstheme="majorBidi"/>
                <w:color w:val="000000"/>
                <w:sz w:val="20"/>
                <w:szCs w:val="20"/>
              </w:rPr>
              <w:t>services</w:t>
            </w:r>
            <w:r w:rsidR="002024D0" w:rsidRPr="002024D0">
              <w:rPr>
                <w:rFonts w:asciiTheme="minorHAnsi" w:hAnsiTheme="minorHAnsi" w:cstheme="majorBidi"/>
                <w:color w:val="000000"/>
                <w:sz w:val="20"/>
                <w:szCs w:val="20"/>
                <w:vertAlign w:val="superscript"/>
              </w:rPr>
              <w:t>g</w:t>
            </w:r>
            <w:proofErr w:type="spellEnd"/>
            <w:r w:rsidRPr="008D3541">
              <w:rPr>
                <w:rFonts w:asciiTheme="minorHAnsi" w:hAnsiTheme="minorHAnsi" w:cstheme="majorBidi"/>
                <w:color w:val="000000"/>
                <w:sz w:val="20"/>
                <w:szCs w:val="20"/>
              </w:rPr>
              <w:t xml:space="preserve"> in past 12 months, how many times, for which drug of concern, when used, source of referral to service</w:t>
            </w:r>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To identify commonly used health and welfare services and referral pathways</w:t>
            </w:r>
          </w:p>
        </w:tc>
      </w:tr>
      <w:tr w:rsidR="00246A73" w:rsidTr="009A5B3F">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Legal involvement</w:t>
            </w:r>
          </w:p>
        </w:tc>
        <w:tc>
          <w:tcPr>
            <w:tcW w:w="0" w:type="auto"/>
          </w:tcPr>
          <w:p w:rsidR="00972B3E" w:rsidRPr="008D3541" w:rsidRDefault="00972B3E" w:rsidP="002024D0">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 xml:space="preserve">Any legal </w:t>
            </w:r>
            <w:proofErr w:type="spellStart"/>
            <w:r w:rsidRPr="008D3541">
              <w:rPr>
                <w:rFonts w:asciiTheme="minorHAnsi" w:hAnsiTheme="minorHAnsi" w:cstheme="majorBidi"/>
                <w:color w:val="000000"/>
                <w:sz w:val="20"/>
                <w:szCs w:val="20"/>
              </w:rPr>
              <w:t>involvement</w:t>
            </w:r>
            <w:r w:rsidR="002024D0" w:rsidRPr="002024D0">
              <w:rPr>
                <w:rFonts w:asciiTheme="minorHAnsi" w:hAnsiTheme="minorHAnsi" w:cstheme="majorBidi"/>
                <w:color w:val="000000"/>
                <w:sz w:val="20"/>
                <w:szCs w:val="20"/>
                <w:vertAlign w:val="superscript"/>
              </w:rPr>
              <w:t>h</w:t>
            </w:r>
            <w:proofErr w:type="spellEnd"/>
            <w:r w:rsidRPr="008D3541">
              <w:rPr>
                <w:rFonts w:asciiTheme="minorHAnsi" w:hAnsiTheme="minorHAnsi" w:cstheme="majorBidi"/>
                <w:color w:val="000000"/>
                <w:sz w:val="20"/>
                <w:szCs w:val="20"/>
              </w:rPr>
              <w:t xml:space="preserve"> in past 12 months, how many times and when</w:t>
            </w:r>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To identify extent of simultaneous involvement in legal system</w:t>
            </w:r>
          </w:p>
        </w:tc>
      </w:tr>
    </w:tbl>
    <w:p w:rsidR="00972B3E" w:rsidRDefault="00972B3E" w:rsidP="00972B3E"/>
    <w:p w:rsidR="00972B3E" w:rsidRDefault="00972B3E" w:rsidP="00972B3E">
      <w:pPr>
        <w:spacing w:after="120" w:line="240" w:lineRule="auto"/>
        <w:ind w:left="1191" w:hanging="1134"/>
        <w:jc w:val="both"/>
      </w:pPr>
      <w:r>
        <w:br w:type="page"/>
      </w:r>
    </w:p>
    <w:p w:rsidR="00972B3E" w:rsidRPr="000B12F7" w:rsidRDefault="00561263" w:rsidP="00972B3E">
      <w:pPr>
        <w:pStyle w:val="FAREtableheading"/>
      </w:pPr>
      <w:r>
        <w:lastRenderedPageBreak/>
        <w:t xml:space="preserve">Table 3.1: </w:t>
      </w:r>
      <w:r w:rsidR="00972B3E" w:rsidRPr="000B12F7">
        <w:t>Items included in structured interview with clients ‘new’ to AOD treatment</w:t>
      </w:r>
      <w:r w:rsidR="00972B3E">
        <w:t xml:space="preserve"> (continued)</w:t>
      </w:r>
    </w:p>
    <w:tbl>
      <w:tblPr>
        <w:tblW w:w="0" w:type="auto"/>
        <w:tblLook w:val="04A0" w:firstRow="1" w:lastRow="0" w:firstColumn="1" w:lastColumn="0" w:noHBand="0" w:noVBand="1"/>
      </w:tblPr>
      <w:tblGrid>
        <w:gridCol w:w="2240"/>
        <w:gridCol w:w="3455"/>
        <w:gridCol w:w="3547"/>
      </w:tblGrid>
      <w:tr w:rsidR="00972B3E" w:rsidTr="009A5B3F">
        <w:tc>
          <w:tcPr>
            <w:tcW w:w="0" w:type="auto"/>
            <w:tcBorders>
              <w:top w:val="single" w:sz="4" w:space="0" w:color="auto"/>
              <w:bottom w:val="single" w:sz="4" w:space="0" w:color="auto"/>
            </w:tcBorders>
          </w:tcPr>
          <w:p w:rsidR="00972B3E" w:rsidRPr="008D3541" w:rsidRDefault="00972B3E" w:rsidP="009A5B3F">
            <w:pPr>
              <w:keepNext/>
              <w:spacing w:before="40" w:after="40"/>
              <w:rPr>
                <w:rFonts w:asciiTheme="minorHAnsi" w:hAnsiTheme="minorHAnsi" w:cstheme="majorBidi"/>
                <w:b/>
                <w:bCs/>
                <w:color w:val="000000"/>
              </w:rPr>
            </w:pPr>
            <w:r w:rsidRPr="008D3541">
              <w:rPr>
                <w:rFonts w:asciiTheme="minorHAnsi" w:hAnsiTheme="minorHAnsi" w:cstheme="majorBidi"/>
                <w:b/>
                <w:bCs/>
                <w:color w:val="000000"/>
              </w:rPr>
              <w:t>Domain</w:t>
            </w:r>
          </w:p>
        </w:tc>
        <w:tc>
          <w:tcPr>
            <w:tcW w:w="0" w:type="auto"/>
            <w:tcBorders>
              <w:top w:val="single" w:sz="4" w:space="0" w:color="auto"/>
              <w:bottom w:val="single" w:sz="4" w:space="0" w:color="auto"/>
            </w:tcBorders>
          </w:tcPr>
          <w:p w:rsidR="00972B3E" w:rsidRPr="008D3541" w:rsidRDefault="00972B3E" w:rsidP="009A5B3F">
            <w:pPr>
              <w:keepNext/>
              <w:spacing w:before="40" w:after="40"/>
              <w:rPr>
                <w:rFonts w:asciiTheme="minorHAnsi" w:hAnsiTheme="minorHAnsi" w:cstheme="majorBidi"/>
                <w:b/>
                <w:bCs/>
                <w:color w:val="000000"/>
              </w:rPr>
            </w:pPr>
            <w:r w:rsidRPr="008D3541">
              <w:rPr>
                <w:rFonts w:asciiTheme="minorHAnsi" w:hAnsiTheme="minorHAnsi" w:cstheme="majorBidi"/>
                <w:b/>
                <w:bCs/>
                <w:color w:val="000000"/>
              </w:rPr>
              <w:t>Survey items/instrument</w:t>
            </w:r>
          </w:p>
        </w:tc>
        <w:tc>
          <w:tcPr>
            <w:tcW w:w="0" w:type="auto"/>
            <w:tcBorders>
              <w:top w:val="single" w:sz="4" w:space="0" w:color="auto"/>
              <w:bottom w:val="single" w:sz="4" w:space="0" w:color="auto"/>
            </w:tcBorders>
          </w:tcPr>
          <w:p w:rsidR="00972B3E" w:rsidRPr="008D3541" w:rsidRDefault="00972B3E" w:rsidP="009A5B3F">
            <w:pPr>
              <w:keepNext/>
              <w:spacing w:before="40" w:after="40"/>
              <w:rPr>
                <w:rFonts w:asciiTheme="minorHAnsi" w:hAnsiTheme="minorHAnsi" w:cstheme="majorBidi"/>
                <w:b/>
                <w:bCs/>
                <w:color w:val="000000"/>
              </w:rPr>
            </w:pPr>
            <w:r w:rsidRPr="008D3541">
              <w:rPr>
                <w:rFonts w:asciiTheme="minorHAnsi" w:hAnsiTheme="minorHAnsi" w:cstheme="majorBidi"/>
                <w:b/>
                <w:bCs/>
                <w:color w:val="000000"/>
              </w:rPr>
              <w:t>Purpose</w:t>
            </w:r>
          </w:p>
        </w:tc>
      </w:tr>
      <w:tr w:rsidR="00972B3E" w:rsidTr="009A5B3F">
        <w:tc>
          <w:tcPr>
            <w:tcW w:w="0" w:type="auto"/>
            <w:gridSpan w:val="3"/>
            <w:tcBorders>
              <w:top w:val="single" w:sz="4" w:space="0" w:color="auto"/>
            </w:tcBorders>
          </w:tcPr>
          <w:p w:rsidR="00972B3E" w:rsidRPr="008D3541" w:rsidRDefault="00972B3E" w:rsidP="009A5B3F">
            <w:pPr>
              <w:keepNext/>
              <w:spacing w:before="40" w:after="40" w:line="240" w:lineRule="auto"/>
              <w:rPr>
                <w:rFonts w:asciiTheme="minorHAnsi" w:hAnsiTheme="minorHAnsi" w:cstheme="majorBidi"/>
                <w:i/>
                <w:color w:val="000000"/>
                <w:sz w:val="20"/>
                <w:szCs w:val="20"/>
              </w:rPr>
            </w:pPr>
            <w:r w:rsidRPr="008D3541">
              <w:rPr>
                <w:rFonts w:asciiTheme="minorHAnsi" w:hAnsiTheme="minorHAnsi" w:cstheme="majorBidi"/>
                <w:i/>
                <w:color w:val="000000"/>
                <w:sz w:val="20"/>
                <w:szCs w:val="20"/>
              </w:rPr>
              <w:t>Perspectives on treatment</w:t>
            </w:r>
          </w:p>
        </w:tc>
      </w:tr>
      <w:tr w:rsidR="00972B3E" w:rsidTr="009A5B3F">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Reasons for treatment seeking</w:t>
            </w:r>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D51944">
              <w:rPr>
                <w:rFonts w:asciiTheme="minorHAnsi" w:hAnsiTheme="minorHAnsi" w:cstheme="majorBidi"/>
                <w:color w:val="000000"/>
                <w:sz w:val="20"/>
                <w:szCs w:val="20"/>
              </w:rPr>
              <w:t xml:space="preserve">Events as Precipitators of Treatment Seeking questionnaire used in Swedish Addiction Treatment study, adapted from </w:t>
            </w:r>
            <w:r w:rsidR="00196F0F">
              <w:rPr>
                <w:rFonts w:asciiTheme="minorHAnsi" w:hAnsiTheme="minorHAnsi" w:cstheme="majorBidi"/>
                <w:color w:val="000000"/>
                <w:sz w:val="20"/>
                <w:szCs w:val="20"/>
              </w:rPr>
              <w:t>(</w:t>
            </w:r>
            <w:proofErr w:type="spellStart"/>
            <w:r w:rsidR="0062393D">
              <w:rPr>
                <w:rFonts w:asciiTheme="minorHAnsi" w:hAnsiTheme="minorHAnsi" w:cstheme="majorBidi"/>
                <w:color w:val="000000"/>
                <w:sz w:val="20"/>
                <w:szCs w:val="20"/>
              </w:rPr>
              <w:t>Weisner</w:t>
            </w:r>
            <w:proofErr w:type="spellEnd"/>
            <w:r w:rsidR="0062393D">
              <w:rPr>
                <w:rFonts w:asciiTheme="minorHAnsi" w:hAnsiTheme="minorHAnsi" w:cstheme="majorBidi"/>
                <w:color w:val="000000"/>
                <w:sz w:val="20"/>
                <w:szCs w:val="20"/>
              </w:rPr>
              <w:t xml:space="preserve">, </w:t>
            </w:r>
            <w:r>
              <w:rPr>
                <w:rFonts w:asciiTheme="minorHAnsi" w:hAnsiTheme="minorHAnsi" w:cstheme="majorBidi"/>
                <w:color w:val="000000"/>
                <w:sz w:val="20"/>
                <w:szCs w:val="20"/>
              </w:rPr>
              <w:t>1990</w:t>
            </w:r>
            <w:r w:rsidR="0062393D">
              <w:rPr>
                <w:rFonts w:asciiTheme="minorHAnsi" w:hAnsiTheme="minorHAnsi" w:cstheme="majorBidi"/>
                <w:color w:val="000000"/>
                <w:sz w:val="20"/>
                <w:szCs w:val="20"/>
              </w:rPr>
              <w:t>)</w:t>
            </w:r>
            <w:r w:rsidR="0062393D" w:rsidRPr="008D3541">
              <w:rPr>
                <w:rFonts w:asciiTheme="minorHAnsi" w:hAnsiTheme="minorHAnsi" w:cstheme="majorBidi"/>
                <w:color w:val="000000"/>
                <w:sz w:val="20"/>
                <w:szCs w:val="20"/>
              </w:rPr>
              <w:t xml:space="preserve"> </w:t>
            </w:r>
          </w:p>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14 items, yes/no. If ‘yes’ in past 12 months, rated perceived contribution to attending treatment from 1-3</w:t>
            </w:r>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To determine which life events are associated with treatment seeking</w:t>
            </w:r>
          </w:p>
          <w:p w:rsidR="00972B3E" w:rsidRPr="008D3541" w:rsidRDefault="00972B3E" w:rsidP="009A5B3F">
            <w:pPr>
              <w:keepNext/>
              <w:spacing w:before="40" w:after="40" w:line="240" w:lineRule="auto"/>
              <w:rPr>
                <w:rFonts w:asciiTheme="minorHAnsi" w:hAnsiTheme="minorHAnsi" w:cstheme="majorBidi"/>
                <w:color w:val="000000"/>
                <w:sz w:val="20"/>
                <w:szCs w:val="20"/>
              </w:rPr>
            </w:pPr>
          </w:p>
        </w:tc>
      </w:tr>
      <w:tr w:rsidR="00972B3E" w:rsidTr="009A5B3F">
        <w:tc>
          <w:tcPr>
            <w:tcW w:w="0" w:type="auto"/>
          </w:tcPr>
          <w:p w:rsidR="00972B3E" w:rsidRPr="008D3541" w:rsidRDefault="00972B3E" w:rsidP="002024D0">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 xml:space="preserve">Barriers to </w:t>
            </w:r>
            <w:proofErr w:type="spellStart"/>
            <w:r w:rsidRPr="008D3541">
              <w:rPr>
                <w:rFonts w:asciiTheme="minorHAnsi" w:hAnsiTheme="minorHAnsi" w:cstheme="majorBidi"/>
                <w:color w:val="000000"/>
                <w:sz w:val="20"/>
                <w:szCs w:val="20"/>
              </w:rPr>
              <w:t>treatment</w:t>
            </w:r>
            <w:r w:rsidR="002024D0">
              <w:rPr>
                <w:rFonts w:cstheme="majorBidi"/>
                <w:color w:val="000000"/>
                <w:sz w:val="20"/>
                <w:szCs w:val="20"/>
                <w:vertAlign w:val="superscript"/>
              </w:rPr>
              <w:t>i</w:t>
            </w:r>
            <w:proofErr w:type="spellEnd"/>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 xml:space="preserve">Barriers to Treatment Inventory (BTI) </w:t>
            </w:r>
            <w:r w:rsidR="00263BB3">
              <w:rPr>
                <w:rFonts w:asciiTheme="minorHAnsi" w:hAnsiTheme="minorHAnsi" w:cstheme="majorBidi"/>
                <w:color w:val="000000"/>
                <w:sz w:val="20"/>
                <w:szCs w:val="20"/>
              </w:rPr>
              <w:t>(</w:t>
            </w:r>
            <w:r w:rsidR="00263BB3" w:rsidRPr="00263BB3">
              <w:rPr>
                <w:rFonts w:asciiTheme="minorHAnsi" w:hAnsiTheme="minorHAnsi" w:cstheme="majorBidi"/>
                <w:color w:val="000000"/>
                <w:sz w:val="20"/>
                <w:szCs w:val="20"/>
              </w:rPr>
              <w:t>Rapp et al., 2006)</w:t>
            </w:r>
          </w:p>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25 items, each scored 1-5</w:t>
            </w:r>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sidRPr="008D3541">
              <w:rPr>
                <w:rFonts w:asciiTheme="minorHAnsi" w:hAnsiTheme="minorHAnsi" w:cstheme="majorBidi"/>
                <w:color w:val="000000"/>
                <w:sz w:val="20"/>
                <w:szCs w:val="20"/>
              </w:rPr>
              <w:t>To assess seven perceived barriers to treatment: absence of problem, negative social support, fear of treatment, privacy concerns, time conflict, poor treatment availability, and admission difficulty.</w:t>
            </w:r>
          </w:p>
        </w:tc>
      </w:tr>
      <w:tr w:rsidR="00972B3E" w:rsidTr="009A5B3F">
        <w:tc>
          <w:tcPr>
            <w:tcW w:w="0" w:type="auto"/>
          </w:tcPr>
          <w:p w:rsidR="00972B3E" w:rsidRPr="008D3541" w:rsidRDefault="00972B3E" w:rsidP="00053DA9">
            <w:pPr>
              <w:keepNext/>
              <w:spacing w:before="40" w:after="40" w:line="240" w:lineRule="auto"/>
              <w:rPr>
                <w:rFonts w:asciiTheme="minorHAnsi" w:hAnsiTheme="minorHAnsi" w:cstheme="majorBidi"/>
                <w:color w:val="000000"/>
                <w:sz w:val="20"/>
                <w:szCs w:val="20"/>
              </w:rPr>
            </w:pPr>
            <w:r>
              <w:rPr>
                <w:rFonts w:asciiTheme="minorHAnsi" w:hAnsiTheme="minorHAnsi" w:cstheme="majorBidi"/>
                <w:color w:val="000000"/>
                <w:sz w:val="20"/>
                <w:szCs w:val="20"/>
              </w:rPr>
              <w:t xml:space="preserve">Reflections on PIT experiences </w:t>
            </w:r>
            <w:r w:rsidR="00053DA9">
              <w:rPr>
                <w:rFonts w:asciiTheme="minorHAnsi" w:hAnsiTheme="minorHAnsi" w:cstheme="majorBidi"/>
                <w:color w:val="000000"/>
                <w:sz w:val="20"/>
                <w:szCs w:val="20"/>
                <w:vertAlign w:val="superscript"/>
              </w:rPr>
              <w:t>j</w:t>
            </w:r>
          </w:p>
        </w:tc>
        <w:tc>
          <w:tcPr>
            <w:tcW w:w="0" w:type="auto"/>
          </w:tcPr>
          <w:p w:rsidR="00972B3E" w:rsidRPr="008D3541" w:rsidRDefault="00972B3E" w:rsidP="00263BB3">
            <w:pPr>
              <w:rPr>
                <w:rFonts w:asciiTheme="minorHAnsi" w:hAnsiTheme="minorHAnsi" w:cstheme="majorBidi"/>
                <w:color w:val="000000"/>
                <w:sz w:val="20"/>
                <w:szCs w:val="20"/>
              </w:rPr>
            </w:pPr>
            <w:r>
              <w:rPr>
                <w:rFonts w:asciiTheme="minorHAnsi" w:hAnsiTheme="minorHAnsi" w:cstheme="majorBidi"/>
                <w:color w:val="000000"/>
                <w:sz w:val="20"/>
                <w:szCs w:val="20"/>
              </w:rPr>
              <w:t>Client satisfaction questionnaire (CSQ-8)</w:t>
            </w:r>
            <w:r w:rsidR="00263BB3">
              <w:t xml:space="preserve"> </w:t>
            </w:r>
            <w:r w:rsidR="00263BB3" w:rsidRPr="00263BB3">
              <w:rPr>
                <w:rFonts w:asciiTheme="minorHAnsi" w:hAnsiTheme="minorHAnsi" w:cstheme="majorBidi"/>
                <w:color w:val="000000"/>
                <w:sz w:val="20"/>
                <w:szCs w:val="20"/>
              </w:rPr>
              <w:t>(Attkisson &amp; Greenfield, 2004).</w:t>
            </w:r>
            <w:r w:rsidRPr="005E475F">
              <w:rPr>
                <w:rFonts w:asciiTheme="minorHAnsi" w:hAnsiTheme="minorHAnsi" w:cstheme="majorBidi"/>
                <w:color w:val="000000"/>
                <w:sz w:val="20"/>
                <w:szCs w:val="20"/>
              </w:rPr>
              <w:t>8</w:t>
            </w:r>
            <w:r>
              <w:rPr>
                <w:rFonts w:asciiTheme="minorHAnsi" w:hAnsiTheme="minorHAnsi" w:cstheme="majorBidi"/>
                <w:color w:val="000000"/>
                <w:sz w:val="20"/>
                <w:szCs w:val="20"/>
              </w:rPr>
              <w:t xml:space="preserve"> items consisting of 4 possible responses indicating satisfaction with various elements.</w:t>
            </w:r>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Pr>
                <w:rFonts w:asciiTheme="minorHAnsi" w:hAnsiTheme="minorHAnsi" w:cstheme="majorBidi"/>
                <w:color w:val="000000"/>
                <w:sz w:val="20"/>
                <w:szCs w:val="20"/>
              </w:rPr>
              <w:t>To assess client satisfaction with treatment</w:t>
            </w:r>
          </w:p>
        </w:tc>
      </w:tr>
      <w:tr w:rsidR="00972B3E" w:rsidTr="009A5B3F">
        <w:tc>
          <w:tcPr>
            <w:tcW w:w="0" w:type="auto"/>
          </w:tcPr>
          <w:p w:rsidR="00972B3E" w:rsidRDefault="00972B3E" w:rsidP="00053DA9">
            <w:pPr>
              <w:keepNext/>
              <w:spacing w:before="40" w:after="40" w:line="240" w:lineRule="auto"/>
              <w:rPr>
                <w:rFonts w:asciiTheme="minorHAnsi" w:hAnsiTheme="minorHAnsi" w:cstheme="majorBidi"/>
                <w:color w:val="000000"/>
                <w:sz w:val="20"/>
                <w:szCs w:val="20"/>
              </w:rPr>
            </w:pPr>
            <w:r>
              <w:rPr>
                <w:rFonts w:asciiTheme="minorHAnsi" w:hAnsiTheme="minorHAnsi" w:cstheme="majorBidi"/>
                <w:color w:val="000000"/>
                <w:sz w:val="20"/>
                <w:szCs w:val="20"/>
              </w:rPr>
              <w:t xml:space="preserve">Reflection on overall AOD service experiences </w:t>
            </w:r>
            <w:r w:rsidR="00053DA9">
              <w:rPr>
                <w:rFonts w:asciiTheme="minorHAnsi" w:hAnsiTheme="minorHAnsi" w:cstheme="majorBidi"/>
                <w:color w:val="000000"/>
                <w:sz w:val="20"/>
                <w:szCs w:val="20"/>
                <w:vertAlign w:val="superscript"/>
              </w:rPr>
              <w:t>j</w:t>
            </w:r>
          </w:p>
        </w:tc>
        <w:tc>
          <w:tcPr>
            <w:tcW w:w="0" w:type="auto"/>
          </w:tcPr>
          <w:p w:rsidR="00972B3E" w:rsidRDefault="00972B3E" w:rsidP="009A5B3F">
            <w:pPr>
              <w:keepNext/>
              <w:spacing w:before="40" w:after="40" w:line="240" w:lineRule="auto"/>
              <w:rPr>
                <w:rFonts w:asciiTheme="minorHAnsi" w:hAnsiTheme="minorHAnsi" w:cstheme="majorBidi"/>
                <w:color w:val="000000"/>
                <w:sz w:val="20"/>
                <w:szCs w:val="20"/>
              </w:rPr>
            </w:pPr>
            <w:r>
              <w:rPr>
                <w:rFonts w:asciiTheme="minorHAnsi" w:hAnsiTheme="minorHAnsi" w:cstheme="majorBidi"/>
                <w:color w:val="000000"/>
                <w:sz w:val="20"/>
                <w:szCs w:val="20"/>
              </w:rPr>
              <w:t>Items 6 and 7 extrapolated from the CSQ-8</w:t>
            </w:r>
            <w:r w:rsidR="00A67AC9">
              <w:rPr>
                <w:rFonts w:asciiTheme="minorHAnsi" w:hAnsiTheme="minorHAnsi" w:cstheme="majorBidi"/>
                <w:color w:val="000000"/>
                <w:sz w:val="20"/>
                <w:szCs w:val="20"/>
              </w:rPr>
              <w:t>.</w:t>
            </w:r>
            <w:r>
              <w:rPr>
                <w:rFonts w:asciiTheme="minorHAnsi" w:hAnsiTheme="minorHAnsi" w:cstheme="majorBidi"/>
                <w:color w:val="000000"/>
                <w:sz w:val="20"/>
                <w:szCs w:val="20"/>
              </w:rPr>
              <w:t xml:space="preserve"> </w:t>
            </w:r>
          </w:p>
        </w:tc>
        <w:tc>
          <w:tcPr>
            <w:tcW w:w="0" w:type="auto"/>
          </w:tcPr>
          <w:p w:rsidR="00972B3E" w:rsidRPr="008D3541" w:rsidRDefault="00972B3E" w:rsidP="009A5B3F">
            <w:pPr>
              <w:keepNext/>
              <w:spacing w:before="40" w:after="40" w:line="240" w:lineRule="auto"/>
              <w:rPr>
                <w:rFonts w:asciiTheme="minorHAnsi" w:hAnsiTheme="minorHAnsi" w:cstheme="majorBidi"/>
                <w:color w:val="000000"/>
                <w:sz w:val="20"/>
                <w:szCs w:val="20"/>
              </w:rPr>
            </w:pPr>
            <w:r>
              <w:rPr>
                <w:rFonts w:asciiTheme="minorHAnsi" w:hAnsiTheme="minorHAnsi" w:cstheme="majorBidi"/>
                <w:color w:val="000000"/>
                <w:sz w:val="20"/>
                <w:szCs w:val="20"/>
              </w:rPr>
              <w:t>To assess overall service effectiveness and satisfaction</w:t>
            </w:r>
          </w:p>
        </w:tc>
      </w:tr>
      <w:tr w:rsidR="00972B3E" w:rsidTr="009A5B3F">
        <w:tc>
          <w:tcPr>
            <w:tcW w:w="0" w:type="auto"/>
          </w:tcPr>
          <w:p w:rsidR="00972B3E" w:rsidRPr="00A70727" w:rsidRDefault="00972B3E" w:rsidP="00053DA9">
            <w:pPr>
              <w:keepNext/>
              <w:spacing w:before="40" w:after="40" w:line="240" w:lineRule="auto"/>
              <w:rPr>
                <w:rFonts w:asciiTheme="minorHAnsi" w:hAnsiTheme="minorHAnsi" w:cstheme="majorBidi"/>
                <w:color w:val="000000"/>
                <w:sz w:val="20"/>
                <w:szCs w:val="20"/>
              </w:rPr>
            </w:pPr>
            <w:r w:rsidRPr="00A70727">
              <w:rPr>
                <w:rFonts w:asciiTheme="minorHAnsi" w:hAnsiTheme="minorHAnsi" w:cstheme="majorBidi"/>
                <w:color w:val="000000"/>
                <w:sz w:val="20"/>
                <w:szCs w:val="20"/>
              </w:rPr>
              <w:t xml:space="preserve">Reasons for early treatment cessation </w:t>
            </w:r>
            <w:proofErr w:type="spellStart"/>
            <w:r w:rsidR="00053DA9">
              <w:rPr>
                <w:rFonts w:asciiTheme="minorHAnsi" w:hAnsiTheme="minorHAnsi" w:cstheme="majorBidi"/>
                <w:color w:val="000000"/>
                <w:sz w:val="20"/>
                <w:szCs w:val="20"/>
                <w:vertAlign w:val="superscript"/>
              </w:rPr>
              <w:t>jk</w:t>
            </w:r>
            <w:proofErr w:type="spellEnd"/>
          </w:p>
        </w:tc>
        <w:tc>
          <w:tcPr>
            <w:tcW w:w="0" w:type="auto"/>
          </w:tcPr>
          <w:p w:rsidR="00972B3E" w:rsidRPr="00A70727" w:rsidRDefault="00972B3E" w:rsidP="009A5B3F">
            <w:pPr>
              <w:keepNext/>
              <w:spacing w:before="40" w:after="40" w:line="240" w:lineRule="auto"/>
              <w:rPr>
                <w:rFonts w:asciiTheme="minorHAnsi" w:hAnsiTheme="minorHAnsi" w:cstheme="majorBidi"/>
                <w:color w:val="000000"/>
                <w:sz w:val="20"/>
                <w:szCs w:val="20"/>
              </w:rPr>
            </w:pPr>
            <w:r w:rsidRPr="00A70727">
              <w:rPr>
                <w:rFonts w:asciiTheme="minorHAnsi" w:hAnsiTheme="minorHAnsi" w:cstheme="majorBidi"/>
                <w:color w:val="000000"/>
                <w:sz w:val="20"/>
                <w:szCs w:val="20"/>
              </w:rPr>
              <w:t>Women and men in Swedish addiction treatment</w:t>
            </w:r>
            <w:r w:rsidR="00196F0F">
              <w:rPr>
                <w:rFonts w:asciiTheme="minorHAnsi" w:hAnsiTheme="minorHAnsi" w:cstheme="majorBidi"/>
                <w:color w:val="000000"/>
                <w:sz w:val="20"/>
                <w:szCs w:val="20"/>
              </w:rPr>
              <w:t xml:space="preserve"> (Room et al., 2003</w:t>
            </w:r>
            <w:proofErr w:type="gramStart"/>
            <w:r w:rsidR="00196F0F">
              <w:rPr>
                <w:rFonts w:asciiTheme="minorHAnsi" w:hAnsiTheme="minorHAnsi" w:cstheme="majorBidi"/>
                <w:color w:val="000000"/>
                <w:sz w:val="20"/>
                <w:szCs w:val="20"/>
              </w:rPr>
              <w:t xml:space="preserve">) </w:t>
            </w:r>
            <w:r w:rsidRPr="00A70727">
              <w:rPr>
                <w:rFonts w:asciiTheme="minorHAnsi" w:hAnsiTheme="minorHAnsi" w:cstheme="majorBidi"/>
                <w:color w:val="000000"/>
                <w:sz w:val="20"/>
                <w:szCs w:val="20"/>
                <w:vertAlign w:val="superscript"/>
              </w:rPr>
              <w:t xml:space="preserve"> </w:t>
            </w:r>
            <w:r w:rsidRPr="00A70727">
              <w:rPr>
                <w:rFonts w:asciiTheme="minorHAnsi" w:hAnsiTheme="minorHAnsi" w:cstheme="majorBidi"/>
                <w:color w:val="000000"/>
                <w:sz w:val="20"/>
                <w:szCs w:val="20"/>
              </w:rPr>
              <w:t>13</w:t>
            </w:r>
            <w:proofErr w:type="gramEnd"/>
            <w:r w:rsidRPr="00A70727">
              <w:rPr>
                <w:rFonts w:asciiTheme="minorHAnsi" w:hAnsiTheme="minorHAnsi" w:cstheme="majorBidi"/>
                <w:color w:val="000000"/>
                <w:sz w:val="20"/>
                <w:szCs w:val="20"/>
              </w:rPr>
              <w:t xml:space="preserve">-16 items. </w:t>
            </w:r>
          </w:p>
        </w:tc>
        <w:tc>
          <w:tcPr>
            <w:tcW w:w="0" w:type="auto"/>
          </w:tcPr>
          <w:p w:rsidR="00972B3E" w:rsidRPr="00A70727" w:rsidRDefault="00972B3E" w:rsidP="009A5B3F">
            <w:pPr>
              <w:keepNext/>
              <w:spacing w:before="40" w:after="40" w:line="240" w:lineRule="auto"/>
              <w:rPr>
                <w:rFonts w:asciiTheme="minorHAnsi" w:hAnsiTheme="minorHAnsi" w:cstheme="majorBidi"/>
                <w:color w:val="000000"/>
                <w:sz w:val="20"/>
                <w:szCs w:val="20"/>
              </w:rPr>
            </w:pPr>
            <w:r w:rsidRPr="00A70727">
              <w:rPr>
                <w:rFonts w:asciiTheme="minorHAnsi" w:hAnsiTheme="minorHAnsi" w:cstheme="majorBidi"/>
                <w:color w:val="000000"/>
                <w:sz w:val="20"/>
                <w:szCs w:val="20"/>
              </w:rPr>
              <w:t>To identify contributing factors for not completing primary index treatment</w:t>
            </w:r>
          </w:p>
        </w:tc>
      </w:tr>
      <w:tr w:rsidR="00972B3E" w:rsidTr="009A5B3F">
        <w:tc>
          <w:tcPr>
            <w:tcW w:w="0" w:type="auto"/>
          </w:tcPr>
          <w:p w:rsidR="00972B3E" w:rsidRPr="00A70727" w:rsidRDefault="00972B3E" w:rsidP="009A5B3F">
            <w:pPr>
              <w:keepNext/>
              <w:spacing w:before="40" w:after="40" w:line="240" w:lineRule="auto"/>
              <w:rPr>
                <w:rFonts w:asciiTheme="minorHAnsi" w:hAnsiTheme="minorHAnsi" w:cstheme="majorBidi"/>
                <w:color w:val="000000"/>
                <w:sz w:val="20"/>
                <w:szCs w:val="20"/>
              </w:rPr>
            </w:pPr>
            <w:r w:rsidRPr="00A70727">
              <w:rPr>
                <w:rFonts w:asciiTheme="minorHAnsi" w:hAnsiTheme="minorHAnsi" w:cstheme="majorBidi"/>
                <w:color w:val="000000"/>
                <w:sz w:val="20"/>
                <w:szCs w:val="20"/>
              </w:rPr>
              <w:t>Stigma</w:t>
            </w:r>
          </w:p>
        </w:tc>
        <w:tc>
          <w:tcPr>
            <w:tcW w:w="0" w:type="auto"/>
          </w:tcPr>
          <w:p w:rsidR="00F55F1B" w:rsidRPr="00F55F1B" w:rsidRDefault="00972B3E" w:rsidP="00F55F1B">
            <w:pPr>
              <w:rPr>
                <w:rFonts w:asciiTheme="minorHAnsi" w:hAnsiTheme="minorHAnsi" w:cstheme="majorBidi"/>
                <w:color w:val="000000"/>
                <w:sz w:val="20"/>
                <w:szCs w:val="20"/>
              </w:rPr>
            </w:pPr>
            <w:r w:rsidRPr="00A70727">
              <w:rPr>
                <w:rFonts w:asciiTheme="minorHAnsi" w:hAnsiTheme="minorHAnsi" w:cstheme="majorBidi"/>
                <w:color w:val="000000"/>
                <w:sz w:val="20"/>
                <w:szCs w:val="20"/>
              </w:rPr>
              <w:t xml:space="preserve">Modified version of the Discrimination and Stigma Scale DISC-12 </w:t>
            </w:r>
            <w:r w:rsidR="00F55F1B" w:rsidRPr="00F55F1B">
              <w:rPr>
                <w:rFonts w:asciiTheme="minorHAnsi" w:hAnsiTheme="minorHAnsi" w:cstheme="majorBidi"/>
                <w:color w:val="000000"/>
                <w:sz w:val="20"/>
                <w:szCs w:val="20"/>
              </w:rPr>
              <w:t>(</w:t>
            </w:r>
            <w:proofErr w:type="spellStart"/>
            <w:r w:rsidR="00F55F1B" w:rsidRPr="00F55F1B">
              <w:rPr>
                <w:rFonts w:asciiTheme="minorHAnsi" w:hAnsiTheme="minorHAnsi" w:cstheme="majorBidi"/>
                <w:color w:val="000000"/>
                <w:sz w:val="20"/>
                <w:szCs w:val="20"/>
              </w:rPr>
              <w:t>Brohan</w:t>
            </w:r>
            <w:proofErr w:type="spellEnd"/>
            <w:r w:rsidR="00F55F1B" w:rsidRPr="00F55F1B">
              <w:rPr>
                <w:rFonts w:asciiTheme="minorHAnsi" w:hAnsiTheme="minorHAnsi" w:cstheme="majorBidi"/>
                <w:color w:val="000000"/>
                <w:sz w:val="20"/>
                <w:szCs w:val="20"/>
              </w:rPr>
              <w:t xml:space="preserve"> et al., 2011).</w:t>
            </w:r>
          </w:p>
          <w:p w:rsidR="00972B3E" w:rsidRPr="00A70727" w:rsidRDefault="00972B3E" w:rsidP="00F55F1B">
            <w:pPr>
              <w:keepNext/>
              <w:spacing w:before="40" w:after="40" w:line="240" w:lineRule="auto"/>
              <w:rPr>
                <w:rFonts w:asciiTheme="minorHAnsi" w:hAnsiTheme="minorHAnsi" w:cstheme="majorBidi"/>
                <w:color w:val="000000"/>
                <w:sz w:val="20"/>
                <w:szCs w:val="20"/>
              </w:rPr>
            </w:pPr>
            <w:r w:rsidRPr="00A70727">
              <w:rPr>
                <w:rFonts w:asciiTheme="minorHAnsi" w:hAnsiTheme="minorHAnsi" w:cstheme="majorBidi"/>
                <w:color w:val="000000"/>
                <w:sz w:val="20"/>
                <w:szCs w:val="20"/>
              </w:rPr>
              <w:t>4 sections, 32 items in total, each scored 0-3 or not applicable</w:t>
            </w:r>
          </w:p>
        </w:tc>
        <w:tc>
          <w:tcPr>
            <w:tcW w:w="0" w:type="auto"/>
          </w:tcPr>
          <w:p w:rsidR="00972B3E" w:rsidRPr="00A70727" w:rsidRDefault="00972B3E" w:rsidP="009A5B3F">
            <w:pPr>
              <w:keepNext/>
              <w:spacing w:before="40" w:after="40" w:line="240" w:lineRule="auto"/>
              <w:rPr>
                <w:rFonts w:asciiTheme="minorHAnsi" w:hAnsiTheme="minorHAnsi" w:cstheme="majorBidi"/>
                <w:color w:val="000000"/>
                <w:sz w:val="20"/>
                <w:szCs w:val="20"/>
              </w:rPr>
            </w:pPr>
            <w:r w:rsidRPr="00A70727">
              <w:rPr>
                <w:rFonts w:asciiTheme="minorHAnsi" w:hAnsiTheme="minorHAnsi" w:cstheme="majorBidi"/>
                <w:color w:val="000000"/>
                <w:sz w:val="20"/>
                <w:szCs w:val="20"/>
              </w:rPr>
              <w:t>To assess three types of discrimination: positive experienced, negative experienced, and anticipated; and overcoming discrimination</w:t>
            </w:r>
          </w:p>
        </w:tc>
      </w:tr>
      <w:tr w:rsidR="00972B3E" w:rsidTr="009A5B3F">
        <w:tc>
          <w:tcPr>
            <w:tcW w:w="0" w:type="auto"/>
          </w:tcPr>
          <w:p w:rsidR="00972B3E" w:rsidRPr="00A70727" w:rsidRDefault="00972B3E" w:rsidP="00053DA9">
            <w:pPr>
              <w:keepNext/>
              <w:spacing w:before="40" w:after="40" w:line="240" w:lineRule="auto"/>
              <w:rPr>
                <w:rFonts w:asciiTheme="minorHAnsi" w:hAnsiTheme="minorHAnsi" w:cstheme="majorBidi"/>
                <w:color w:val="000000"/>
                <w:sz w:val="20"/>
                <w:szCs w:val="20"/>
              </w:rPr>
            </w:pPr>
            <w:r w:rsidRPr="00A70727">
              <w:rPr>
                <w:rFonts w:asciiTheme="minorHAnsi" w:hAnsiTheme="minorHAnsi"/>
                <w:sz w:val="20"/>
                <w:szCs w:val="20"/>
              </w:rPr>
              <w:t xml:space="preserve">Current treatment/substance use  goals </w:t>
            </w:r>
            <w:r w:rsidR="00053DA9">
              <w:rPr>
                <w:sz w:val="20"/>
                <w:szCs w:val="20"/>
                <w:vertAlign w:val="superscript"/>
              </w:rPr>
              <w:t>l</w:t>
            </w:r>
          </w:p>
        </w:tc>
        <w:tc>
          <w:tcPr>
            <w:tcW w:w="0" w:type="auto"/>
          </w:tcPr>
          <w:p w:rsidR="00972B3E" w:rsidRPr="00A70727" w:rsidRDefault="00972B3E" w:rsidP="009A5B3F">
            <w:pPr>
              <w:keepNext/>
              <w:spacing w:before="40" w:after="40" w:line="240" w:lineRule="auto"/>
              <w:rPr>
                <w:rFonts w:asciiTheme="minorHAnsi" w:hAnsiTheme="minorHAnsi" w:cstheme="majorBidi"/>
                <w:color w:val="000000"/>
                <w:sz w:val="20"/>
                <w:szCs w:val="20"/>
              </w:rPr>
            </w:pPr>
            <w:r w:rsidRPr="00A70727">
              <w:rPr>
                <w:rFonts w:asciiTheme="minorHAnsi" w:hAnsiTheme="minorHAnsi" w:cstheme="majorBidi"/>
                <w:color w:val="000000"/>
                <w:sz w:val="20"/>
                <w:szCs w:val="20"/>
              </w:rPr>
              <w:t>Items taken from the Women and Men in Swedish Addiction Treat</w:t>
            </w:r>
            <w:r w:rsidR="00196F0F">
              <w:rPr>
                <w:rFonts w:asciiTheme="minorHAnsi" w:hAnsiTheme="minorHAnsi" w:cstheme="majorBidi"/>
                <w:color w:val="000000"/>
                <w:sz w:val="20"/>
                <w:szCs w:val="20"/>
              </w:rPr>
              <w:t xml:space="preserve">ment study (Room et al., 2003) </w:t>
            </w:r>
            <w:r w:rsidRPr="00A70727">
              <w:rPr>
                <w:rFonts w:asciiTheme="minorHAnsi" w:hAnsiTheme="minorHAnsi" w:cstheme="majorBidi"/>
                <w:color w:val="000000"/>
                <w:sz w:val="20"/>
                <w:szCs w:val="20"/>
              </w:rPr>
              <w:t xml:space="preserve">2 items, scored 1-5 or 1-6   </w:t>
            </w:r>
          </w:p>
        </w:tc>
        <w:tc>
          <w:tcPr>
            <w:tcW w:w="0" w:type="auto"/>
          </w:tcPr>
          <w:p w:rsidR="00972B3E" w:rsidRPr="00A70727" w:rsidRDefault="00972B3E" w:rsidP="009A5B3F">
            <w:pPr>
              <w:keepNext/>
              <w:spacing w:before="40" w:after="40" w:line="240" w:lineRule="auto"/>
              <w:rPr>
                <w:rFonts w:asciiTheme="minorHAnsi" w:hAnsiTheme="minorHAnsi" w:cstheme="majorBidi"/>
                <w:color w:val="000000"/>
                <w:sz w:val="20"/>
                <w:szCs w:val="20"/>
              </w:rPr>
            </w:pPr>
            <w:r w:rsidRPr="00A70727">
              <w:rPr>
                <w:rFonts w:asciiTheme="minorHAnsi" w:hAnsiTheme="minorHAnsi" w:cstheme="majorBidi"/>
                <w:color w:val="000000"/>
                <w:sz w:val="20"/>
                <w:szCs w:val="20"/>
              </w:rPr>
              <w:t xml:space="preserve">To differentiate substance use goals as determined by abstinence, reduction, or harm reduction. </w:t>
            </w:r>
          </w:p>
        </w:tc>
      </w:tr>
      <w:tr w:rsidR="00972B3E" w:rsidTr="009A5B3F">
        <w:tc>
          <w:tcPr>
            <w:tcW w:w="0" w:type="auto"/>
            <w:tcBorders>
              <w:bottom w:val="single" w:sz="4" w:space="0" w:color="auto"/>
            </w:tcBorders>
          </w:tcPr>
          <w:p w:rsidR="00972B3E" w:rsidRPr="00A70727" w:rsidRDefault="00972B3E" w:rsidP="00053DA9">
            <w:pPr>
              <w:keepNext/>
              <w:spacing w:before="40" w:after="40" w:line="240" w:lineRule="auto"/>
              <w:rPr>
                <w:rFonts w:asciiTheme="minorHAnsi" w:hAnsiTheme="minorHAnsi"/>
                <w:sz w:val="20"/>
                <w:szCs w:val="20"/>
              </w:rPr>
            </w:pPr>
            <w:r w:rsidRPr="00A70727">
              <w:rPr>
                <w:rFonts w:asciiTheme="minorHAnsi" w:hAnsiTheme="minorHAnsi" w:cstheme="majorBidi"/>
                <w:color w:val="000000"/>
                <w:sz w:val="20"/>
                <w:szCs w:val="20"/>
              </w:rPr>
              <w:t xml:space="preserve">Current treatment </w:t>
            </w:r>
            <w:proofErr w:type="spellStart"/>
            <w:r w:rsidRPr="00A70727">
              <w:rPr>
                <w:rFonts w:asciiTheme="minorHAnsi" w:hAnsiTheme="minorHAnsi" w:cstheme="majorBidi"/>
                <w:color w:val="000000"/>
                <w:sz w:val="20"/>
                <w:szCs w:val="20"/>
              </w:rPr>
              <w:t>experience</w:t>
            </w:r>
            <w:r w:rsidR="00053DA9">
              <w:rPr>
                <w:rFonts w:cstheme="majorBidi"/>
                <w:color w:val="000000"/>
                <w:sz w:val="20"/>
                <w:szCs w:val="20"/>
                <w:vertAlign w:val="superscript"/>
              </w:rPr>
              <w:t>m</w:t>
            </w:r>
            <w:proofErr w:type="spellEnd"/>
          </w:p>
        </w:tc>
        <w:tc>
          <w:tcPr>
            <w:tcW w:w="0" w:type="auto"/>
            <w:tcBorders>
              <w:bottom w:val="single" w:sz="4" w:space="0" w:color="auto"/>
            </w:tcBorders>
          </w:tcPr>
          <w:p w:rsidR="00972B3E" w:rsidRPr="00A70727" w:rsidRDefault="00972B3E" w:rsidP="009A5B3F">
            <w:pPr>
              <w:keepNext/>
              <w:spacing w:before="40" w:after="40" w:line="240" w:lineRule="auto"/>
              <w:rPr>
                <w:rFonts w:asciiTheme="minorHAnsi" w:hAnsiTheme="minorHAnsi" w:cstheme="majorBidi"/>
                <w:color w:val="000000"/>
                <w:sz w:val="20"/>
                <w:szCs w:val="20"/>
              </w:rPr>
            </w:pPr>
            <w:r w:rsidRPr="00A70727">
              <w:rPr>
                <w:rFonts w:asciiTheme="minorHAnsi" w:hAnsiTheme="minorHAnsi" w:cstheme="majorBidi"/>
                <w:color w:val="000000"/>
                <w:sz w:val="20"/>
                <w:szCs w:val="20"/>
              </w:rPr>
              <w:t>Items taken from the Women and Men in Swedish Addiction Treatment study (Room et al., 2003). 11 items each scored 1-4</w:t>
            </w:r>
          </w:p>
        </w:tc>
        <w:tc>
          <w:tcPr>
            <w:tcW w:w="0" w:type="auto"/>
            <w:tcBorders>
              <w:bottom w:val="single" w:sz="4" w:space="0" w:color="auto"/>
            </w:tcBorders>
          </w:tcPr>
          <w:p w:rsidR="00972B3E" w:rsidRPr="00A70727" w:rsidRDefault="00972B3E" w:rsidP="009A5B3F">
            <w:pPr>
              <w:keepNext/>
              <w:spacing w:before="40" w:after="40" w:line="240" w:lineRule="auto"/>
              <w:rPr>
                <w:rFonts w:asciiTheme="minorHAnsi" w:hAnsiTheme="minorHAnsi" w:cstheme="majorBidi"/>
                <w:color w:val="000000"/>
                <w:sz w:val="20"/>
                <w:szCs w:val="20"/>
              </w:rPr>
            </w:pPr>
            <w:r w:rsidRPr="00A70727">
              <w:rPr>
                <w:rFonts w:asciiTheme="minorHAnsi" w:hAnsiTheme="minorHAnsi" w:cstheme="majorBidi"/>
                <w:color w:val="000000"/>
                <w:sz w:val="20"/>
                <w:szCs w:val="20"/>
              </w:rPr>
              <w:t xml:space="preserve">To determine treatment expectations and impressions of treatment. </w:t>
            </w:r>
          </w:p>
        </w:tc>
      </w:tr>
    </w:tbl>
    <w:p w:rsidR="00972B3E" w:rsidRPr="008E0FD3" w:rsidRDefault="00053DA9" w:rsidP="00972B3E">
      <w:pPr>
        <w:pStyle w:val="ListParagraph"/>
        <w:spacing w:after="120" w:line="240" w:lineRule="auto"/>
        <w:ind w:left="284" w:hanging="284"/>
        <w:rPr>
          <w:rFonts w:ascii="Calibri" w:hAnsi="Calibri"/>
          <w:sz w:val="18"/>
        </w:rPr>
      </w:pPr>
      <w:proofErr w:type="gramStart"/>
      <w:r w:rsidRPr="008E0FD3">
        <w:rPr>
          <w:rFonts w:ascii="Calibri" w:hAnsi="Calibri"/>
          <w:sz w:val="18"/>
        </w:rPr>
        <w:t>a</w:t>
      </w:r>
      <w:proofErr w:type="gramEnd"/>
      <w:r w:rsidR="00972B3E" w:rsidRPr="008E0FD3">
        <w:rPr>
          <w:rFonts w:ascii="Calibri" w:hAnsi="Calibri"/>
          <w:sz w:val="18"/>
        </w:rPr>
        <w:t xml:space="preserve"> </w:t>
      </w:r>
      <w:r w:rsidR="00972B3E" w:rsidRPr="008E0FD3">
        <w:rPr>
          <w:rFonts w:ascii="Calibri" w:hAnsi="Calibri"/>
          <w:sz w:val="18"/>
        </w:rPr>
        <w:tab/>
        <w:t xml:space="preserve">Selected demographics: date of birth, nationality and cultural background not asked at </w:t>
      </w:r>
      <w:r w:rsidR="00225DFE" w:rsidRPr="008E0FD3">
        <w:rPr>
          <w:rFonts w:ascii="Calibri" w:hAnsi="Calibri"/>
          <w:sz w:val="18"/>
        </w:rPr>
        <w:t>follow-up</w:t>
      </w:r>
      <w:r w:rsidR="00972B3E" w:rsidRPr="008E0FD3">
        <w:rPr>
          <w:rFonts w:ascii="Calibri" w:hAnsi="Calibri"/>
          <w:sz w:val="18"/>
        </w:rPr>
        <w:t xml:space="preserve"> </w:t>
      </w:r>
    </w:p>
    <w:p w:rsidR="00972B3E" w:rsidRPr="008E0FD3" w:rsidRDefault="00053DA9" w:rsidP="00972B3E">
      <w:pPr>
        <w:pStyle w:val="ListParagraph"/>
        <w:spacing w:after="120" w:line="240" w:lineRule="auto"/>
        <w:ind w:left="284" w:hanging="284"/>
        <w:rPr>
          <w:rFonts w:ascii="Calibri" w:hAnsi="Calibri"/>
          <w:sz w:val="18"/>
        </w:rPr>
      </w:pPr>
      <w:proofErr w:type="gramStart"/>
      <w:r w:rsidRPr="008E0FD3">
        <w:rPr>
          <w:rFonts w:ascii="Calibri" w:hAnsi="Calibri"/>
          <w:sz w:val="18"/>
        </w:rPr>
        <w:t>b</w:t>
      </w:r>
      <w:proofErr w:type="gramEnd"/>
      <w:r w:rsidR="00972B3E" w:rsidRPr="008E0FD3">
        <w:rPr>
          <w:rFonts w:ascii="Calibri" w:hAnsi="Calibri"/>
          <w:sz w:val="18"/>
        </w:rPr>
        <w:tab/>
        <w:t xml:space="preserve">At baseline individual chronic medical problems not specified. Actual current and past chronic medical problems collected at </w:t>
      </w:r>
      <w:r w:rsidR="00225DFE" w:rsidRPr="008E0FD3">
        <w:rPr>
          <w:rFonts w:ascii="Calibri" w:hAnsi="Calibri"/>
          <w:sz w:val="18"/>
        </w:rPr>
        <w:t>follow-up</w:t>
      </w:r>
      <w:r w:rsidR="00972B3E" w:rsidRPr="008E0FD3">
        <w:rPr>
          <w:rFonts w:ascii="Calibri" w:hAnsi="Calibri"/>
          <w:sz w:val="18"/>
        </w:rPr>
        <w:t xml:space="preserve"> only. </w:t>
      </w:r>
    </w:p>
    <w:p w:rsidR="007B176C" w:rsidRPr="008E0FD3" w:rsidRDefault="007B176C" w:rsidP="007B176C">
      <w:pPr>
        <w:pStyle w:val="ListParagraph"/>
        <w:spacing w:after="120" w:line="240" w:lineRule="auto"/>
        <w:ind w:left="284" w:hanging="284"/>
        <w:rPr>
          <w:rFonts w:ascii="Calibri" w:hAnsi="Calibri"/>
          <w:sz w:val="18"/>
        </w:rPr>
      </w:pPr>
      <w:proofErr w:type="gramStart"/>
      <w:r w:rsidRPr="008E0FD3">
        <w:rPr>
          <w:rFonts w:ascii="Calibri" w:hAnsi="Calibri"/>
          <w:sz w:val="18"/>
        </w:rPr>
        <w:t>c</w:t>
      </w:r>
      <w:proofErr w:type="gramEnd"/>
      <w:r w:rsidRPr="008E0FD3">
        <w:rPr>
          <w:rFonts w:ascii="Calibri" w:hAnsi="Calibri"/>
          <w:sz w:val="18"/>
        </w:rPr>
        <w:tab/>
        <w:t>This item was added after data collection commenced, therefore data not available for the first 19% of interviews</w:t>
      </w:r>
    </w:p>
    <w:p w:rsidR="007B176C" w:rsidRPr="008E0FD3" w:rsidRDefault="007B176C" w:rsidP="007B176C">
      <w:pPr>
        <w:pStyle w:val="ListParagraph"/>
        <w:spacing w:after="120" w:line="240" w:lineRule="auto"/>
        <w:ind w:left="284" w:hanging="284"/>
        <w:rPr>
          <w:rFonts w:ascii="Calibri" w:hAnsi="Calibri"/>
          <w:sz w:val="18"/>
        </w:rPr>
      </w:pPr>
      <w:proofErr w:type="gramStart"/>
      <w:r w:rsidRPr="008E0FD3">
        <w:rPr>
          <w:rFonts w:ascii="Calibri" w:hAnsi="Calibri"/>
          <w:sz w:val="18"/>
        </w:rPr>
        <w:t>d</w:t>
      </w:r>
      <w:proofErr w:type="gramEnd"/>
      <w:r w:rsidRPr="008E0FD3">
        <w:rPr>
          <w:rFonts w:ascii="Calibri" w:hAnsi="Calibri"/>
          <w:sz w:val="18"/>
        </w:rPr>
        <w:tab/>
        <w:t>At baseline, alcohol use measured if participant had consumed any alcohol in the last 30 days or if alcohol was reported as a substance of concern. At follow-up, alcohol use was measured if participant had used any alcohol since the baseline interview or if originally reported as a substance of concern.</w:t>
      </w:r>
    </w:p>
    <w:p w:rsidR="00972B3E" w:rsidRPr="008E0FD3" w:rsidRDefault="007B176C" w:rsidP="00972B3E">
      <w:pPr>
        <w:pStyle w:val="ListParagraph"/>
        <w:spacing w:after="120" w:line="240" w:lineRule="auto"/>
        <w:ind w:left="284" w:hanging="284"/>
        <w:rPr>
          <w:rFonts w:ascii="Calibri" w:hAnsi="Calibri"/>
          <w:sz w:val="18"/>
        </w:rPr>
      </w:pPr>
      <w:proofErr w:type="gramStart"/>
      <w:r w:rsidRPr="008E0FD3">
        <w:rPr>
          <w:rFonts w:ascii="Calibri" w:hAnsi="Calibri"/>
          <w:sz w:val="18"/>
        </w:rPr>
        <w:t>e</w:t>
      </w:r>
      <w:proofErr w:type="gramEnd"/>
      <w:r w:rsidR="00972B3E" w:rsidRPr="008E0FD3">
        <w:rPr>
          <w:rFonts w:ascii="Calibri" w:hAnsi="Calibri"/>
          <w:sz w:val="18"/>
        </w:rPr>
        <w:tab/>
        <w:t xml:space="preserve">At baseline, severity of dependence measured only for primary substance of concern. At </w:t>
      </w:r>
      <w:r w:rsidR="00225DFE" w:rsidRPr="008E0FD3">
        <w:rPr>
          <w:rFonts w:ascii="Calibri" w:hAnsi="Calibri"/>
          <w:sz w:val="18"/>
        </w:rPr>
        <w:t>follow-up</w:t>
      </w:r>
      <w:r w:rsidR="00972B3E" w:rsidRPr="008E0FD3">
        <w:rPr>
          <w:rFonts w:ascii="Calibri" w:hAnsi="Calibri"/>
          <w:sz w:val="18"/>
        </w:rPr>
        <w:t>, severity of dependence measure for current substance of concern and original substance of concern (if different).</w:t>
      </w:r>
    </w:p>
    <w:p w:rsidR="00972B3E" w:rsidRPr="008E0FD3" w:rsidRDefault="007B176C" w:rsidP="00972B3E">
      <w:pPr>
        <w:pStyle w:val="ListParagraph"/>
        <w:spacing w:after="120" w:line="240" w:lineRule="auto"/>
        <w:ind w:left="284" w:hanging="284"/>
        <w:rPr>
          <w:rFonts w:ascii="Calibri" w:hAnsi="Calibri"/>
          <w:sz w:val="18"/>
        </w:rPr>
      </w:pPr>
      <w:proofErr w:type="gramStart"/>
      <w:r w:rsidRPr="008E0FD3">
        <w:rPr>
          <w:rFonts w:ascii="Calibri" w:hAnsi="Calibri"/>
          <w:sz w:val="18"/>
        </w:rPr>
        <w:lastRenderedPageBreak/>
        <w:t>f</w:t>
      </w:r>
      <w:proofErr w:type="gramEnd"/>
      <w:r w:rsidR="00972B3E" w:rsidRPr="008E0FD3">
        <w:rPr>
          <w:rFonts w:ascii="Calibri" w:hAnsi="Calibri"/>
          <w:sz w:val="18"/>
        </w:rPr>
        <w:tab/>
        <w:t xml:space="preserve">At </w:t>
      </w:r>
      <w:r w:rsidR="00225DFE" w:rsidRPr="008E0FD3">
        <w:rPr>
          <w:rFonts w:ascii="Calibri" w:hAnsi="Calibri"/>
          <w:sz w:val="18"/>
        </w:rPr>
        <w:t>follow-up</w:t>
      </w:r>
      <w:r w:rsidR="00972B3E" w:rsidRPr="008E0FD3">
        <w:rPr>
          <w:rFonts w:ascii="Calibri" w:hAnsi="Calibri"/>
          <w:sz w:val="18"/>
        </w:rPr>
        <w:t xml:space="preserve"> Part B was only asked if the participant was currently in treatment or had an upcoming appointment for AOD treatment.</w:t>
      </w:r>
    </w:p>
    <w:p w:rsidR="007B176C" w:rsidRPr="008E0FD3" w:rsidRDefault="007B176C" w:rsidP="007B176C">
      <w:pPr>
        <w:pStyle w:val="ListParagraph"/>
        <w:spacing w:after="120" w:line="240" w:lineRule="auto"/>
        <w:ind w:left="284" w:hanging="284"/>
        <w:rPr>
          <w:rFonts w:ascii="Calibri" w:hAnsi="Calibri"/>
          <w:sz w:val="18"/>
        </w:rPr>
      </w:pPr>
      <w:r w:rsidRPr="008E0FD3">
        <w:rPr>
          <w:rFonts w:ascii="Calibri" w:hAnsi="Calibri"/>
          <w:sz w:val="18"/>
        </w:rPr>
        <w:t>g</w:t>
      </w:r>
      <w:r w:rsidRPr="008E0FD3">
        <w:rPr>
          <w:rFonts w:ascii="Calibri" w:hAnsi="Calibri"/>
          <w:sz w:val="18"/>
        </w:rPr>
        <w:tab/>
        <w:t>Services included: withdrawal, AOD counselling, residential rehabilitation, pharmacotherapy (follow-up only), self-help and mutual aid, general practitioner (GP) ambulance, emergency department (ED), hospital inpatient services, mental health service, legal aid, financial counselling, employment service, family/relationship counselling, housing/homelessness service, other.</w:t>
      </w:r>
    </w:p>
    <w:p w:rsidR="007B176C" w:rsidRPr="008E0FD3" w:rsidRDefault="007B176C" w:rsidP="007B176C">
      <w:pPr>
        <w:pStyle w:val="ListParagraph"/>
        <w:spacing w:after="120" w:line="240" w:lineRule="auto"/>
        <w:ind w:left="284" w:hanging="284"/>
        <w:rPr>
          <w:rFonts w:ascii="Calibri" w:hAnsi="Calibri"/>
          <w:sz w:val="18"/>
        </w:rPr>
      </w:pPr>
      <w:proofErr w:type="gramStart"/>
      <w:r w:rsidRPr="008E0FD3">
        <w:rPr>
          <w:rFonts w:ascii="Calibri" w:hAnsi="Calibri"/>
          <w:sz w:val="18"/>
        </w:rPr>
        <w:t>h</w:t>
      </w:r>
      <w:proofErr w:type="gramEnd"/>
      <w:r w:rsidRPr="008E0FD3">
        <w:rPr>
          <w:rFonts w:ascii="Calibri" w:hAnsi="Calibri"/>
          <w:sz w:val="18"/>
        </w:rPr>
        <w:tab/>
        <w:t>Legal involvement included: prison, CBO program, court, lock-up/watch house, remand</w:t>
      </w:r>
    </w:p>
    <w:p w:rsidR="00196F0F" w:rsidRPr="008E0FD3" w:rsidRDefault="00196F0F" w:rsidP="00196F0F">
      <w:pPr>
        <w:pStyle w:val="ListParagraph"/>
        <w:spacing w:after="120" w:line="240" w:lineRule="auto"/>
        <w:ind w:left="284" w:hanging="284"/>
        <w:rPr>
          <w:rFonts w:ascii="Calibri" w:hAnsi="Calibri"/>
          <w:sz w:val="18"/>
        </w:rPr>
      </w:pPr>
      <w:proofErr w:type="spellStart"/>
      <w:proofErr w:type="gramStart"/>
      <w:r w:rsidRPr="008E0FD3">
        <w:rPr>
          <w:rFonts w:ascii="Calibri" w:hAnsi="Calibri"/>
          <w:sz w:val="18"/>
        </w:rPr>
        <w:t>i</w:t>
      </w:r>
      <w:proofErr w:type="spellEnd"/>
      <w:proofErr w:type="gramEnd"/>
      <w:r w:rsidRPr="008E0FD3">
        <w:rPr>
          <w:rFonts w:ascii="Calibri" w:hAnsi="Calibri"/>
          <w:sz w:val="18"/>
        </w:rPr>
        <w:tab/>
        <w:t>Asked at baseline only</w:t>
      </w:r>
    </w:p>
    <w:p w:rsidR="00972B3E" w:rsidRPr="008E0FD3" w:rsidRDefault="007B176C" w:rsidP="00972B3E">
      <w:pPr>
        <w:pStyle w:val="ListParagraph"/>
        <w:spacing w:after="120" w:line="240" w:lineRule="auto"/>
        <w:ind w:left="284" w:hanging="284"/>
        <w:rPr>
          <w:rFonts w:ascii="Calibri" w:hAnsi="Calibri"/>
          <w:sz w:val="18"/>
        </w:rPr>
      </w:pPr>
      <w:proofErr w:type="gramStart"/>
      <w:r w:rsidRPr="008E0FD3">
        <w:rPr>
          <w:rFonts w:ascii="Calibri" w:hAnsi="Calibri"/>
          <w:sz w:val="18"/>
        </w:rPr>
        <w:t>j</w:t>
      </w:r>
      <w:proofErr w:type="gramEnd"/>
      <w:r w:rsidR="00972B3E" w:rsidRPr="008E0FD3">
        <w:rPr>
          <w:rFonts w:ascii="Calibri" w:hAnsi="Calibri"/>
          <w:sz w:val="18"/>
        </w:rPr>
        <w:tab/>
        <w:t xml:space="preserve">Asked at </w:t>
      </w:r>
      <w:r w:rsidR="00225DFE" w:rsidRPr="008E0FD3">
        <w:rPr>
          <w:rFonts w:ascii="Calibri" w:hAnsi="Calibri"/>
          <w:sz w:val="18"/>
        </w:rPr>
        <w:t>follow-up</w:t>
      </w:r>
      <w:r w:rsidR="00972B3E" w:rsidRPr="008E0FD3">
        <w:rPr>
          <w:rFonts w:ascii="Calibri" w:hAnsi="Calibri"/>
          <w:sz w:val="18"/>
        </w:rPr>
        <w:t xml:space="preserve"> only</w:t>
      </w:r>
    </w:p>
    <w:p w:rsidR="00972B3E" w:rsidRPr="008E0FD3" w:rsidRDefault="007B176C" w:rsidP="00972B3E">
      <w:pPr>
        <w:pStyle w:val="ListParagraph"/>
        <w:spacing w:after="120" w:line="240" w:lineRule="auto"/>
        <w:ind w:left="284" w:hanging="284"/>
        <w:rPr>
          <w:rFonts w:ascii="Calibri" w:hAnsi="Calibri"/>
          <w:sz w:val="18"/>
        </w:rPr>
      </w:pPr>
      <w:proofErr w:type="gramStart"/>
      <w:r w:rsidRPr="008E0FD3">
        <w:rPr>
          <w:rFonts w:ascii="Calibri" w:hAnsi="Calibri"/>
          <w:sz w:val="18"/>
        </w:rPr>
        <w:t>k</w:t>
      </w:r>
      <w:proofErr w:type="gramEnd"/>
      <w:r w:rsidR="00972B3E" w:rsidRPr="008E0FD3">
        <w:rPr>
          <w:rFonts w:ascii="Calibri" w:hAnsi="Calibri"/>
          <w:sz w:val="18"/>
        </w:rPr>
        <w:tab/>
        <w:t xml:space="preserve">Items only administered upon treatment non-completion. Number of items (13-16 items) administered dependent upon primary reason for early treatment cessation </w:t>
      </w:r>
    </w:p>
    <w:p w:rsidR="00972B3E" w:rsidRPr="008E0FD3" w:rsidRDefault="007B176C" w:rsidP="00972B3E">
      <w:pPr>
        <w:pStyle w:val="ListParagraph"/>
        <w:spacing w:after="120" w:line="240" w:lineRule="auto"/>
        <w:ind w:left="284" w:hanging="284"/>
        <w:rPr>
          <w:rFonts w:ascii="Calibri" w:hAnsi="Calibri"/>
          <w:sz w:val="18"/>
        </w:rPr>
      </w:pPr>
      <w:proofErr w:type="gramStart"/>
      <w:r w:rsidRPr="008E0FD3">
        <w:rPr>
          <w:rFonts w:ascii="Calibri" w:hAnsi="Calibri"/>
          <w:sz w:val="18"/>
        </w:rPr>
        <w:t>l</w:t>
      </w:r>
      <w:proofErr w:type="gramEnd"/>
      <w:r w:rsidR="00972B3E" w:rsidRPr="008E0FD3">
        <w:rPr>
          <w:rFonts w:ascii="Calibri" w:hAnsi="Calibri"/>
          <w:sz w:val="18"/>
        </w:rPr>
        <w:tab/>
        <w:t xml:space="preserve">Only administered at </w:t>
      </w:r>
      <w:r w:rsidR="00225DFE" w:rsidRPr="008E0FD3">
        <w:rPr>
          <w:rFonts w:ascii="Calibri" w:hAnsi="Calibri"/>
          <w:sz w:val="18"/>
        </w:rPr>
        <w:t>follow-up</w:t>
      </w:r>
      <w:r w:rsidR="00972B3E" w:rsidRPr="008E0FD3">
        <w:rPr>
          <w:rFonts w:ascii="Calibri" w:hAnsi="Calibri"/>
          <w:sz w:val="18"/>
        </w:rPr>
        <w:t xml:space="preserve"> if currently involved in AOD treatment. If not currently involved in treatment, items rephrased as current substance use goals </w:t>
      </w:r>
    </w:p>
    <w:p w:rsidR="00972B3E" w:rsidRPr="008E0FD3" w:rsidRDefault="007B176C" w:rsidP="00972B3E">
      <w:pPr>
        <w:pStyle w:val="ListParagraph"/>
        <w:spacing w:after="120" w:line="240" w:lineRule="auto"/>
        <w:ind w:left="284" w:hanging="284"/>
        <w:rPr>
          <w:rFonts w:ascii="Calibri" w:hAnsi="Calibri"/>
          <w:sz w:val="18"/>
        </w:rPr>
      </w:pPr>
      <w:proofErr w:type="gramStart"/>
      <w:r w:rsidRPr="008E0FD3">
        <w:rPr>
          <w:rFonts w:ascii="Calibri" w:hAnsi="Calibri"/>
          <w:sz w:val="18"/>
        </w:rPr>
        <w:t>m</w:t>
      </w:r>
      <w:proofErr w:type="gramEnd"/>
      <w:r w:rsidR="00972B3E" w:rsidRPr="008E0FD3">
        <w:rPr>
          <w:rFonts w:ascii="Calibri" w:hAnsi="Calibri"/>
          <w:sz w:val="18"/>
        </w:rPr>
        <w:tab/>
        <w:t xml:space="preserve">Only administered at </w:t>
      </w:r>
      <w:r w:rsidR="00225DFE" w:rsidRPr="008E0FD3">
        <w:rPr>
          <w:rFonts w:ascii="Calibri" w:hAnsi="Calibri"/>
          <w:sz w:val="18"/>
        </w:rPr>
        <w:t>follow-up</w:t>
      </w:r>
      <w:r w:rsidR="00972B3E" w:rsidRPr="008E0FD3">
        <w:rPr>
          <w:rFonts w:ascii="Calibri" w:hAnsi="Calibri"/>
          <w:sz w:val="18"/>
        </w:rPr>
        <w:t xml:space="preserve"> if currently involved in AOD treatment.</w:t>
      </w:r>
    </w:p>
    <w:p w:rsidR="00972B3E" w:rsidRPr="00B05F2B" w:rsidRDefault="00972B3E" w:rsidP="00972B3E">
      <w:pPr>
        <w:pStyle w:val="ListParagraph"/>
        <w:spacing w:after="120" w:line="240" w:lineRule="auto"/>
        <w:ind w:left="284" w:hanging="284"/>
        <w:rPr>
          <w:rFonts w:asciiTheme="minorHAnsi" w:hAnsiTheme="minorHAnsi" w:cstheme="majorBidi"/>
          <w:color w:val="000000"/>
          <w:sz w:val="20"/>
          <w:szCs w:val="20"/>
        </w:rPr>
      </w:pPr>
    </w:p>
    <w:p w:rsidR="00413BF2" w:rsidRPr="00413BF2" w:rsidRDefault="00413BF2" w:rsidP="003D430B">
      <w:pPr>
        <w:keepNext/>
        <w:keepLines/>
        <w:spacing w:before="120" w:after="120" w:line="240" w:lineRule="auto"/>
        <w:outlineLvl w:val="1"/>
        <w:rPr>
          <w:rFonts w:ascii="Cambria" w:eastAsia="SimSun" w:hAnsi="Cambria"/>
          <w:bCs/>
          <w:i/>
          <w:sz w:val="24"/>
          <w:szCs w:val="24"/>
        </w:rPr>
      </w:pPr>
      <w:r w:rsidRPr="00413BF2">
        <w:rPr>
          <w:rFonts w:ascii="Cambria" w:eastAsia="SimSun" w:hAnsi="Cambria"/>
          <w:bCs/>
          <w:i/>
          <w:sz w:val="24"/>
          <w:szCs w:val="24"/>
        </w:rPr>
        <w:t>Data collection</w:t>
      </w:r>
    </w:p>
    <w:p w:rsidR="00413BF2" w:rsidRPr="005F3F17" w:rsidRDefault="00413BF2" w:rsidP="00413BF2">
      <w:pPr>
        <w:pStyle w:val="FAREnormaltext"/>
      </w:pPr>
      <w:r w:rsidRPr="005F3F17">
        <w:t xml:space="preserve">The recruitment and data collection phase of the project occurred between January 2012 and January 2013. Clients were recruited via AOD clinicians introducing the study to clients and then forwarding the client’s details to the researchers who contacted the </w:t>
      </w:r>
      <w:r w:rsidR="00EE7A8F">
        <w:t xml:space="preserve">participant </w:t>
      </w:r>
      <w:r w:rsidRPr="005F3F17">
        <w:t xml:space="preserve">and provided further information about the study and assessed eligibility or directly by researchers during site visits. Informed consent was sought from all participants prior to the commencement of the interview, including consent to collect contact information for </w:t>
      </w:r>
      <w:r w:rsidR="00225DFE">
        <w:t>follow-up</w:t>
      </w:r>
      <w:r w:rsidRPr="005F3F17">
        <w:t xml:space="preserve"> after 12 months. Interviews followed a structured format and were conducted face-to-face at the agency through which the person was recruited (99%), except where factors such as distance to travel necessitated a telephone interview (1%). </w:t>
      </w:r>
      <w:r w:rsidR="002461FE" w:rsidRPr="005F3F17">
        <w:t xml:space="preserve">The full baseline and follow-up interview schedules are in Appendix </w:t>
      </w:r>
      <w:r w:rsidR="002461FE">
        <w:t xml:space="preserve">2.2 and Appendix 2.3. </w:t>
      </w:r>
      <w:r w:rsidRPr="005F3F17">
        <w:t xml:space="preserve">A summary of the interview schedules, including domains covered, standardised tools used and rationale for inclusion is shown in Table </w:t>
      </w:r>
      <w:r w:rsidR="002461FE">
        <w:t>3.1</w:t>
      </w:r>
      <w:r w:rsidRPr="005F3F17">
        <w:t>. Interviews took approximately one hour to complete. Participants were reimbursed $25 for the baseline interview and $45 for the follow-up interview in recognition of their time and contribution.</w:t>
      </w:r>
    </w:p>
    <w:p w:rsidR="00413BF2" w:rsidRPr="00413BF2" w:rsidRDefault="00225DFE" w:rsidP="00413BF2">
      <w:pPr>
        <w:pStyle w:val="FAREnormaltext"/>
        <w:spacing w:after="0"/>
        <w:rPr>
          <w:b/>
          <w:sz w:val="24"/>
          <w:szCs w:val="24"/>
        </w:rPr>
      </w:pPr>
      <w:r>
        <w:rPr>
          <w:b/>
          <w:sz w:val="24"/>
          <w:szCs w:val="24"/>
        </w:rPr>
        <w:t>Follow-up</w:t>
      </w:r>
      <w:r w:rsidR="00413BF2" w:rsidRPr="00413BF2">
        <w:rPr>
          <w:b/>
          <w:sz w:val="24"/>
          <w:szCs w:val="24"/>
        </w:rPr>
        <w:t xml:space="preserve"> interviews</w:t>
      </w:r>
    </w:p>
    <w:p w:rsidR="00413BF2" w:rsidRPr="005F3F17" w:rsidRDefault="005B3259" w:rsidP="00413BF2">
      <w:pPr>
        <w:pStyle w:val="FAREnormaltext"/>
      </w:pPr>
      <w:r>
        <w:t>Con</w:t>
      </w:r>
      <w:r w:rsidR="00413BF2" w:rsidRPr="005F3F17">
        <w:t xml:space="preserve">tact with </w:t>
      </w:r>
      <w:r w:rsidR="006D29AE">
        <w:t>participants</w:t>
      </w:r>
      <w:r w:rsidR="00413BF2" w:rsidRPr="005F3F17">
        <w:t xml:space="preserve"> who had been interviewed at baseline</w:t>
      </w:r>
      <w:r>
        <w:t xml:space="preserve"> commenced on average </w:t>
      </w:r>
      <w:r w:rsidR="00413BF2" w:rsidRPr="005F3F17">
        <w:t>twelve months after the</w:t>
      </w:r>
      <w:r>
        <w:t>ir</w:t>
      </w:r>
      <w:r w:rsidR="00413BF2" w:rsidRPr="005F3F17">
        <w:t xml:space="preserve"> </w:t>
      </w:r>
      <w:r>
        <w:t>baseline interview</w:t>
      </w:r>
      <w:r w:rsidR="00413BF2" w:rsidRPr="005F3F17">
        <w:t xml:space="preserve">. Contact was made with participants in the same order with which they were interviewed, so as to ensure that as many participants as possible remained within the eligibility window. Difficulties in contacting </w:t>
      </w:r>
      <w:r w:rsidR="006D29AE">
        <w:t>participants were encountered</w:t>
      </w:r>
      <w:r w:rsidR="00413BF2" w:rsidRPr="005F3F17">
        <w:t xml:space="preserve">. This meant that the end of the fifteen month eligibility window did occur for a proportion of </w:t>
      </w:r>
      <w:r w:rsidR="006D29AE">
        <w:t>participants</w:t>
      </w:r>
      <w:r w:rsidR="00413BF2" w:rsidRPr="005F3F17">
        <w:t xml:space="preserve">. As a result, an extension of the eligibility window was discussed and implemented and extra resources were directed at prioritising these participants. As a result, the </w:t>
      </w:r>
      <w:r w:rsidR="00225DFE">
        <w:t>follow-up</w:t>
      </w:r>
      <w:r w:rsidR="00413BF2" w:rsidRPr="005F3F17">
        <w:t xml:space="preserve"> period ranged from </w:t>
      </w:r>
      <w:r w:rsidR="005576C2">
        <w:t>7.6</w:t>
      </w:r>
      <w:r w:rsidR="005576C2" w:rsidRPr="005F3F17">
        <w:t xml:space="preserve"> </w:t>
      </w:r>
      <w:r w:rsidR="00413BF2" w:rsidRPr="005F3F17">
        <w:t xml:space="preserve">to </w:t>
      </w:r>
      <w:r w:rsidR="005576C2">
        <w:t>21.2</w:t>
      </w:r>
      <w:r w:rsidR="00413BF2" w:rsidRPr="005F3F17">
        <w:t xml:space="preserve"> months (mean 12.</w:t>
      </w:r>
      <w:r w:rsidR="005576C2">
        <w:t>5</w:t>
      </w:r>
      <w:r w:rsidR="00413BF2" w:rsidRPr="005F3F17">
        <w:t xml:space="preserve"> months), although for the vast majority of participants (</w:t>
      </w:r>
      <w:r w:rsidR="005576C2" w:rsidRPr="005F3F17">
        <w:t>8</w:t>
      </w:r>
      <w:r w:rsidR="005576C2">
        <w:t>5</w:t>
      </w:r>
      <w:r w:rsidR="00413BF2" w:rsidRPr="005F3F17">
        <w:t xml:space="preserve">%) the follow-up period was between nine and fifteen months post baseline. </w:t>
      </w:r>
    </w:p>
    <w:p w:rsidR="00413BF2" w:rsidRPr="005F3F17" w:rsidRDefault="00413BF2" w:rsidP="00413BF2">
      <w:pPr>
        <w:pStyle w:val="FAREnormaltext"/>
      </w:pPr>
      <w:r w:rsidRPr="005F3F17">
        <w:t>Participants were contacted via telephone, reminded of their involvement in the baseline interview, and offered the opportunity to engage in a follow-up telephone interview at an agreed date and time. Participants were reminded at this stage that they would be reimbursed $45 for their participation. At the conclusion of the follow-up data collection period, the majority of participants were successfully re-interviewed (</w:t>
      </w:r>
      <w:r w:rsidR="005576C2">
        <w:t>70</w:t>
      </w:r>
      <w:r w:rsidRPr="005F3F17">
        <w:t>%, 555). Of those who were not re-interviewed, 11 (1%) were deceased, 19 (</w:t>
      </w:r>
      <w:r w:rsidR="005576C2">
        <w:t>2</w:t>
      </w:r>
      <w:r w:rsidRPr="005F3F17">
        <w:t>%) were incarcerated, 66 (8%) no longer wished to take part (i.e. withdrew from study) and 145 participant</w:t>
      </w:r>
      <w:r w:rsidR="00202EDE">
        <w:t>s</w:t>
      </w:r>
      <w:r w:rsidRPr="005F3F17">
        <w:t xml:space="preserve"> (18%) could not be contacted after multiple attempts were ma</w:t>
      </w:r>
      <w:r w:rsidR="00202EDE">
        <w:t xml:space="preserve">de and </w:t>
      </w:r>
      <w:r w:rsidR="00202EDE">
        <w:lastRenderedPageBreak/>
        <w:t xml:space="preserve">were lost to follow-up. </w:t>
      </w:r>
      <w:r w:rsidRPr="005F3F17">
        <w:t xml:space="preserve">Follow-up interviews were conducted between December 2012 and February 2014. </w:t>
      </w:r>
    </w:p>
    <w:p w:rsidR="00413BF2" w:rsidRPr="005F3F17" w:rsidRDefault="00413BF2" w:rsidP="00413BF2">
      <w:pPr>
        <w:pStyle w:val="FAREnormaltext"/>
      </w:pPr>
      <w:r w:rsidRPr="005F3F17">
        <w:t>Follow-up interviews were conducted by telephone at an agreed time. A small proportion of participants requested to be interviewed in person, usually for reasons related to confidentiality or due to preference for a cash reimbursement. Where this request was made, interviews were conducted at Turning Point (Victoria). At the end of the follow-up interview, participants were asked for permission to be contacted for a further interview at a later date. An overwhelming majority (</w:t>
      </w:r>
      <w:r w:rsidR="009B5776" w:rsidRPr="005F3F17">
        <w:t>9</w:t>
      </w:r>
      <w:r w:rsidR="009B5776">
        <w:t>9</w:t>
      </w:r>
      <w:r w:rsidRPr="005F3F17">
        <w:t xml:space="preserve">%) gave permission for further contact by </w:t>
      </w:r>
      <w:r w:rsidR="009D3A88">
        <w:t>the</w:t>
      </w:r>
      <w:r w:rsidRPr="005F3F17">
        <w:t xml:space="preserve"> researchers. </w:t>
      </w:r>
    </w:p>
    <w:p w:rsidR="00413BF2" w:rsidRPr="00E373EA" w:rsidRDefault="00225DFE" w:rsidP="00E373EA">
      <w:pPr>
        <w:pStyle w:val="FAREnormaltext"/>
        <w:spacing w:after="0"/>
        <w:rPr>
          <w:b/>
          <w:sz w:val="24"/>
          <w:szCs w:val="24"/>
        </w:rPr>
      </w:pPr>
      <w:r>
        <w:rPr>
          <w:b/>
          <w:sz w:val="24"/>
          <w:szCs w:val="24"/>
        </w:rPr>
        <w:t>Follow-up</w:t>
      </w:r>
      <w:r w:rsidR="00413BF2" w:rsidRPr="00E373EA">
        <w:rPr>
          <w:b/>
          <w:sz w:val="24"/>
          <w:szCs w:val="24"/>
        </w:rPr>
        <w:t xml:space="preserve"> procedures</w:t>
      </w:r>
    </w:p>
    <w:p w:rsidR="00413BF2" w:rsidRPr="005F3F17" w:rsidRDefault="00413BF2" w:rsidP="00413BF2">
      <w:pPr>
        <w:pStyle w:val="FAREnormaltext"/>
      </w:pPr>
      <w:r w:rsidRPr="005F3F17">
        <w:t>Many clients were initially unable to be contacted via the telephone number provided to researchers at the time of the baseline interview. Where this occurred a number of strategies were implemented in order to make contact. Where consistent telephone phone calls and voicemail/text messages to primary contact number/s were unsuccessful – or in the event of a phone number being incorrect or disconnected – a letter and/or email was sent to the nominated addresses if provided at baseline.  Following these, the researchers made contact with the original agencies from where the participant was originally recruited and requested the most recent contact information be provided by the agency. Where all of these avenues of contact were unsuccessful, researchers attempted to make contact with secondary contact persons – that is, family, friends, partners, clinicians and others whom the participants had listed on the locator form at the time of the baseline interview and given permission to contact in the event of a loss of contact. Where this step was required, researchers made sure to uphold confidentiality by not disclosing the exact nature of the call. Where contact with the participant was not possible, and all avenues of contact had been exhausted, further contact attempts were postponed and resumed at a later date. The mean number of days between baseline and follow-up interview was 380.3 (SD 71.8 days)</w:t>
      </w:r>
    </w:p>
    <w:p w:rsidR="00413BF2" w:rsidRPr="00413BF2" w:rsidRDefault="009415A2" w:rsidP="00413BF2">
      <w:pPr>
        <w:keepNext/>
        <w:keepLines/>
        <w:spacing w:before="120" w:after="120" w:line="240" w:lineRule="auto"/>
        <w:outlineLvl w:val="0"/>
        <w:rPr>
          <w:rFonts w:ascii="Cambria" w:eastAsia="SimSun" w:hAnsi="Cambria"/>
          <w:bCs/>
          <w:i/>
          <w:sz w:val="24"/>
          <w:szCs w:val="24"/>
        </w:rPr>
      </w:pPr>
      <w:r>
        <w:rPr>
          <w:rFonts w:ascii="Cambria" w:eastAsia="SimSun" w:hAnsi="Cambria"/>
          <w:bCs/>
          <w:i/>
          <w:sz w:val="24"/>
          <w:szCs w:val="24"/>
        </w:rPr>
        <w:t xml:space="preserve">Data management </w:t>
      </w:r>
    </w:p>
    <w:p w:rsidR="00413BF2" w:rsidRPr="00976716" w:rsidRDefault="00413BF2" w:rsidP="00413BF2">
      <w:pPr>
        <w:pStyle w:val="FAREnormaltext"/>
      </w:pPr>
      <w:r w:rsidRPr="00976716">
        <w:t>Data were either recorded on a paper-based version of the interview schedule, or entered directly into an online version of the interview schedule via tablet. All records were transferred to Turning Point for centralised data cleaning and analysis. Prior to analysis, 10% (n=56) of the baseline interviews completed on paper were re-entered and data verification undertaken, which revealed a low rate of data entry error, well within the acceptable range.</w:t>
      </w:r>
      <w:r w:rsidR="008214EB" w:rsidRPr="008214EB">
        <w:t xml:space="preserve"> </w:t>
      </w:r>
      <w:r w:rsidR="00285510">
        <w:t>Where data were missing for individual items of a multi-item scale, decisions regarding whether to calculate the scale score or discard all data for that scale were based on published recommendations by the scale authors where available (WHO</w:t>
      </w:r>
      <w:r w:rsidR="00EE7A8F">
        <w:t>QOL</w:t>
      </w:r>
      <w:r w:rsidR="00285510">
        <w:t xml:space="preserve"> and DISC). For other scales, scale scores were calculated based on the mean response to non-missing items only when </w:t>
      </w:r>
      <w:r w:rsidR="00285510">
        <w:rPr>
          <w:u w:val="single"/>
        </w:rPr>
        <w:t>&lt;</w:t>
      </w:r>
      <w:r w:rsidR="00285510">
        <w:t xml:space="preserve"> 25% of items </w:t>
      </w:r>
      <w:proofErr w:type="gramStart"/>
      <w:r w:rsidR="00285510">
        <w:t>were</w:t>
      </w:r>
      <w:proofErr w:type="gramEnd"/>
      <w:r w:rsidR="00285510">
        <w:t xml:space="preserve"> missing. No other forms of imputation were used to substitute for missing data and in analyses where data were missing for some </w:t>
      </w:r>
      <w:proofErr w:type="gramStart"/>
      <w:r w:rsidR="00285510">
        <w:t>participants,</w:t>
      </w:r>
      <w:proofErr w:type="gramEnd"/>
      <w:r w:rsidR="00285510">
        <w:t xml:space="preserve"> those participants’ data were therefore deleted </w:t>
      </w:r>
      <w:proofErr w:type="spellStart"/>
      <w:r w:rsidR="00285510">
        <w:t>listwise</w:t>
      </w:r>
      <w:proofErr w:type="spellEnd"/>
      <w:r w:rsidR="00285510">
        <w:t xml:space="preserve"> for that analysis.</w:t>
      </w:r>
      <w:r w:rsidR="009B5776">
        <w:t xml:space="preserve"> </w:t>
      </w:r>
      <w:r w:rsidRPr="00976716">
        <w:t xml:space="preserve">Personal information, such as contact details and secondary contacts were stored in a separate password protected database. </w:t>
      </w:r>
    </w:p>
    <w:p w:rsidR="00072449" w:rsidRDefault="00072449" w:rsidP="00072449">
      <w:pPr>
        <w:keepNext/>
        <w:keepLines/>
        <w:spacing w:before="120" w:after="120" w:line="240" w:lineRule="auto"/>
        <w:outlineLvl w:val="0"/>
        <w:rPr>
          <w:rFonts w:ascii="Cambria" w:eastAsia="SimSun" w:hAnsi="Cambria"/>
          <w:bCs/>
          <w:i/>
          <w:sz w:val="24"/>
          <w:szCs w:val="24"/>
        </w:rPr>
      </w:pPr>
      <w:r w:rsidRPr="00413BF2">
        <w:rPr>
          <w:rFonts w:ascii="Cambria" w:eastAsia="SimSun" w:hAnsi="Cambria"/>
          <w:bCs/>
          <w:i/>
          <w:sz w:val="24"/>
          <w:szCs w:val="24"/>
        </w:rPr>
        <w:t xml:space="preserve">Data analysis </w:t>
      </w:r>
    </w:p>
    <w:p w:rsidR="00072449" w:rsidRDefault="00072449" w:rsidP="00072449">
      <w:pPr>
        <w:pStyle w:val="FAREnormaltext"/>
      </w:pPr>
      <w:r>
        <w:t xml:space="preserve">Continuous variables were tested for skew and kurtosis. Where the ratio of either the skew or kurtosis statistic to its standard error exceeded 3.1, variables were considered non-normal. Time between baseline and follow-up was normally distributed, but other continuous variables were not. </w:t>
      </w:r>
    </w:p>
    <w:p w:rsidR="00072449" w:rsidRPr="003C46C9" w:rsidRDefault="00072449" w:rsidP="00072449">
      <w:pPr>
        <w:pStyle w:val="FAREnormaltext"/>
      </w:pPr>
      <w:r>
        <w:lastRenderedPageBreak/>
        <w:t xml:space="preserve">Bivariate relationships between categorical variables were analysed with Pearson’s </w:t>
      </w:r>
      <w:r>
        <w:rPr>
          <w:rFonts w:ascii="Symbol" w:hAnsi="Symbol"/>
        </w:rPr>
        <w:t></w:t>
      </w:r>
      <w:r>
        <w:rPr>
          <w:vertAlign w:val="superscript"/>
        </w:rPr>
        <w:t>2</w:t>
      </w:r>
      <w:r>
        <w:t xml:space="preserve"> statistic. Differences between groupings of participants on normal continuous measures were analysed with independent samples t-tests. For non-normal continuous measures, where there were 3 or more groups, </w:t>
      </w:r>
      <w:proofErr w:type="spellStart"/>
      <w:r>
        <w:t>Kruskall</w:t>
      </w:r>
      <w:proofErr w:type="spellEnd"/>
      <w:r>
        <w:t xml:space="preserve">-Wallis tests used for between-group comparisons of non-normal variables. Pairwise comparisons (or post-hoc testing after a significant </w:t>
      </w:r>
      <w:proofErr w:type="spellStart"/>
      <w:r>
        <w:t>Kruskall</w:t>
      </w:r>
      <w:proofErr w:type="spellEnd"/>
      <w:r>
        <w:t xml:space="preserve">-Wallis test result) were analysed with Mann-Whitney U </w:t>
      </w:r>
      <w:r w:rsidRPr="003C46C9">
        <w:t xml:space="preserve">tests. Changes in single variables between baseline and follow-up were analysed with </w:t>
      </w:r>
      <w:proofErr w:type="spellStart"/>
      <w:r w:rsidRPr="003C46C9">
        <w:t>McNemar</w:t>
      </w:r>
      <w:proofErr w:type="spellEnd"/>
      <w:r w:rsidRPr="003C46C9">
        <w:t xml:space="preserve"> tests (for categorical variables) or repeated measures Man</w:t>
      </w:r>
      <w:r w:rsidR="00B31F23" w:rsidRPr="003C46C9">
        <w:t>n</w:t>
      </w:r>
      <w:r w:rsidRPr="003C46C9">
        <w:t xml:space="preserve">-Whitney U tests (for continuous variables). </w:t>
      </w:r>
      <w:r w:rsidR="00CF58CD" w:rsidRPr="003C46C9">
        <w:t xml:space="preserve">To compare follow-up </w:t>
      </w:r>
      <w:r w:rsidR="00B31F23" w:rsidRPr="003C46C9">
        <w:t>WHOQOL</w:t>
      </w:r>
      <w:r w:rsidRPr="003C46C9">
        <w:t xml:space="preserve"> scale scores</w:t>
      </w:r>
      <w:r w:rsidR="00CF58CD" w:rsidRPr="003C46C9">
        <w:t xml:space="preserve"> to published general population means, we first raised WHOQOL scale scores to the power of 1.5 (i.e. multiplied scores by their square root) to create distributions of scores that did not violate assumptions of symmetry (i.e. skewness statistic:</w:t>
      </w:r>
      <w:r w:rsidR="004A4027">
        <w:t xml:space="preserve"> </w:t>
      </w:r>
      <w:r w:rsidR="00CF58CD" w:rsidRPr="003C46C9">
        <w:t>standard error ratio &lt; 3.1 for all 4 scales). These transformed scores were then compared to the general population means (also raised to the power of 1.5) with Wilcoxon signed ranks tests</w:t>
      </w:r>
      <w:r w:rsidRPr="003C46C9">
        <w:t>.</w:t>
      </w:r>
    </w:p>
    <w:p w:rsidR="00072449" w:rsidRPr="003C46C9" w:rsidRDefault="00072449" w:rsidP="00072449">
      <w:pPr>
        <w:pStyle w:val="FAREnormaltext"/>
      </w:pPr>
      <w:r w:rsidRPr="003C46C9">
        <w:t xml:space="preserve">Logistic regression was used to analyse predictors of binary outcomes. All predictors being tested were entered in a single block. In models predicting the main treatment outcomes (abstinence from </w:t>
      </w:r>
      <w:r w:rsidR="00EE7A8F" w:rsidRPr="003C46C9">
        <w:t>PDOC</w:t>
      </w:r>
      <w:r w:rsidRPr="003C46C9">
        <w:t xml:space="preserve"> (or 50% reduction in frequency of use of </w:t>
      </w:r>
      <w:r w:rsidR="00EE7A8F" w:rsidRPr="003C46C9">
        <w:t>PDOC</w:t>
      </w:r>
      <w:r w:rsidRPr="003C46C9">
        <w:t xml:space="preserve">)), a 2-stage process was used whereby demographic and </w:t>
      </w:r>
      <w:r w:rsidR="00EE7A8F" w:rsidRPr="003C46C9">
        <w:t>PDOC</w:t>
      </w:r>
      <w:r w:rsidRPr="003C46C9">
        <w:t xml:space="preserve"> predictors of outcome were first tested. Only statistically significant predictors from this model were then included in a second model which also included predictor variables indexing the PIT, service use, and the interval between baseline and follow-up. For all analyses, the </w:t>
      </w:r>
      <w:r w:rsidRPr="003C46C9">
        <w:rPr>
          <w:rFonts w:ascii="Symbol" w:hAnsi="Symbol"/>
        </w:rPr>
        <w:t></w:t>
      </w:r>
      <w:r w:rsidRPr="003C46C9">
        <w:t xml:space="preserve"> value for determining statistical significance was set to .05.</w:t>
      </w:r>
    </w:p>
    <w:p w:rsidR="001344DB" w:rsidRPr="004212FD" w:rsidRDefault="00072449" w:rsidP="004212FD">
      <w:pPr>
        <w:pStyle w:val="FAREnormaltext"/>
      </w:pPr>
      <w:r w:rsidRPr="003C46C9">
        <w:t>For the purpose of logistic regression analyses, the distribution of the variable “number of mutual aid meetings (follow-up)” was normalised with a log</w:t>
      </w:r>
      <w:r w:rsidRPr="003C46C9">
        <w:rPr>
          <w:vertAlign w:val="subscript"/>
        </w:rPr>
        <w:t>10</w:t>
      </w:r>
      <w:r w:rsidRPr="003C46C9">
        <w:t xml:space="preserve"> transformation. Age was normalised with the following square root transform: </w:t>
      </w:r>
      <w:proofErr w:type="gramStart"/>
      <w:r w:rsidRPr="003C46C9">
        <w:t>√(</w:t>
      </w:r>
      <w:proofErr w:type="gramEnd"/>
      <w:r w:rsidRPr="003C46C9">
        <w:t>age-18).</w:t>
      </w:r>
      <w:r w:rsidR="00734645" w:rsidRPr="003C46C9">
        <w:t xml:space="preserve"> PIT duration was normalised by taking the square root of the log</w:t>
      </w:r>
      <w:r w:rsidR="00734645" w:rsidRPr="003C46C9">
        <w:rPr>
          <w:vertAlign w:val="subscript"/>
        </w:rPr>
        <w:t>10</w:t>
      </w:r>
      <w:r w:rsidR="00734645" w:rsidRPr="003C46C9">
        <w:t xml:space="preserve"> transformation.</w:t>
      </w:r>
      <w:r>
        <w:t xml:space="preserve"> For SDS and MSPSS scores, no transformation could be found that simultaneously corrected both skewness and kurtosis to acceptable levels, and they were therefore converted to binary categorical variables for inclusion in logistic regression models. For SDS, this involved grouping those w</w:t>
      </w:r>
      <w:r w:rsidR="00C61572">
        <w:t>ith</w:t>
      </w:r>
      <w:r>
        <w:t xml:space="preserve"> scores </w:t>
      </w:r>
      <w:r>
        <w:rPr>
          <w:u w:val="single"/>
        </w:rPr>
        <w:t>&gt;</w:t>
      </w:r>
      <w:r>
        <w:t xml:space="preserve"> 7 (i.e. in the “severely dependent” range) into one category, and those with a score &lt; 7 into the other. MSPSS scores were categorised with a median split.</w:t>
      </w:r>
    </w:p>
    <w:p w:rsidR="00EE2D27" w:rsidRPr="00926621" w:rsidRDefault="00EE2D27">
      <w:pPr>
        <w:spacing w:after="120" w:line="240" w:lineRule="auto"/>
        <w:ind w:left="1191" w:hanging="1134"/>
        <w:jc w:val="both"/>
        <w:rPr>
          <w:rFonts w:eastAsia="Times New Roman"/>
          <w:b/>
          <w:bCs/>
          <w:noProof/>
          <w:kern w:val="32"/>
          <w:sz w:val="18"/>
          <w:szCs w:val="18"/>
          <w:lang w:val="en-US"/>
        </w:rPr>
      </w:pPr>
      <w:r w:rsidRPr="00926621">
        <w:rPr>
          <w:sz w:val="18"/>
          <w:szCs w:val="18"/>
        </w:rPr>
        <w:br w:type="page"/>
      </w:r>
    </w:p>
    <w:p w:rsidR="00072449" w:rsidRDefault="00553C43" w:rsidP="00173B16">
      <w:pPr>
        <w:pStyle w:val="FAREH2Nbr"/>
      </w:pPr>
      <w:bookmarkStart w:id="95" w:name="_Toc398105045"/>
      <w:r w:rsidRPr="008C1AD7">
        <w:lastRenderedPageBreak/>
        <w:t xml:space="preserve">Baseline </w:t>
      </w:r>
      <w:r w:rsidR="008C1AD7">
        <w:t>r</w:t>
      </w:r>
      <w:r w:rsidRPr="008C1AD7">
        <w:t>esults</w:t>
      </w:r>
      <w:bookmarkEnd w:id="95"/>
    </w:p>
    <w:p w:rsidR="00072449" w:rsidRDefault="00072449" w:rsidP="0034684A">
      <w:pPr>
        <w:pStyle w:val="FAREH3"/>
      </w:pPr>
      <w:r>
        <w:t>Participant characteristics</w:t>
      </w:r>
    </w:p>
    <w:p w:rsidR="00072449" w:rsidRPr="00E63703" w:rsidRDefault="00072449" w:rsidP="00072449">
      <w:pPr>
        <w:pStyle w:val="FAREnormaltext"/>
      </w:pPr>
      <w:r w:rsidRPr="00E63703">
        <w:t xml:space="preserve">The final sample consisted of 796 participants who completed the baseline interview. </w:t>
      </w:r>
      <w:r>
        <w:t>Participants’ ages ranged from 18.1-71.5 (median = 35.9, IQR = 28.7-44.5)</w:t>
      </w:r>
      <w:r w:rsidRPr="00E63703">
        <w:t xml:space="preserve">. The sample was predominantly male (62%). A large majority of the sample were born in Australia (80%) and spoke English as their first language (95%). Regarding marital status, </w:t>
      </w:r>
      <w:r>
        <w:t>20</w:t>
      </w:r>
      <w:r w:rsidRPr="00E63703">
        <w:t>% were currently married or in a de facto relationship, 2</w:t>
      </w:r>
      <w:r>
        <w:t>3</w:t>
      </w:r>
      <w:r w:rsidRPr="00E63703">
        <w:t>% were currently separated or d</w:t>
      </w:r>
      <w:r>
        <w:t>ivorced, 1</w:t>
      </w:r>
      <w:r w:rsidRPr="00E63703">
        <w:t>% were widowed, and 56% reported having never married (and not currently in a de facto relationship).</w:t>
      </w:r>
      <w:r>
        <w:t xml:space="preserve"> Indigenous Australians represented 7% of the total sample (17/404; 4% in Victoria and 39/391; 10% in WA). </w:t>
      </w:r>
    </w:p>
    <w:p w:rsidR="00072449" w:rsidRPr="00E63703" w:rsidRDefault="00072449" w:rsidP="00072449">
      <w:pPr>
        <w:pStyle w:val="FAREnormaltext"/>
      </w:pPr>
      <w:r>
        <w:t xml:space="preserve">Most participants had completed middle secondary school, or obtained further education. </w:t>
      </w:r>
      <w:r w:rsidRPr="00E63703">
        <w:t>While a large majority (8</w:t>
      </w:r>
      <w:r>
        <w:t>5</w:t>
      </w:r>
      <w:r w:rsidRPr="00E63703">
        <w:t xml:space="preserve">%) had completed at least year 10 or higher, only 48% had completed at least year 12 and/or TAFE and/or an apprenticeship. University degrees were held by 12% of the sample. Regarding their usual employment pattern during the previous year, 27% reported full-time employment, 19% reported part-time employment, </w:t>
      </w:r>
      <w:r w:rsidR="002435BD">
        <w:t>6</w:t>
      </w:r>
      <w:r w:rsidRPr="00E63703">
        <w:t xml:space="preserve">% reported carer or home duties, 1% were retired, </w:t>
      </w:r>
      <w:r w:rsidR="002435BD">
        <w:t>2</w:t>
      </w:r>
      <w:r w:rsidRPr="00E63703">
        <w:t xml:space="preserve">% were students, 12% reported a disability that prevented participation in employment, </w:t>
      </w:r>
      <w:r w:rsidR="0073758B">
        <w:t>1</w:t>
      </w:r>
      <w:r w:rsidRPr="00E63703">
        <w:t>% had been in a controlled environment that prevented participation in employment (e.g. prison), and 3</w:t>
      </w:r>
      <w:r w:rsidR="0073758B">
        <w:t>2</w:t>
      </w:r>
      <w:r w:rsidRPr="00E63703">
        <w:t>% were unemployed. Data on days involved in paid employment in the past 90 days suggest a lower rate of recent workforce participation than that suggested by participants’ reporting of their typical past year employment pattern. Only 32% had participated in any paid employment (1 or more days) and only 11% averaged over 4 days per week (52 or more days in total) during these 90 days.</w:t>
      </w:r>
    </w:p>
    <w:p w:rsidR="00072449" w:rsidRPr="00E63703" w:rsidRDefault="00072449" w:rsidP="00072449">
      <w:pPr>
        <w:pStyle w:val="FAREnormaltext"/>
      </w:pPr>
      <w:r w:rsidRPr="00E63703">
        <w:t>At the time of baseline interview, 84% of participants were in receipt of some type of government benefits, includ</w:t>
      </w:r>
      <w:r>
        <w:t xml:space="preserve">ing 48% who received unemployment benefits, </w:t>
      </w:r>
      <w:r w:rsidRPr="00E63703">
        <w:t>25% who received sickness</w:t>
      </w:r>
      <w:r>
        <w:t xml:space="preserve"> allowance</w:t>
      </w:r>
      <w:r w:rsidRPr="00E63703">
        <w:t xml:space="preserve"> or disability support pension, and 1</w:t>
      </w:r>
      <w:r>
        <w:t>1</w:t>
      </w:r>
      <w:r w:rsidRPr="00E63703">
        <w:t>% who received some other type of benefit (e.g. student support, aged pension, family tax benefit, etc.). Acute housing problems (defined as not having one’s own place to stay for at least one night, requ</w:t>
      </w:r>
      <w:r>
        <w:t>iring the participant to sleep o</w:t>
      </w:r>
      <w:r w:rsidRPr="00E63703">
        <w:t>n the streets, in a shelter, hostel, or at a friend’s place) were experienced by 26% of the sample in the previous 90 days while 2</w:t>
      </w:r>
      <w:r>
        <w:t>2</w:t>
      </w:r>
      <w:r w:rsidRPr="00E63703">
        <w:t xml:space="preserve">% reported being at risk of eviction at some time during this period. At least one of these two types of housing problems </w:t>
      </w:r>
      <w:r>
        <w:t>was</w:t>
      </w:r>
      <w:r w:rsidRPr="00E63703">
        <w:t xml:space="preserve"> reported by 35% of the sample. Chronic medical problems (defined as requiring regular care and impacting on the participant’s ability to engage in activities) were reported by 50% of the sample.</w:t>
      </w:r>
    </w:p>
    <w:p w:rsidR="004738B7" w:rsidRPr="00E63703" w:rsidRDefault="00072449" w:rsidP="00072449">
      <w:pPr>
        <w:pStyle w:val="FAREnormaltext"/>
      </w:pPr>
      <w:r w:rsidRPr="00E63703">
        <w:t xml:space="preserve">Participants were categorised by the type of substance use treatment they were receiving at baseline (primary index treatment; PIT). Of the 796 participants who met inclusion criteria, </w:t>
      </w:r>
      <w:r w:rsidR="00560215">
        <w:t>29</w:t>
      </w:r>
      <w:r w:rsidR="00560215" w:rsidRPr="00E63703">
        <w:t xml:space="preserve"> </w:t>
      </w:r>
      <w:r w:rsidRPr="00E63703">
        <w:t>(</w:t>
      </w:r>
      <w:r>
        <w:t>4</w:t>
      </w:r>
      <w:r w:rsidRPr="00E63703">
        <w:t>%) were in assessment, 14</w:t>
      </w:r>
      <w:r w:rsidR="0073758B">
        <w:t>6</w:t>
      </w:r>
      <w:r w:rsidRPr="00E63703">
        <w:t xml:space="preserve"> (</w:t>
      </w:r>
      <w:r>
        <w:t>1</w:t>
      </w:r>
      <w:r w:rsidR="0073758B">
        <w:t>8</w:t>
      </w:r>
      <w:r w:rsidRPr="00E63703">
        <w:t xml:space="preserve">%) were receiving individual counselling, </w:t>
      </w:r>
      <w:r w:rsidR="0073758B">
        <w:t>21</w:t>
      </w:r>
      <w:r w:rsidRPr="00E63703">
        <w:t xml:space="preserve"> (</w:t>
      </w:r>
      <w:r w:rsidR="0073758B">
        <w:t>3</w:t>
      </w:r>
      <w:r w:rsidRPr="00E63703">
        <w:t>%) were receiving group counselling, 344 (43%) were undergoing inpatient withdrawal, 6 (</w:t>
      </w:r>
      <w:r w:rsidR="0073758B">
        <w:t>1</w:t>
      </w:r>
      <w:r w:rsidRPr="00E63703">
        <w:t>%) were undergoing home-based withdrawal, 128 (16%) were in residential rehabilitation, 8</w:t>
      </w:r>
      <w:r w:rsidR="0073758B">
        <w:t>9</w:t>
      </w:r>
      <w:r w:rsidRPr="00E63703">
        <w:t xml:space="preserve"> (</w:t>
      </w:r>
      <w:r>
        <w:t>11</w:t>
      </w:r>
      <w:r w:rsidRPr="00E63703">
        <w:t>%) were in a therapeutic community, 15 (</w:t>
      </w:r>
      <w:r>
        <w:t>2</w:t>
      </w:r>
      <w:r w:rsidRPr="00E63703">
        <w:t>%) were in supported accommodation, 15 (</w:t>
      </w:r>
      <w:r>
        <w:t>2</w:t>
      </w:r>
      <w:r w:rsidRPr="00E63703">
        <w:t xml:space="preserve">%) were commencing pharmacotherapy, and </w:t>
      </w:r>
      <w:r w:rsidR="0073758B">
        <w:t>3</w:t>
      </w:r>
      <w:r w:rsidRPr="00E63703">
        <w:t xml:space="preserve"> (0.</w:t>
      </w:r>
      <w:r w:rsidR="0073758B">
        <w:t>4</w:t>
      </w:r>
      <w:r w:rsidRPr="00E63703">
        <w:t>%) were referred to a peer support group.</w:t>
      </w:r>
    </w:p>
    <w:p w:rsidR="00072449" w:rsidRPr="00E63703" w:rsidRDefault="00072449" w:rsidP="00072449">
      <w:pPr>
        <w:pStyle w:val="FAREnormaltext"/>
      </w:pPr>
      <w:r w:rsidRPr="00E63703">
        <w:t xml:space="preserve">For the purpose of further description and analysis of the sample, PIT was grouped into three categories: withdrawal (inpatient or home-based withdrawal), outpatient (assessment, individual or </w:t>
      </w:r>
      <w:r w:rsidRPr="00E63703">
        <w:lastRenderedPageBreak/>
        <w:t>group counselling, pharmacotherapy, and peer support), and long-term residential (residential rehabilitation, therapeutic community, and supported accommodation). Demographic characteristics of these groups are shown in Table 3.2. Participants in long-term residential treatment had a significantly lower me</w:t>
      </w:r>
      <w:r>
        <w:t>dian</w:t>
      </w:r>
      <w:r w:rsidRPr="00E63703">
        <w:t xml:space="preserve"> age than both other groups, were more likely to be male, and were more likely to have experienced recent homelessness, but were less likely to report a current chronic medical condition than outpatients or those undergoing acute withdrawal. While there was a trend for long-term residential participants to be more likely than outpatients to report usually being in paid employment in the past year, they were significantly less likely than other groups to report having been engaged in any paid employment in the past 90 days.</w:t>
      </w:r>
      <w:r>
        <w:t xml:space="preserve"> Differences in age by </w:t>
      </w:r>
      <w:r w:rsidR="00EE7A8F">
        <w:t>PDOC</w:t>
      </w:r>
      <w:r>
        <w:t xml:space="preserve"> were also examined, and found to be significant (p &lt; .001). Median age of those with alcohol as their </w:t>
      </w:r>
      <w:r w:rsidR="00EE7A8F">
        <w:t>PDOC</w:t>
      </w:r>
      <w:r>
        <w:t xml:space="preserve"> (41</w:t>
      </w:r>
      <w:r w:rsidR="00194304">
        <w:t>.1</w:t>
      </w:r>
      <w:r>
        <w:t xml:space="preserve"> years) was significantly higher than the median age of those with cannabis (31.5 years; p &lt; .001), opioids (34.8 years; p &lt; .001), meth</w:t>
      </w:r>
      <w:r w:rsidR="00E977AF">
        <w:t>/</w:t>
      </w:r>
      <w:r>
        <w:t xml:space="preserve">amphetamine (29.5 years; p &lt; .001), or other (32.9 years; p &lt; .01) as their </w:t>
      </w:r>
      <w:r w:rsidR="00EE7A8F">
        <w:t>PDOC</w:t>
      </w:r>
      <w:r>
        <w:t xml:space="preserve">. Those with opioids as their </w:t>
      </w:r>
      <w:r w:rsidR="00EE7A8F">
        <w:t>PDOC</w:t>
      </w:r>
      <w:r>
        <w:t xml:space="preserve"> were significantly older than those with cannabis (p &lt; .05) or meth</w:t>
      </w:r>
      <w:r w:rsidR="00E977AF">
        <w:t>/</w:t>
      </w:r>
      <w:r>
        <w:t xml:space="preserve">amphetamine (p&lt; .001) as their </w:t>
      </w:r>
      <w:r w:rsidR="00EE7A8F">
        <w:t>PDOC</w:t>
      </w:r>
      <w:r>
        <w:t>.</w:t>
      </w:r>
    </w:p>
    <w:p w:rsidR="00072449" w:rsidRPr="0078600D" w:rsidRDefault="00072449" w:rsidP="00072449">
      <w:pPr>
        <w:pStyle w:val="FAREtableheading"/>
      </w:pPr>
      <w:bookmarkStart w:id="96" w:name="_Toc398105064"/>
      <w:proofErr w:type="gramStart"/>
      <w:r w:rsidRPr="0078600D">
        <w:t xml:space="preserve">Table </w:t>
      </w:r>
      <w:r w:rsidR="00BE3D19" w:rsidRPr="0078600D">
        <w:fldChar w:fldCharType="begin"/>
      </w:r>
      <w:r w:rsidRPr="0078600D">
        <w:instrText xml:space="preserve"> STYLEREF 1 \s </w:instrText>
      </w:r>
      <w:r w:rsidR="00BE3D19" w:rsidRPr="0078600D">
        <w:fldChar w:fldCharType="separate"/>
      </w:r>
      <w:r w:rsidR="00E150CA">
        <w:rPr>
          <w:noProof/>
        </w:rPr>
        <w:t>3</w:t>
      </w:r>
      <w:r w:rsidR="00BE3D19" w:rsidRPr="0078600D">
        <w:fldChar w:fldCharType="end"/>
      </w:r>
      <w:r w:rsidRPr="0078600D">
        <w:t>.</w:t>
      </w:r>
      <w:proofErr w:type="gramEnd"/>
      <w:r w:rsidR="00BE3D19" w:rsidRPr="0078600D">
        <w:fldChar w:fldCharType="begin"/>
      </w:r>
      <w:r w:rsidRPr="0078600D">
        <w:instrText xml:space="preserve"> SEQ Table \* ARABIC \s 1 </w:instrText>
      </w:r>
      <w:r w:rsidR="00BE3D19" w:rsidRPr="0078600D">
        <w:fldChar w:fldCharType="separate"/>
      </w:r>
      <w:r w:rsidR="00E150CA">
        <w:rPr>
          <w:noProof/>
        </w:rPr>
        <w:t>2</w:t>
      </w:r>
      <w:r w:rsidR="00BE3D19" w:rsidRPr="0078600D">
        <w:fldChar w:fldCharType="end"/>
      </w:r>
      <w:r w:rsidR="006244F5">
        <w:t xml:space="preserve">  </w:t>
      </w:r>
      <w:r w:rsidRPr="0078600D">
        <w:t>Participant characteristics at baseline</w:t>
      </w:r>
      <w:bookmarkEnd w:id="96"/>
      <w:r w:rsidRPr="0078600D">
        <w:t xml:space="preserve"> </w:t>
      </w:r>
    </w:p>
    <w:tbl>
      <w:tblPr>
        <w:tblStyle w:val="TableGrid"/>
        <w:tblW w:w="5000" w:type="pct"/>
        <w:tblBorders>
          <w:top w:val="single" w:sz="4"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Caption w:val="  Participant characteristics at baseline "/>
        <w:tblDescription w:val="  Participant characteristics at baseline "/>
      </w:tblPr>
      <w:tblGrid>
        <w:gridCol w:w="2953"/>
        <w:gridCol w:w="1224"/>
        <w:gridCol w:w="1224"/>
        <w:gridCol w:w="1442"/>
        <w:gridCol w:w="1630"/>
        <w:gridCol w:w="769"/>
      </w:tblGrid>
      <w:tr w:rsidR="00072449" w:rsidRPr="00415291" w:rsidTr="00046CCA">
        <w:trPr>
          <w:tblHeader/>
        </w:trPr>
        <w:tc>
          <w:tcPr>
            <w:tcW w:w="1598" w:type="pct"/>
            <w:tcBorders>
              <w:bottom w:val="single" w:sz="4" w:space="0" w:color="auto"/>
            </w:tcBorders>
          </w:tcPr>
          <w:p w:rsidR="00072449" w:rsidRPr="00241E30" w:rsidRDefault="00072449" w:rsidP="00072449">
            <w:pPr>
              <w:spacing w:after="0" w:line="240" w:lineRule="auto"/>
              <w:jc w:val="center"/>
              <w:rPr>
                <w:rFonts w:eastAsia="Times New Roman"/>
                <w:b/>
                <w:bCs/>
                <w:color w:val="000000"/>
                <w:sz w:val="22"/>
                <w:szCs w:val="22"/>
                <w:lang w:eastAsia="zh-CN"/>
              </w:rPr>
            </w:pPr>
          </w:p>
        </w:tc>
        <w:tc>
          <w:tcPr>
            <w:tcW w:w="662" w:type="pct"/>
            <w:tcBorders>
              <w:bottom w:val="single" w:sz="4" w:space="0" w:color="auto"/>
            </w:tcBorders>
          </w:tcPr>
          <w:p w:rsidR="00072449" w:rsidRPr="00241E30" w:rsidRDefault="00072449" w:rsidP="00072449">
            <w:pPr>
              <w:spacing w:after="0" w:line="240" w:lineRule="auto"/>
              <w:jc w:val="center"/>
              <w:rPr>
                <w:rFonts w:eastAsia="Times New Roman"/>
                <w:b/>
                <w:bCs/>
                <w:color w:val="000000"/>
                <w:sz w:val="22"/>
                <w:szCs w:val="22"/>
                <w:lang w:eastAsia="zh-CN"/>
              </w:rPr>
            </w:pPr>
            <w:r w:rsidRPr="00241E30">
              <w:rPr>
                <w:rFonts w:eastAsia="Times New Roman"/>
                <w:b/>
                <w:bCs/>
                <w:color w:val="000000"/>
                <w:sz w:val="22"/>
                <w:szCs w:val="22"/>
                <w:lang w:eastAsia="zh-CN"/>
              </w:rPr>
              <w:t>Total sample (N = 79</w:t>
            </w:r>
            <w:r w:rsidR="00F92138">
              <w:rPr>
                <w:rFonts w:eastAsia="Times New Roman"/>
                <w:b/>
                <w:bCs/>
                <w:color w:val="000000"/>
                <w:sz w:val="22"/>
                <w:szCs w:val="22"/>
                <w:lang w:eastAsia="zh-CN"/>
              </w:rPr>
              <w:t>2</w:t>
            </w:r>
            <w:r w:rsidRPr="00241E30">
              <w:rPr>
                <w:rFonts w:eastAsia="Times New Roman"/>
                <w:b/>
                <w:bCs/>
                <w:color w:val="000000"/>
                <w:sz w:val="22"/>
                <w:szCs w:val="22"/>
                <w:lang w:eastAsia="zh-CN"/>
              </w:rPr>
              <w:t>-796*)</w:t>
            </w:r>
          </w:p>
        </w:tc>
        <w:tc>
          <w:tcPr>
            <w:tcW w:w="662" w:type="pct"/>
            <w:tcBorders>
              <w:bottom w:val="single" w:sz="4" w:space="0" w:color="auto"/>
            </w:tcBorders>
          </w:tcPr>
          <w:p w:rsidR="00072449" w:rsidRPr="00241E30" w:rsidRDefault="00072449" w:rsidP="00072449">
            <w:pPr>
              <w:spacing w:after="0" w:line="240" w:lineRule="auto"/>
              <w:jc w:val="center"/>
              <w:rPr>
                <w:rFonts w:eastAsia="Times New Roman"/>
                <w:b/>
                <w:bCs/>
                <w:color w:val="000000"/>
                <w:sz w:val="22"/>
                <w:szCs w:val="22"/>
                <w:lang w:eastAsia="zh-CN"/>
              </w:rPr>
            </w:pPr>
            <w:r w:rsidRPr="00241E30">
              <w:rPr>
                <w:rFonts w:eastAsia="Times New Roman"/>
                <w:b/>
                <w:bCs/>
                <w:color w:val="000000"/>
                <w:sz w:val="22"/>
                <w:szCs w:val="22"/>
                <w:lang w:eastAsia="zh-CN"/>
              </w:rPr>
              <w:t>Outpatient (n = 21</w:t>
            </w:r>
            <w:r w:rsidR="00F92138">
              <w:rPr>
                <w:rFonts w:eastAsia="Times New Roman"/>
                <w:b/>
                <w:bCs/>
                <w:color w:val="000000"/>
                <w:sz w:val="22"/>
                <w:szCs w:val="22"/>
                <w:lang w:eastAsia="zh-CN"/>
              </w:rPr>
              <w:t>2</w:t>
            </w:r>
            <w:r w:rsidRPr="00241E30">
              <w:rPr>
                <w:rFonts w:eastAsia="Times New Roman"/>
                <w:b/>
                <w:bCs/>
                <w:color w:val="000000"/>
                <w:sz w:val="22"/>
                <w:szCs w:val="22"/>
                <w:lang w:eastAsia="zh-CN"/>
              </w:rPr>
              <w:t>-21</w:t>
            </w:r>
            <w:r w:rsidR="00F92138">
              <w:rPr>
                <w:rFonts w:eastAsia="Times New Roman"/>
                <w:b/>
                <w:bCs/>
                <w:color w:val="000000"/>
                <w:sz w:val="22"/>
                <w:szCs w:val="22"/>
                <w:lang w:eastAsia="zh-CN"/>
              </w:rPr>
              <w:t>4</w:t>
            </w:r>
            <w:r w:rsidRPr="00241E30">
              <w:rPr>
                <w:rFonts w:eastAsia="Times New Roman"/>
                <w:b/>
                <w:bCs/>
                <w:color w:val="000000"/>
                <w:sz w:val="22"/>
                <w:szCs w:val="22"/>
                <w:lang w:eastAsia="zh-CN"/>
              </w:rPr>
              <w:t>)</w:t>
            </w:r>
          </w:p>
        </w:tc>
        <w:tc>
          <w:tcPr>
            <w:tcW w:w="780" w:type="pct"/>
            <w:tcBorders>
              <w:bottom w:val="single" w:sz="4" w:space="0" w:color="auto"/>
            </w:tcBorders>
          </w:tcPr>
          <w:p w:rsidR="00072449" w:rsidRPr="00241E30" w:rsidRDefault="00FD2002" w:rsidP="00072449">
            <w:pPr>
              <w:spacing w:after="0" w:line="240" w:lineRule="auto"/>
              <w:jc w:val="center"/>
              <w:rPr>
                <w:rFonts w:eastAsia="Times New Roman"/>
                <w:b/>
                <w:bCs/>
                <w:color w:val="000000"/>
                <w:sz w:val="22"/>
                <w:szCs w:val="22"/>
                <w:lang w:eastAsia="zh-CN"/>
              </w:rPr>
            </w:pPr>
            <w:r>
              <w:rPr>
                <w:rFonts w:eastAsia="Times New Roman"/>
                <w:b/>
                <w:bCs/>
                <w:color w:val="000000"/>
                <w:sz w:val="22"/>
                <w:szCs w:val="22"/>
                <w:lang w:eastAsia="zh-CN"/>
              </w:rPr>
              <w:t>Acute w</w:t>
            </w:r>
            <w:r w:rsidR="00072449" w:rsidRPr="00241E30">
              <w:rPr>
                <w:rFonts w:eastAsia="Times New Roman"/>
                <w:b/>
                <w:bCs/>
                <w:color w:val="000000"/>
                <w:sz w:val="22"/>
                <w:szCs w:val="22"/>
                <w:lang w:eastAsia="zh-CN"/>
              </w:rPr>
              <w:t>ithdrawal (n = 348-350)</w:t>
            </w:r>
          </w:p>
        </w:tc>
        <w:tc>
          <w:tcPr>
            <w:tcW w:w="882" w:type="pct"/>
            <w:tcBorders>
              <w:bottom w:val="single" w:sz="4" w:space="0" w:color="auto"/>
            </w:tcBorders>
          </w:tcPr>
          <w:p w:rsidR="00072449" w:rsidRPr="00241E30" w:rsidRDefault="00FD2002" w:rsidP="00F92138">
            <w:pPr>
              <w:spacing w:after="0" w:line="240" w:lineRule="auto"/>
              <w:jc w:val="center"/>
              <w:rPr>
                <w:rFonts w:eastAsia="Times New Roman"/>
                <w:b/>
                <w:bCs/>
                <w:color w:val="000000"/>
                <w:sz w:val="22"/>
                <w:szCs w:val="22"/>
                <w:lang w:eastAsia="zh-CN"/>
              </w:rPr>
            </w:pPr>
            <w:r>
              <w:rPr>
                <w:rFonts w:eastAsia="Times New Roman"/>
                <w:b/>
                <w:bCs/>
                <w:color w:val="000000"/>
                <w:sz w:val="22"/>
                <w:szCs w:val="22"/>
                <w:lang w:eastAsia="zh-CN"/>
              </w:rPr>
              <w:t xml:space="preserve">Residential rehabilitation </w:t>
            </w:r>
            <w:r w:rsidR="00072449" w:rsidRPr="00241E30">
              <w:rPr>
                <w:rFonts w:eastAsia="Times New Roman"/>
                <w:b/>
                <w:bCs/>
                <w:color w:val="000000"/>
                <w:sz w:val="22"/>
                <w:szCs w:val="22"/>
                <w:lang w:eastAsia="zh-CN"/>
              </w:rPr>
              <w:t>(n = 22</w:t>
            </w:r>
            <w:r w:rsidR="00F92138">
              <w:rPr>
                <w:rFonts w:eastAsia="Times New Roman"/>
                <w:b/>
                <w:bCs/>
                <w:color w:val="000000"/>
                <w:sz w:val="22"/>
                <w:szCs w:val="22"/>
                <w:lang w:eastAsia="zh-CN"/>
              </w:rPr>
              <w:t>9</w:t>
            </w:r>
            <w:r w:rsidR="00072449" w:rsidRPr="00241E30">
              <w:rPr>
                <w:rFonts w:eastAsia="Times New Roman"/>
                <w:b/>
                <w:bCs/>
                <w:color w:val="000000"/>
                <w:sz w:val="22"/>
                <w:szCs w:val="22"/>
                <w:lang w:eastAsia="zh-CN"/>
              </w:rPr>
              <w:t>-23</w:t>
            </w:r>
            <w:r w:rsidR="00F92138">
              <w:rPr>
                <w:rFonts w:eastAsia="Times New Roman"/>
                <w:b/>
                <w:bCs/>
                <w:color w:val="000000"/>
                <w:sz w:val="22"/>
                <w:szCs w:val="22"/>
                <w:lang w:eastAsia="zh-CN"/>
              </w:rPr>
              <w:t>2</w:t>
            </w:r>
            <w:r w:rsidR="00072449" w:rsidRPr="00241E30">
              <w:rPr>
                <w:rFonts w:eastAsia="Times New Roman"/>
                <w:b/>
                <w:bCs/>
                <w:color w:val="000000"/>
                <w:sz w:val="22"/>
                <w:szCs w:val="22"/>
                <w:lang w:eastAsia="zh-CN"/>
              </w:rPr>
              <w:t>)</w:t>
            </w:r>
          </w:p>
        </w:tc>
        <w:tc>
          <w:tcPr>
            <w:tcW w:w="417" w:type="pct"/>
            <w:tcBorders>
              <w:bottom w:val="single" w:sz="4" w:space="0" w:color="auto"/>
            </w:tcBorders>
          </w:tcPr>
          <w:p w:rsidR="00072449" w:rsidRPr="00241E30" w:rsidRDefault="00433B1E" w:rsidP="00707BB1">
            <w:pPr>
              <w:spacing w:after="0" w:line="240" w:lineRule="auto"/>
              <w:jc w:val="center"/>
              <w:rPr>
                <w:rFonts w:eastAsia="Times New Roman"/>
                <w:b/>
                <w:bCs/>
                <w:color w:val="000000"/>
                <w:sz w:val="22"/>
                <w:szCs w:val="22"/>
                <w:lang w:eastAsia="zh-CN"/>
              </w:rPr>
            </w:pPr>
            <w:r w:rsidRPr="00241E30">
              <w:rPr>
                <w:rFonts w:eastAsia="Times New Roman"/>
                <w:b/>
                <w:bCs/>
                <w:color w:val="000000"/>
                <w:sz w:val="22"/>
                <w:szCs w:val="22"/>
                <w:lang w:eastAsia="zh-CN"/>
              </w:rPr>
              <w:t>P</w:t>
            </w:r>
            <w:r w:rsidR="00707BB1">
              <w:rPr>
                <w:rStyle w:val="FootnoteReference"/>
                <w:rFonts w:eastAsia="Times New Roman"/>
                <w:b/>
                <w:bCs/>
                <w:color w:val="000000"/>
                <w:sz w:val="22"/>
                <w:szCs w:val="22"/>
                <w:lang w:eastAsia="zh-CN"/>
              </w:rPr>
              <w:footnoteReference w:id="6"/>
            </w:r>
          </w:p>
        </w:tc>
      </w:tr>
      <w:tr w:rsidR="00072449" w:rsidRPr="00415291" w:rsidTr="001A0F1E">
        <w:trPr>
          <w:trHeight w:hRule="exact" w:val="830"/>
        </w:trPr>
        <w:tc>
          <w:tcPr>
            <w:tcW w:w="1598" w:type="pct"/>
            <w:tcBorders>
              <w:top w:val="single" w:sz="4" w:space="0" w:color="auto"/>
              <w:bottom w:val="nil"/>
            </w:tcBorders>
          </w:tcPr>
          <w:p w:rsidR="00072449" w:rsidRPr="0087379A" w:rsidRDefault="00072449" w:rsidP="00072449">
            <w:pPr>
              <w:spacing w:after="0" w:line="240" w:lineRule="auto"/>
              <w:rPr>
                <w:rFonts w:eastAsia="Times New Roman"/>
                <w:color w:val="000000"/>
              </w:rPr>
            </w:pPr>
            <w:r w:rsidRPr="0087379A">
              <w:rPr>
                <w:rFonts w:eastAsia="Times New Roman"/>
                <w:color w:val="000000"/>
              </w:rPr>
              <w:t>Age Range</w:t>
            </w:r>
          </w:p>
          <w:p w:rsidR="00072449" w:rsidRPr="0087379A" w:rsidRDefault="00072449" w:rsidP="00072449">
            <w:pPr>
              <w:spacing w:after="0" w:line="240" w:lineRule="auto"/>
              <w:rPr>
                <w:rFonts w:eastAsia="Times New Roman"/>
                <w:color w:val="000000"/>
              </w:rPr>
            </w:pPr>
            <w:r w:rsidRPr="0087379A">
              <w:rPr>
                <w:rFonts w:eastAsia="Times New Roman"/>
                <w:color w:val="000000"/>
              </w:rPr>
              <w:t>Median (</w:t>
            </w:r>
            <w:r>
              <w:rPr>
                <w:rFonts w:eastAsia="Times New Roman"/>
                <w:color w:val="000000"/>
              </w:rPr>
              <w:t>IQR</w:t>
            </w:r>
            <w:r w:rsidRPr="0087379A">
              <w:rPr>
                <w:rFonts w:eastAsia="Times New Roman"/>
                <w:color w:val="000000"/>
              </w:rPr>
              <w:t>)</w:t>
            </w:r>
          </w:p>
          <w:p w:rsidR="00072449" w:rsidRPr="0087379A" w:rsidRDefault="00072449" w:rsidP="00072449">
            <w:pPr>
              <w:spacing w:after="0" w:line="240" w:lineRule="auto"/>
              <w:rPr>
                <w:rFonts w:eastAsia="Times New Roman"/>
                <w:color w:val="000000"/>
                <w:sz w:val="16"/>
              </w:rPr>
            </w:pPr>
          </w:p>
          <w:p w:rsidR="00072449" w:rsidRPr="0087379A" w:rsidRDefault="00072449" w:rsidP="00072449">
            <w:pPr>
              <w:spacing w:after="0" w:line="240" w:lineRule="auto"/>
              <w:rPr>
                <w:rFonts w:eastAsia="Times New Roman"/>
                <w:color w:val="000000"/>
                <w:sz w:val="16"/>
              </w:rPr>
            </w:pPr>
          </w:p>
        </w:tc>
        <w:tc>
          <w:tcPr>
            <w:tcW w:w="662" w:type="pct"/>
            <w:tcBorders>
              <w:top w:val="single" w:sz="4" w:space="0" w:color="auto"/>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18.1-71.5</w:t>
            </w:r>
          </w:p>
          <w:p w:rsidR="00072449" w:rsidRPr="00241E30" w:rsidRDefault="00072449" w:rsidP="00072449">
            <w:pPr>
              <w:spacing w:after="0" w:line="240" w:lineRule="auto"/>
              <w:jc w:val="center"/>
              <w:rPr>
                <w:rFonts w:eastAsia="Times New Roman"/>
                <w:color w:val="000000"/>
              </w:rPr>
            </w:pPr>
            <w:r>
              <w:rPr>
                <w:rFonts w:eastAsia="Times New Roman"/>
                <w:color w:val="000000"/>
              </w:rPr>
              <w:t xml:space="preserve">35.9 </w:t>
            </w:r>
            <w:r w:rsidRPr="0087379A">
              <w:rPr>
                <w:rFonts w:eastAsia="Times New Roman"/>
                <w:color w:val="000000"/>
                <w:sz w:val="18"/>
              </w:rPr>
              <w:t>(28.7</w:t>
            </w:r>
            <w:r>
              <w:rPr>
                <w:rFonts w:eastAsia="Times New Roman"/>
                <w:color w:val="000000"/>
                <w:sz w:val="18"/>
              </w:rPr>
              <w:t>-</w:t>
            </w:r>
            <w:r w:rsidRPr="0087379A">
              <w:rPr>
                <w:rFonts w:eastAsia="Times New Roman"/>
                <w:color w:val="000000"/>
                <w:sz w:val="18"/>
              </w:rPr>
              <w:t>44.5)</w:t>
            </w:r>
          </w:p>
        </w:tc>
        <w:tc>
          <w:tcPr>
            <w:tcW w:w="662" w:type="pct"/>
            <w:tcBorders>
              <w:top w:val="single" w:sz="4" w:space="0" w:color="auto"/>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18.9-69.1</w:t>
            </w:r>
          </w:p>
          <w:p w:rsidR="00072449" w:rsidRPr="00241E30" w:rsidRDefault="00072449" w:rsidP="00072449">
            <w:pPr>
              <w:spacing w:after="0" w:line="240" w:lineRule="auto"/>
              <w:jc w:val="center"/>
              <w:rPr>
                <w:rFonts w:eastAsia="Times New Roman"/>
                <w:color w:val="000000"/>
              </w:rPr>
            </w:pPr>
            <w:r>
              <w:rPr>
                <w:rFonts w:eastAsia="Times New Roman"/>
                <w:color w:val="000000"/>
              </w:rPr>
              <w:t>36.</w:t>
            </w:r>
            <w:r w:rsidR="008B6C59">
              <w:rPr>
                <w:rFonts w:eastAsia="Times New Roman"/>
                <w:color w:val="000000"/>
              </w:rPr>
              <w:t>3</w:t>
            </w:r>
            <w:r>
              <w:rPr>
                <w:rFonts w:eastAsia="Times New Roman"/>
                <w:color w:val="000000"/>
              </w:rPr>
              <w:t xml:space="preserve"> </w:t>
            </w:r>
            <w:r w:rsidRPr="0087379A">
              <w:rPr>
                <w:rFonts w:eastAsia="Times New Roman"/>
                <w:color w:val="000000"/>
                <w:sz w:val="18"/>
              </w:rPr>
              <w:t>(29.4</w:t>
            </w:r>
            <w:r>
              <w:rPr>
                <w:rFonts w:eastAsia="Times New Roman"/>
                <w:color w:val="000000"/>
                <w:sz w:val="18"/>
              </w:rPr>
              <w:t>-</w:t>
            </w:r>
            <w:r w:rsidRPr="0087379A">
              <w:rPr>
                <w:rFonts w:eastAsia="Times New Roman"/>
                <w:color w:val="000000"/>
                <w:sz w:val="18"/>
              </w:rPr>
              <w:t>4</w:t>
            </w:r>
            <w:r w:rsidR="008B6C59">
              <w:rPr>
                <w:rFonts w:eastAsia="Times New Roman"/>
                <w:color w:val="000000"/>
                <w:sz w:val="18"/>
              </w:rPr>
              <w:t>5.2</w:t>
            </w:r>
            <w:r w:rsidRPr="0087379A">
              <w:rPr>
                <w:rFonts w:eastAsia="Times New Roman"/>
                <w:color w:val="000000"/>
                <w:sz w:val="18"/>
              </w:rPr>
              <w:t>)</w:t>
            </w:r>
          </w:p>
        </w:tc>
        <w:tc>
          <w:tcPr>
            <w:tcW w:w="780" w:type="pct"/>
            <w:tcBorders>
              <w:top w:val="single" w:sz="4" w:space="0" w:color="auto"/>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18.3-71.5</w:t>
            </w:r>
          </w:p>
          <w:p w:rsidR="00072449" w:rsidRPr="00241E30" w:rsidRDefault="00072449" w:rsidP="00072449">
            <w:pPr>
              <w:spacing w:after="0" w:line="240" w:lineRule="auto"/>
              <w:jc w:val="center"/>
              <w:rPr>
                <w:rFonts w:eastAsia="Times New Roman"/>
                <w:color w:val="000000"/>
              </w:rPr>
            </w:pPr>
            <w:r>
              <w:rPr>
                <w:rFonts w:eastAsia="Times New Roman"/>
                <w:color w:val="000000"/>
              </w:rPr>
              <w:t>38.4 (30.6-46.4)</w:t>
            </w:r>
          </w:p>
        </w:tc>
        <w:tc>
          <w:tcPr>
            <w:tcW w:w="882" w:type="pct"/>
            <w:tcBorders>
              <w:top w:val="single" w:sz="4" w:space="0" w:color="auto"/>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18.1-65.2</w:t>
            </w:r>
          </w:p>
          <w:p w:rsidR="00072449" w:rsidRPr="00241E30" w:rsidRDefault="00072449" w:rsidP="00072449">
            <w:pPr>
              <w:spacing w:after="0" w:line="240" w:lineRule="auto"/>
              <w:jc w:val="center"/>
              <w:rPr>
                <w:rFonts w:eastAsia="Times New Roman"/>
                <w:color w:val="000000"/>
              </w:rPr>
            </w:pPr>
            <w:r>
              <w:rPr>
                <w:rFonts w:eastAsia="Times New Roman"/>
                <w:color w:val="000000"/>
              </w:rPr>
              <w:t>32.3 (25.</w:t>
            </w:r>
            <w:r w:rsidR="00CC3BB2">
              <w:rPr>
                <w:rFonts w:eastAsia="Times New Roman"/>
                <w:color w:val="000000"/>
              </w:rPr>
              <w:t>7</w:t>
            </w:r>
            <w:r>
              <w:rPr>
                <w:rFonts w:eastAsia="Times New Roman"/>
                <w:color w:val="000000"/>
              </w:rPr>
              <w:t>-39.</w:t>
            </w:r>
            <w:r w:rsidR="00CC3BB2">
              <w:rPr>
                <w:rFonts w:eastAsia="Times New Roman"/>
                <w:color w:val="000000"/>
              </w:rPr>
              <w:t>6</w:t>
            </w:r>
            <w:r>
              <w:rPr>
                <w:rFonts w:eastAsia="Times New Roman"/>
                <w:color w:val="000000"/>
              </w:rPr>
              <w:t>)</w:t>
            </w:r>
          </w:p>
        </w:tc>
        <w:tc>
          <w:tcPr>
            <w:tcW w:w="417" w:type="pct"/>
            <w:tcBorders>
              <w:top w:val="single" w:sz="4" w:space="0" w:color="auto"/>
              <w:bottom w:val="nil"/>
            </w:tcBorders>
          </w:tcPr>
          <w:p w:rsidR="00072449" w:rsidRDefault="00072449" w:rsidP="00072449">
            <w:pPr>
              <w:spacing w:after="0" w:line="240" w:lineRule="auto"/>
              <w:jc w:val="center"/>
              <w:rPr>
                <w:rFonts w:eastAsia="Times New Roman"/>
                <w:color w:val="000000"/>
              </w:rPr>
            </w:pPr>
            <w:r>
              <w:rPr>
                <w:rFonts w:eastAsia="Times New Roman"/>
                <w:color w:val="000000"/>
              </w:rPr>
              <w:t>&lt;</w:t>
            </w:r>
            <w:r w:rsidR="00362A00">
              <w:rPr>
                <w:rFonts w:eastAsia="Times New Roman"/>
                <w:color w:val="000000"/>
              </w:rPr>
              <w:t xml:space="preserve"> </w:t>
            </w:r>
            <w:r>
              <w:rPr>
                <w:rFonts w:eastAsia="Times New Roman"/>
                <w:color w:val="000000"/>
              </w:rPr>
              <w:t>.</w:t>
            </w:r>
            <w:r w:rsidRPr="00241E30">
              <w:rPr>
                <w:rFonts w:eastAsia="Times New Roman"/>
                <w:color w:val="000000"/>
              </w:rPr>
              <w:t>001</w:t>
            </w:r>
          </w:p>
          <w:p w:rsidR="00072449" w:rsidRPr="00FB6082" w:rsidRDefault="00072449" w:rsidP="00072449">
            <w:pPr>
              <w:spacing w:after="0" w:line="240" w:lineRule="auto"/>
              <w:jc w:val="center"/>
              <w:rPr>
                <w:rFonts w:eastAsia="Times New Roman"/>
                <w:color w:val="000000"/>
              </w:rPr>
            </w:pPr>
          </w:p>
        </w:tc>
      </w:tr>
      <w:tr w:rsidR="00072449" w:rsidRPr="00415291" w:rsidTr="001A0F1E">
        <w:trPr>
          <w:trHeight w:hRule="exact" w:val="397"/>
        </w:trPr>
        <w:tc>
          <w:tcPr>
            <w:tcW w:w="1598" w:type="pct"/>
            <w:tcBorders>
              <w:top w:val="nil"/>
              <w:bottom w:val="nil"/>
            </w:tcBorders>
          </w:tcPr>
          <w:p w:rsidR="00072449" w:rsidRPr="00241E30" w:rsidRDefault="00072449" w:rsidP="00072449">
            <w:pPr>
              <w:spacing w:after="0" w:line="240" w:lineRule="auto"/>
              <w:rPr>
                <w:rFonts w:eastAsia="Times New Roman"/>
                <w:color w:val="000000"/>
              </w:rPr>
            </w:pPr>
            <w:r w:rsidRPr="00241E30">
              <w:rPr>
                <w:rFonts w:eastAsia="Times New Roman"/>
                <w:color w:val="000000"/>
              </w:rPr>
              <w:t>Sex (% male)</w:t>
            </w:r>
          </w:p>
        </w:tc>
        <w:tc>
          <w:tcPr>
            <w:tcW w:w="66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62.2%</w:t>
            </w:r>
          </w:p>
        </w:tc>
        <w:tc>
          <w:tcPr>
            <w:tcW w:w="66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60.</w:t>
            </w:r>
            <w:r w:rsidR="00CC3BB2">
              <w:rPr>
                <w:rFonts w:eastAsia="Times New Roman"/>
                <w:color w:val="000000"/>
              </w:rPr>
              <w:t>3</w:t>
            </w:r>
            <w:r w:rsidRPr="00241E30">
              <w:rPr>
                <w:rFonts w:eastAsia="Times New Roman"/>
                <w:color w:val="000000"/>
              </w:rPr>
              <w:t>%</w:t>
            </w:r>
          </w:p>
        </w:tc>
        <w:tc>
          <w:tcPr>
            <w:tcW w:w="780"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58.3%</w:t>
            </w:r>
          </w:p>
        </w:tc>
        <w:tc>
          <w:tcPr>
            <w:tcW w:w="88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70.</w:t>
            </w:r>
            <w:r w:rsidR="00CC3BB2">
              <w:rPr>
                <w:rFonts w:eastAsia="Times New Roman"/>
                <w:color w:val="000000"/>
              </w:rPr>
              <w:t>0</w:t>
            </w:r>
            <w:r w:rsidRPr="00241E30">
              <w:rPr>
                <w:rFonts w:eastAsia="Times New Roman"/>
                <w:color w:val="000000"/>
              </w:rPr>
              <w:t>%</w:t>
            </w:r>
          </w:p>
        </w:tc>
        <w:tc>
          <w:tcPr>
            <w:tcW w:w="417" w:type="pct"/>
            <w:tcBorders>
              <w:top w:val="nil"/>
              <w:bottom w:val="nil"/>
            </w:tcBorders>
          </w:tcPr>
          <w:p w:rsidR="00072449" w:rsidRPr="00241E30" w:rsidRDefault="00072449" w:rsidP="00072449">
            <w:pPr>
              <w:spacing w:after="0" w:line="240" w:lineRule="auto"/>
              <w:jc w:val="center"/>
              <w:rPr>
                <w:rFonts w:eastAsia="Times New Roman"/>
                <w:color w:val="000000"/>
              </w:rPr>
            </w:pPr>
            <w:r>
              <w:rPr>
                <w:rFonts w:eastAsia="Times New Roman"/>
                <w:color w:val="000000"/>
              </w:rPr>
              <w:t>&lt;</w:t>
            </w:r>
            <w:r w:rsidR="00362A00">
              <w:rPr>
                <w:rFonts w:eastAsia="Times New Roman"/>
                <w:color w:val="000000"/>
              </w:rPr>
              <w:t xml:space="preserve"> </w:t>
            </w:r>
            <w:r w:rsidRPr="00241E30">
              <w:rPr>
                <w:rFonts w:eastAsia="Times New Roman"/>
                <w:color w:val="000000"/>
              </w:rPr>
              <w:t>.0</w:t>
            </w:r>
            <w:r w:rsidR="00CC3BB2">
              <w:rPr>
                <w:rFonts w:eastAsia="Times New Roman"/>
                <w:color w:val="000000"/>
              </w:rPr>
              <w:t>5</w:t>
            </w:r>
          </w:p>
        </w:tc>
      </w:tr>
      <w:tr w:rsidR="00072449" w:rsidRPr="00415291" w:rsidTr="001A0F1E">
        <w:trPr>
          <w:trHeight w:hRule="exact" w:val="624"/>
        </w:trPr>
        <w:tc>
          <w:tcPr>
            <w:tcW w:w="1598" w:type="pct"/>
            <w:tcBorders>
              <w:top w:val="nil"/>
              <w:bottom w:val="nil"/>
            </w:tcBorders>
          </w:tcPr>
          <w:p w:rsidR="00072449" w:rsidRPr="00241E30" w:rsidRDefault="00072449" w:rsidP="00072449">
            <w:pPr>
              <w:spacing w:after="0" w:line="240" w:lineRule="auto"/>
              <w:rPr>
                <w:rFonts w:eastAsia="Times New Roman"/>
                <w:color w:val="000000"/>
              </w:rPr>
            </w:pPr>
            <w:r w:rsidRPr="00241E30">
              <w:rPr>
                <w:rFonts w:eastAsia="Times New Roman"/>
                <w:color w:val="000000"/>
              </w:rPr>
              <w:t>Marital status (% proportion currently married or de facto)</w:t>
            </w:r>
          </w:p>
        </w:tc>
        <w:tc>
          <w:tcPr>
            <w:tcW w:w="66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19.9%</w:t>
            </w:r>
          </w:p>
        </w:tc>
        <w:tc>
          <w:tcPr>
            <w:tcW w:w="662" w:type="pct"/>
            <w:tcBorders>
              <w:top w:val="nil"/>
              <w:bottom w:val="nil"/>
            </w:tcBorders>
          </w:tcPr>
          <w:p w:rsidR="00072449" w:rsidRPr="00241E30" w:rsidRDefault="0017759C" w:rsidP="00072449">
            <w:pPr>
              <w:spacing w:after="0" w:line="240" w:lineRule="auto"/>
              <w:jc w:val="center"/>
              <w:rPr>
                <w:rFonts w:eastAsia="Times New Roman"/>
                <w:color w:val="000000"/>
              </w:rPr>
            </w:pPr>
            <w:r>
              <w:rPr>
                <w:rFonts w:eastAsia="Times New Roman"/>
                <w:color w:val="000000"/>
              </w:rPr>
              <w:t>20.1</w:t>
            </w:r>
            <w:r w:rsidR="00072449" w:rsidRPr="00241E30">
              <w:rPr>
                <w:rFonts w:eastAsia="Times New Roman"/>
                <w:color w:val="000000"/>
              </w:rPr>
              <w:t>%</w:t>
            </w:r>
          </w:p>
        </w:tc>
        <w:tc>
          <w:tcPr>
            <w:tcW w:w="780"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20.3%</w:t>
            </w:r>
          </w:p>
        </w:tc>
        <w:tc>
          <w:tcPr>
            <w:tcW w:w="882" w:type="pct"/>
            <w:tcBorders>
              <w:top w:val="nil"/>
              <w:bottom w:val="nil"/>
            </w:tcBorders>
          </w:tcPr>
          <w:p w:rsidR="00072449" w:rsidRPr="00241E30" w:rsidRDefault="00072449" w:rsidP="0017759C">
            <w:pPr>
              <w:spacing w:after="0" w:line="240" w:lineRule="auto"/>
              <w:jc w:val="center"/>
              <w:rPr>
                <w:rFonts w:eastAsia="Times New Roman"/>
                <w:color w:val="000000"/>
              </w:rPr>
            </w:pPr>
            <w:r w:rsidRPr="00241E30">
              <w:rPr>
                <w:rFonts w:eastAsia="Times New Roman"/>
                <w:color w:val="000000"/>
              </w:rPr>
              <w:t>19.</w:t>
            </w:r>
            <w:r w:rsidR="0017759C">
              <w:rPr>
                <w:rFonts w:eastAsia="Times New Roman"/>
                <w:color w:val="000000"/>
              </w:rPr>
              <w:t>0</w:t>
            </w:r>
            <w:r w:rsidRPr="00241E30">
              <w:rPr>
                <w:rFonts w:eastAsia="Times New Roman"/>
                <w:color w:val="000000"/>
              </w:rPr>
              <w:t>%</w:t>
            </w:r>
          </w:p>
        </w:tc>
        <w:tc>
          <w:tcPr>
            <w:tcW w:w="417" w:type="pct"/>
            <w:tcBorders>
              <w:top w:val="nil"/>
              <w:bottom w:val="nil"/>
            </w:tcBorders>
          </w:tcPr>
          <w:p w:rsidR="00072449" w:rsidRPr="00241E30" w:rsidRDefault="00072449" w:rsidP="0017759C">
            <w:pPr>
              <w:spacing w:after="0" w:line="240" w:lineRule="auto"/>
              <w:jc w:val="center"/>
              <w:rPr>
                <w:rFonts w:eastAsia="Times New Roman"/>
                <w:color w:val="000000"/>
              </w:rPr>
            </w:pPr>
            <w:r w:rsidRPr="00241E30">
              <w:rPr>
                <w:rFonts w:eastAsia="Times New Roman"/>
                <w:color w:val="000000"/>
              </w:rPr>
              <w:t>.</w:t>
            </w:r>
            <w:r w:rsidR="0017759C" w:rsidRPr="00241E30">
              <w:rPr>
                <w:rFonts w:eastAsia="Times New Roman"/>
                <w:color w:val="000000"/>
              </w:rPr>
              <w:t>9</w:t>
            </w:r>
            <w:r w:rsidR="0017759C">
              <w:rPr>
                <w:rFonts w:eastAsia="Times New Roman"/>
                <w:color w:val="000000"/>
              </w:rPr>
              <w:t>3</w:t>
            </w:r>
          </w:p>
        </w:tc>
      </w:tr>
      <w:tr w:rsidR="00072449" w:rsidRPr="00415291" w:rsidTr="001A0F1E">
        <w:trPr>
          <w:trHeight w:hRule="exact" w:val="397"/>
        </w:trPr>
        <w:tc>
          <w:tcPr>
            <w:tcW w:w="1598" w:type="pct"/>
            <w:tcBorders>
              <w:top w:val="nil"/>
              <w:bottom w:val="nil"/>
            </w:tcBorders>
          </w:tcPr>
          <w:p w:rsidR="00072449" w:rsidRPr="00241E30" w:rsidRDefault="00072449" w:rsidP="00072449">
            <w:pPr>
              <w:spacing w:after="0" w:line="240" w:lineRule="auto"/>
              <w:rPr>
                <w:rFonts w:eastAsia="Times New Roman"/>
                <w:color w:val="000000"/>
              </w:rPr>
            </w:pPr>
            <w:r w:rsidRPr="00241E30">
              <w:rPr>
                <w:rFonts w:eastAsia="Times New Roman"/>
                <w:color w:val="000000"/>
              </w:rPr>
              <w:t>Born in Australia (%)</w:t>
            </w:r>
          </w:p>
        </w:tc>
        <w:tc>
          <w:tcPr>
            <w:tcW w:w="66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80.2%</w:t>
            </w:r>
          </w:p>
        </w:tc>
        <w:tc>
          <w:tcPr>
            <w:tcW w:w="66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80.</w:t>
            </w:r>
            <w:r w:rsidR="0017759C">
              <w:rPr>
                <w:rFonts w:eastAsia="Times New Roman"/>
                <w:color w:val="000000"/>
              </w:rPr>
              <w:t>4</w:t>
            </w:r>
            <w:r w:rsidRPr="00241E30">
              <w:rPr>
                <w:rFonts w:eastAsia="Times New Roman"/>
                <w:color w:val="000000"/>
              </w:rPr>
              <w:t>%</w:t>
            </w:r>
          </w:p>
        </w:tc>
        <w:tc>
          <w:tcPr>
            <w:tcW w:w="780"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78.0%</w:t>
            </w:r>
          </w:p>
        </w:tc>
        <w:tc>
          <w:tcPr>
            <w:tcW w:w="882" w:type="pct"/>
            <w:tcBorders>
              <w:top w:val="nil"/>
              <w:bottom w:val="nil"/>
            </w:tcBorders>
          </w:tcPr>
          <w:p w:rsidR="00072449" w:rsidRPr="00241E30" w:rsidRDefault="00072449" w:rsidP="0017759C">
            <w:pPr>
              <w:spacing w:after="0" w:line="240" w:lineRule="auto"/>
              <w:jc w:val="center"/>
              <w:rPr>
                <w:rFonts w:eastAsia="Times New Roman"/>
                <w:color w:val="000000"/>
              </w:rPr>
            </w:pPr>
            <w:r w:rsidRPr="00241E30">
              <w:rPr>
                <w:rFonts w:eastAsia="Times New Roman"/>
                <w:color w:val="000000"/>
              </w:rPr>
              <w:t>83.</w:t>
            </w:r>
            <w:r w:rsidR="0017759C">
              <w:rPr>
                <w:rFonts w:eastAsia="Times New Roman"/>
                <w:color w:val="000000"/>
              </w:rPr>
              <w:t>2</w:t>
            </w:r>
            <w:r w:rsidRPr="00241E30">
              <w:rPr>
                <w:rFonts w:eastAsia="Times New Roman"/>
                <w:color w:val="000000"/>
              </w:rPr>
              <w:t>%</w:t>
            </w:r>
          </w:p>
        </w:tc>
        <w:tc>
          <w:tcPr>
            <w:tcW w:w="417" w:type="pct"/>
            <w:tcBorders>
              <w:top w:val="nil"/>
              <w:bottom w:val="nil"/>
            </w:tcBorders>
          </w:tcPr>
          <w:p w:rsidR="00072449" w:rsidRPr="00241E30" w:rsidRDefault="00072449" w:rsidP="0017759C">
            <w:pPr>
              <w:spacing w:after="0" w:line="240" w:lineRule="auto"/>
              <w:jc w:val="center"/>
              <w:rPr>
                <w:rFonts w:eastAsia="Times New Roman"/>
                <w:color w:val="000000"/>
              </w:rPr>
            </w:pPr>
            <w:r w:rsidRPr="00241E30">
              <w:rPr>
                <w:rFonts w:eastAsia="Times New Roman"/>
                <w:color w:val="000000"/>
              </w:rPr>
              <w:t>.</w:t>
            </w:r>
            <w:r w:rsidR="0017759C">
              <w:rPr>
                <w:rFonts w:eastAsia="Times New Roman"/>
                <w:color w:val="000000"/>
              </w:rPr>
              <w:t>31</w:t>
            </w:r>
          </w:p>
        </w:tc>
      </w:tr>
      <w:tr w:rsidR="00072449" w:rsidRPr="00415291" w:rsidTr="001A0F1E">
        <w:trPr>
          <w:trHeight w:hRule="exact" w:val="866"/>
        </w:trPr>
        <w:tc>
          <w:tcPr>
            <w:tcW w:w="1598" w:type="pct"/>
            <w:tcBorders>
              <w:top w:val="nil"/>
              <w:bottom w:val="nil"/>
            </w:tcBorders>
          </w:tcPr>
          <w:p w:rsidR="00072449" w:rsidRPr="00241E30" w:rsidRDefault="00072449" w:rsidP="00072449">
            <w:pPr>
              <w:spacing w:after="0" w:line="240" w:lineRule="auto"/>
              <w:rPr>
                <w:rFonts w:eastAsia="Times New Roman"/>
                <w:color w:val="000000"/>
              </w:rPr>
            </w:pPr>
            <w:r w:rsidRPr="00241E30">
              <w:rPr>
                <w:rFonts w:eastAsia="Times New Roman"/>
                <w:color w:val="000000"/>
              </w:rPr>
              <w:t>Education (% completed year 12 and/or TAFE and/or apprenticeship)</w:t>
            </w:r>
          </w:p>
        </w:tc>
        <w:tc>
          <w:tcPr>
            <w:tcW w:w="66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48.4%</w:t>
            </w:r>
          </w:p>
        </w:tc>
        <w:tc>
          <w:tcPr>
            <w:tcW w:w="66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47.</w:t>
            </w:r>
            <w:r w:rsidR="00F92138">
              <w:rPr>
                <w:rFonts w:eastAsia="Times New Roman"/>
                <w:color w:val="000000"/>
              </w:rPr>
              <w:t>7</w:t>
            </w:r>
            <w:r w:rsidRPr="00241E30">
              <w:rPr>
                <w:rFonts w:eastAsia="Times New Roman"/>
                <w:color w:val="000000"/>
              </w:rPr>
              <w:t>%</w:t>
            </w:r>
          </w:p>
        </w:tc>
        <w:tc>
          <w:tcPr>
            <w:tcW w:w="780"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50.7%</w:t>
            </w:r>
          </w:p>
        </w:tc>
        <w:tc>
          <w:tcPr>
            <w:tcW w:w="882" w:type="pct"/>
            <w:tcBorders>
              <w:top w:val="nil"/>
              <w:bottom w:val="nil"/>
            </w:tcBorders>
          </w:tcPr>
          <w:p w:rsidR="00072449" w:rsidRPr="00241E30" w:rsidRDefault="00072449" w:rsidP="00F92138">
            <w:pPr>
              <w:spacing w:after="0" w:line="240" w:lineRule="auto"/>
              <w:jc w:val="center"/>
              <w:rPr>
                <w:rFonts w:eastAsia="Times New Roman"/>
                <w:color w:val="000000"/>
              </w:rPr>
            </w:pPr>
            <w:r w:rsidRPr="00241E30">
              <w:rPr>
                <w:rFonts w:eastAsia="Times New Roman"/>
                <w:color w:val="000000"/>
              </w:rPr>
              <w:t>4</w:t>
            </w:r>
            <w:r w:rsidR="00F92138">
              <w:rPr>
                <w:rFonts w:eastAsia="Times New Roman"/>
                <w:color w:val="000000"/>
              </w:rPr>
              <w:t>5</w:t>
            </w:r>
            <w:r w:rsidRPr="00241E30">
              <w:rPr>
                <w:rFonts w:eastAsia="Times New Roman"/>
                <w:color w:val="000000"/>
              </w:rPr>
              <w:t>.</w:t>
            </w:r>
            <w:r w:rsidR="00F92138">
              <w:rPr>
                <w:rFonts w:eastAsia="Times New Roman"/>
                <w:color w:val="000000"/>
              </w:rPr>
              <w:t>7</w:t>
            </w:r>
            <w:r w:rsidRPr="00241E30">
              <w:rPr>
                <w:rFonts w:eastAsia="Times New Roman"/>
                <w:color w:val="000000"/>
              </w:rPr>
              <w:t>%</w:t>
            </w:r>
          </w:p>
        </w:tc>
        <w:tc>
          <w:tcPr>
            <w:tcW w:w="417" w:type="pct"/>
            <w:tcBorders>
              <w:top w:val="nil"/>
              <w:bottom w:val="nil"/>
            </w:tcBorders>
          </w:tcPr>
          <w:p w:rsidR="00072449" w:rsidRPr="00241E30" w:rsidRDefault="00072449" w:rsidP="0017759C">
            <w:pPr>
              <w:spacing w:after="0" w:line="240" w:lineRule="auto"/>
              <w:jc w:val="center"/>
              <w:rPr>
                <w:rFonts w:eastAsia="Times New Roman"/>
                <w:color w:val="000000"/>
              </w:rPr>
            </w:pPr>
            <w:r w:rsidRPr="00241E30">
              <w:rPr>
                <w:rFonts w:eastAsia="Times New Roman"/>
                <w:color w:val="000000"/>
              </w:rPr>
              <w:t>.</w:t>
            </w:r>
            <w:r w:rsidR="0017759C">
              <w:rPr>
                <w:rFonts w:eastAsia="Times New Roman"/>
                <w:color w:val="000000"/>
              </w:rPr>
              <w:t>47</w:t>
            </w:r>
          </w:p>
        </w:tc>
      </w:tr>
      <w:tr w:rsidR="00072449" w:rsidRPr="00415291" w:rsidTr="001A0F1E">
        <w:trPr>
          <w:trHeight w:hRule="exact" w:val="836"/>
        </w:trPr>
        <w:tc>
          <w:tcPr>
            <w:tcW w:w="1598" w:type="pct"/>
            <w:tcBorders>
              <w:top w:val="nil"/>
              <w:bottom w:val="nil"/>
            </w:tcBorders>
          </w:tcPr>
          <w:p w:rsidR="00072449" w:rsidRPr="00241E30" w:rsidRDefault="00072449" w:rsidP="00072449">
            <w:pPr>
              <w:spacing w:after="0" w:line="240" w:lineRule="auto"/>
              <w:rPr>
                <w:rFonts w:eastAsia="Times New Roman"/>
                <w:color w:val="000000"/>
              </w:rPr>
            </w:pPr>
            <w:r w:rsidRPr="00241E30">
              <w:rPr>
                <w:rFonts w:eastAsia="Times New Roman"/>
                <w:color w:val="000000"/>
              </w:rPr>
              <w:t>Employment (%  usually in paid employment during past 12 months)</w:t>
            </w:r>
          </w:p>
        </w:tc>
        <w:tc>
          <w:tcPr>
            <w:tcW w:w="66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46.4%</w:t>
            </w:r>
          </w:p>
        </w:tc>
        <w:tc>
          <w:tcPr>
            <w:tcW w:w="66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40.</w:t>
            </w:r>
            <w:r w:rsidR="00715F2B">
              <w:rPr>
                <w:rFonts w:eastAsia="Times New Roman"/>
                <w:color w:val="000000"/>
              </w:rPr>
              <w:t>2</w:t>
            </w:r>
            <w:r w:rsidRPr="00241E30">
              <w:rPr>
                <w:rFonts w:eastAsia="Times New Roman"/>
                <w:color w:val="000000"/>
              </w:rPr>
              <w:t>%</w:t>
            </w:r>
          </w:p>
        </w:tc>
        <w:tc>
          <w:tcPr>
            <w:tcW w:w="780"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47.7%</w:t>
            </w:r>
          </w:p>
        </w:tc>
        <w:tc>
          <w:tcPr>
            <w:tcW w:w="88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50.0%</w:t>
            </w:r>
          </w:p>
        </w:tc>
        <w:tc>
          <w:tcPr>
            <w:tcW w:w="417"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.09</w:t>
            </w:r>
          </w:p>
        </w:tc>
      </w:tr>
      <w:tr w:rsidR="00072449" w:rsidRPr="00415291" w:rsidTr="001A0F1E">
        <w:trPr>
          <w:trHeight w:hRule="exact" w:val="624"/>
        </w:trPr>
        <w:tc>
          <w:tcPr>
            <w:tcW w:w="1598" w:type="pct"/>
            <w:tcBorders>
              <w:top w:val="nil"/>
              <w:bottom w:val="nil"/>
            </w:tcBorders>
          </w:tcPr>
          <w:p w:rsidR="00072449" w:rsidRPr="00241E30" w:rsidRDefault="00072449" w:rsidP="00072449">
            <w:pPr>
              <w:spacing w:after="0" w:line="240" w:lineRule="auto"/>
              <w:rPr>
                <w:rFonts w:eastAsia="Times New Roman"/>
                <w:color w:val="000000"/>
              </w:rPr>
            </w:pPr>
            <w:r w:rsidRPr="00241E30">
              <w:rPr>
                <w:rFonts w:eastAsia="Times New Roman"/>
                <w:color w:val="000000"/>
              </w:rPr>
              <w:t>Any days engaged in paid employment in past 90 days (%)</w:t>
            </w:r>
          </w:p>
        </w:tc>
        <w:tc>
          <w:tcPr>
            <w:tcW w:w="66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32.3%</w:t>
            </w:r>
          </w:p>
        </w:tc>
        <w:tc>
          <w:tcPr>
            <w:tcW w:w="66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37.</w:t>
            </w:r>
            <w:r w:rsidR="00043611">
              <w:rPr>
                <w:rFonts w:eastAsia="Times New Roman"/>
                <w:color w:val="000000"/>
              </w:rPr>
              <w:t>4</w:t>
            </w:r>
            <w:r w:rsidRPr="00241E30">
              <w:rPr>
                <w:rFonts w:eastAsia="Times New Roman"/>
                <w:color w:val="000000"/>
              </w:rPr>
              <w:t>%</w:t>
            </w:r>
          </w:p>
        </w:tc>
        <w:tc>
          <w:tcPr>
            <w:tcW w:w="780"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34.8%</w:t>
            </w:r>
          </w:p>
        </w:tc>
        <w:tc>
          <w:tcPr>
            <w:tcW w:w="88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23.</w:t>
            </w:r>
            <w:r w:rsidR="00043611">
              <w:rPr>
                <w:rFonts w:eastAsia="Times New Roman"/>
                <w:color w:val="000000"/>
              </w:rPr>
              <w:t>9</w:t>
            </w:r>
            <w:r w:rsidRPr="00241E30">
              <w:rPr>
                <w:rFonts w:eastAsia="Times New Roman"/>
                <w:color w:val="000000"/>
              </w:rPr>
              <w:t>%</w:t>
            </w:r>
          </w:p>
        </w:tc>
        <w:tc>
          <w:tcPr>
            <w:tcW w:w="417" w:type="pct"/>
            <w:tcBorders>
              <w:top w:val="nil"/>
              <w:bottom w:val="nil"/>
            </w:tcBorders>
          </w:tcPr>
          <w:p w:rsidR="00072449" w:rsidRPr="00241E30" w:rsidRDefault="00072449" w:rsidP="00362A00">
            <w:pPr>
              <w:spacing w:after="0" w:line="240" w:lineRule="auto"/>
              <w:jc w:val="center"/>
              <w:rPr>
                <w:rFonts w:eastAsia="Times New Roman"/>
                <w:color w:val="000000"/>
              </w:rPr>
            </w:pPr>
            <w:r>
              <w:rPr>
                <w:rFonts w:eastAsia="Times New Roman"/>
                <w:color w:val="000000"/>
              </w:rPr>
              <w:t>&lt;</w:t>
            </w:r>
            <w:r w:rsidR="00362A00">
              <w:rPr>
                <w:rFonts w:eastAsia="Times New Roman"/>
                <w:color w:val="000000"/>
              </w:rPr>
              <w:t xml:space="preserve"> </w:t>
            </w:r>
            <w:r>
              <w:rPr>
                <w:rFonts w:eastAsia="Times New Roman"/>
                <w:color w:val="000000"/>
              </w:rPr>
              <w:t>.01</w:t>
            </w:r>
          </w:p>
        </w:tc>
      </w:tr>
      <w:tr w:rsidR="00072449" w:rsidRPr="00415291" w:rsidTr="001A0F1E">
        <w:trPr>
          <w:trHeight w:hRule="exact" w:val="397"/>
        </w:trPr>
        <w:tc>
          <w:tcPr>
            <w:tcW w:w="1598" w:type="pct"/>
            <w:tcBorders>
              <w:top w:val="nil"/>
              <w:bottom w:val="nil"/>
            </w:tcBorders>
          </w:tcPr>
          <w:p w:rsidR="00072449" w:rsidRPr="00241E30" w:rsidRDefault="00072449" w:rsidP="00072449">
            <w:pPr>
              <w:spacing w:after="0" w:line="240" w:lineRule="auto"/>
              <w:rPr>
                <w:rFonts w:eastAsia="Times New Roman"/>
                <w:color w:val="000000"/>
              </w:rPr>
            </w:pPr>
            <w:r w:rsidRPr="00241E30">
              <w:rPr>
                <w:rFonts w:eastAsia="Times New Roman"/>
                <w:color w:val="000000"/>
              </w:rPr>
              <w:t>Homelessness in past 90 days (%)</w:t>
            </w:r>
          </w:p>
        </w:tc>
        <w:tc>
          <w:tcPr>
            <w:tcW w:w="66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26.1%</w:t>
            </w:r>
          </w:p>
        </w:tc>
        <w:tc>
          <w:tcPr>
            <w:tcW w:w="66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20.</w:t>
            </w:r>
            <w:r w:rsidR="00362A00">
              <w:rPr>
                <w:rFonts w:eastAsia="Times New Roman"/>
                <w:color w:val="000000"/>
              </w:rPr>
              <w:t>2</w:t>
            </w:r>
            <w:r w:rsidRPr="00241E30">
              <w:rPr>
                <w:rFonts w:eastAsia="Times New Roman"/>
                <w:color w:val="000000"/>
              </w:rPr>
              <w:t>%</w:t>
            </w:r>
          </w:p>
        </w:tc>
        <w:tc>
          <w:tcPr>
            <w:tcW w:w="780"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24.6%</w:t>
            </w:r>
          </w:p>
        </w:tc>
        <w:tc>
          <w:tcPr>
            <w:tcW w:w="882" w:type="pct"/>
            <w:tcBorders>
              <w:top w:val="nil"/>
              <w:bottom w:val="nil"/>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33.</w:t>
            </w:r>
            <w:r w:rsidR="00362A00">
              <w:rPr>
                <w:rFonts w:eastAsia="Times New Roman"/>
                <w:color w:val="000000"/>
              </w:rPr>
              <w:t>6</w:t>
            </w:r>
            <w:r w:rsidRPr="00241E30">
              <w:rPr>
                <w:rFonts w:eastAsia="Times New Roman"/>
                <w:color w:val="000000"/>
              </w:rPr>
              <w:t>%</w:t>
            </w:r>
          </w:p>
        </w:tc>
        <w:tc>
          <w:tcPr>
            <w:tcW w:w="417" w:type="pct"/>
            <w:tcBorders>
              <w:top w:val="nil"/>
              <w:bottom w:val="nil"/>
            </w:tcBorders>
          </w:tcPr>
          <w:p w:rsidR="00072449" w:rsidRPr="00241E30" w:rsidRDefault="00362A00" w:rsidP="00362A00">
            <w:pPr>
              <w:spacing w:after="0" w:line="240" w:lineRule="auto"/>
              <w:jc w:val="center"/>
              <w:rPr>
                <w:rFonts w:eastAsia="Times New Roman"/>
                <w:color w:val="000000"/>
              </w:rPr>
            </w:pPr>
            <w:r>
              <w:rPr>
                <w:rFonts w:eastAsia="Times New Roman"/>
                <w:color w:val="000000"/>
              </w:rPr>
              <w:t xml:space="preserve">&lt; </w:t>
            </w:r>
            <w:r w:rsidR="00072449" w:rsidRPr="00241E30">
              <w:rPr>
                <w:rFonts w:eastAsia="Times New Roman"/>
                <w:color w:val="000000"/>
              </w:rPr>
              <w:t>.0</w:t>
            </w:r>
            <w:r>
              <w:rPr>
                <w:rFonts w:eastAsia="Times New Roman"/>
                <w:color w:val="000000"/>
              </w:rPr>
              <w:t>1</w:t>
            </w:r>
          </w:p>
        </w:tc>
      </w:tr>
      <w:tr w:rsidR="00072449" w:rsidRPr="00415291" w:rsidTr="001A0F1E">
        <w:trPr>
          <w:trHeight w:hRule="exact" w:val="397"/>
        </w:trPr>
        <w:tc>
          <w:tcPr>
            <w:tcW w:w="1598" w:type="pct"/>
            <w:tcBorders>
              <w:top w:val="nil"/>
              <w:bottom w:val="single" w:sz="4" w:space="0" w:color="auto"/>
            </w:tcBorders>
          </w:tcPr>
          <w:p w:rsidR="00072449" w:rsidRPr="00241E30" w:rsidRDefault="00072449" w:rsidP="00072449">
            <w:pPr>
              <w:spacing w:after="0" w:line="240" w:lineRule="auto"/>
              <w:rPr>
                <w:rFonts w:eastAsia="Times New Roman"/>
                <w:color w:val="000000"/>
              </w:rPr>
            </w:pPr>
            <w:r w:rsidRPr="00241E30">
              <w:rPr>
                <w:rFonts w:eastAsia="Times New Roman"/>
                <w:color w:val="000000"/>
              </w:rPr>
              <w:t>Chronic medical condition (%)</w:t>
            </w:r>
          </w:p>
        </w:tc>
        <w:tc>
          <w:tcPr>
            <w:tcW w:w="662" w:type="pct"/>
            <w:tcBorders>
              <w:top w:val="nil"/>
              <w:bottom w:val="single" w:sz="4" w:space="0" w:color="auto"/>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50.2%</w:t>
            </w:r>
          </w:p>
        </w:tc>
        <w:tc>
          <w:tcPr>
            <w:tcW w:w="662" w:type="pct"/>
            <w:tcBorders>
              <w:top w:val="nil"/>
              <w:bottom w:val="single" w:sz="4" w:space="0" w:color="auto"/>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58.</w:t>
            </w:r>
            <w:r w:rsidR="00715F2B">
              <w:rPr>
                <w:rFonts w:eastAsia="Times New Roman"/>
                <w:color w:val="000000"/>
              </w:rPr>
              <w:t>5</w:t>
            </w:r>
            <w:r w:rsidRPr="00241E30">
              <w:rPr>
                <w:rFonts w:eastAsia="Times New Roman"/>
                <w:color w:val="000000"/>
              </w:rPr>
              <w:t>%</w:t>
            </w:r>
          </w:p>
        </w:tc>
        <w:tc>
          <w:tcPr>
            <w:tcW w:w="780" w:type="pct"/>
            <w:tcBorders>
              <w:top w:val="nil"/>
              <w:bottom w:val="single" w:sz="4" w:space="0" w:color="auto"/>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54.6%</w:t>
            </w:r>
          </w:p>
        </w:tc>
        <w:tc>
          <w:tcPr>
            <w:tcW w:w="882" w:type="pct"/>
            <w:tcBorders>
              <w:top w:val="nil"/>
              <w:bottom w:val="single" w:sz="4" w:space="0" w:color="auto"/>
            </w:tcBorders>
          </w:tcPr>
          <w:p w:rsidR="00072449" w:rsidRPr="00241E30" w:rsidRDefault="00072449" w:rsidP="00072449">
            <w:pPr>
              <w:spacing w:after="0" w:line="240" w:lineRule="auto"/>
              <w:jc w:val="center"/>
              <w:rPr>
                <w:rFonts w:eastAsia="Times New Roman"/>
                <w:color w:val="000000"/>
              </w:rPr>
            </w:pPr>
            <w:r w:rsidRPr="00241E30">
              <w:rPr>
                <w:rFonts w:eastAsia="Times New Roman"/>
                <w:color w:val="000000"/>
              </w:rPr>
              <w:t>35.</w:t>
            </w:r>
            <w:r w:rsidR="00715F2B">
              <w:rPr>
                <w:rFonts w:eastAsia="Times New Roman"/>
                <w:color w:val="000000"/>
              </w:rPr>
              <w:t>9</w:t>
            </w:r>
            <w:r w:rsidRPr="00241E30">
              <w:rPr>
                <w:rFonts w:eastAsia="Times New Roman"/>
                <w:color w:val="000000"/>
              </w:rPr>
              <w:t>%</w:t>
            </w:r>
          </w:p>
        </w:tc>
        <w:tc>
          <w:tcPr>
            <w:tcW w:w="417" w:type="pct"/>
            <w:tcBorders>
              <w:top w:val="nil"/>
              <w:bottom w:val="nil"/>
            </w:tcBorders>
          </w:tcPr>
          <w:p w:rsidR="00072449" w:rsidRPr="00241E30" w:rsidRDefault="00362A00" w:rsidP="00362A00">
            <w:pPr>
              <w:spacing w:after="0" w:line="240" w:lineRule="auto"/>
              <w:jc w:val="center"/>
              <w:rPr>
                <w:rFonts w:eastAsia="Times New Roman"/>
                <w:color w:val="000000"/>
              </w:rPr>
            </w:pPr>
            <w:r>
              <w:rPr>
                <w:rFonts w:eastAsia="Times New Roman"/>
                <w:color w:val="000000"/>
              </w:rPr>
              <w:t xml:space="preserve">&lt; </w:t>
            </w:r>
            <w:r w:rsidR="00072449" w:rsidRPr="00241E30">
              <w:rPr>
                <w:rFonts w:eastAsia="Times New Roman"/>
                <w:color w:val="000000"/>
              </w:rPr>
              <w:t>.001</w:t>
            </w:r>
          </w:p>
        </w:tc>
      </w:tr>
    </w:tbl>
    <w:p w:rsidR="00433B1E" w:rsidRPr="008E0FD3" w:rsidRDefault="00072449" w:rsidP="00072449">
      <w:pPr>
        <w:rPr>
          <w:sz w:val="18"/>
        </w:rPr>
      </w:pPr>
      <w:r w:rsidRPr="008E0FD3">
        <w:rPr>
          <w:sz w:val="18"/>
        </w:rPr>
        <w:t>*Amount of missing data differed between analyses presented in this table, thus ranges given for Ns</w:t>
      </w:r>
    </w:p>
    <w:p w:rsidR="00072449" w:rsidRPr="002A564C" w:rsidRDefault="00072449" w:rsidP="0034684A">
      <w:pPr>
        <w:pStyle w:val="FAREH3"/>
      </w:pPr>
      <w:r w:rsidRPr="002A564C">
        <w:lastRenderedPageBreak/>
        <w:t>Drugs of concern</w:t>
      </w:r>
    </w:p>
    <w:p w:rsidR="00072449" w:rsidRDefault="00072449" w:rsidP="00072449">
      <w:pPr>
        <w:pStyle w:val="FAREnormaltext"/>
      </w:pPr>
      <w:r w:rsidRPr="00E63703">
        <w:t>Participants were asked to nominate which substance caused them the greatest level of concern (</w:t>
      </w:r>
      <w:r w:rsidR="00EE7A8F">
        <w:t>PDOC</w:t>
      </w:r>
      <w:r w:rsidRPr="00E63703">
        <w:t>). Alcohol was nominated by 37</w:t>
      </w:r>
      <w:r w:rsidR="00F92138">
        <w:t>5</w:t>
      </w:r>
      <w:r w:rsidRPr="00E63703">
        <w:t xml:space="preserve"> (47</w:t>
      </w:r>
      <w:r>
        <w:t>%), meth</w:t>
      </w:r>
      <w:r w:rsidR="00E977AF">
        <w:t>/</w:t>
      </w:r>
      <w:r>
        <w:t>amphetamine by 15</w:t>
      </w:r>
      <w:r w:rsidR="00F92138">
        <w:t>7</w:t>
      </w:r>
      <w:r>
        <w:t xml:space="preserve"> (20%), cannabis by 117 (15</w:t>
      </w:r>
      <w:r w:rsidRPr="00E63703">
        <w:t>%), heroin by 83 (10%), prescription opioid analgesics by 17 (2%), unspecified</w:t>
      </w:r>
      <w:r>
        <w:t xml:space="preserve"> opioids by 8 (1%), benzodiazepines by 8 (1%), tobacco by 8 (1%) and methadone by 6, buprenorphine by 6, cocaine by 3, GHB by 2, synthetic cannabinoids by 2, </w:t>
      </w:r>
      <w:r w:rsidRPr="00E63703">
        <w:t>ecstasy by 1</w:t>
      </w:r>
      <w:r w:rsidR="0091180D">
        <w:t>,</w:t>
      </w:r>
      <w:r w:rsidRPr="00E63703">
        <w:t xml:space="preserve"> and solvent inhalants by 1 </w:t>
      </w:r>
      <w:r>
        <w:t>(all &lt;1%)</w:t>
      </w:r>
      <w:r w:rsidRPr="00E63703">
        <w:t xml:space="preserve">. For further analyses, </w:t>
      </w:r>
      <w:r w:rsidR="00EE7A8F">
        <w:t>PDOC</w:t>
      </w:r>
      <w:r>
        <w:t xml:space="preserve"> </w:t>
      </w:r>
      <w:r w:rsidRPr="00E63703">
        <w:t>was grouped into five categories: alcohol</w:t>
      </w:r>
      <w:r>
        <w:t xml:space="preserve"> (47%)</w:t>
      </w:r>
      <w:r w:rsidRPr="00E63703">
        <w:t>;</w:t>
      </w:r>
      <w:r>
        <w:t xml:space="preserve"> cannabis (15%); </w:t>
      </w:r>
      <w:r w:rsidRPr="00E63703">
        <w:t>meth</w:t>
      </w:r>
      <w:r w:rsidR="00E977AF">
        <w:t>/</w:t>
      </w:r>
      <w:r w:rsidRPr="00E63703">
        <w:t>amphetamine</w:t>
      </w:r>
      <w:r>
        <w:t xml:space="preserve"> (20%)</w:t>
      </w:r>
      <w:r w:rsidRPr="00E63703">
        <w:t>; opioids (heroin, methadone, buprenorphine, opioid analgesics, or other opioids</w:t>
      </w:r>
      <w:r>
        <w:t>; 15%</w:t>
      </w:r>
      <w:r w:rsidRPr="00E63703">
        <w:t>); and other</w:t>
      </w:r>
      <w:r>
        <w:t xml:space="preserve"> (3%)</w:t>
      </w:r>
      <w:r w:rsidRPr="00E63703">
        <w:t>. Proportions of participants endorsing eac</w:t>
      </w:r>
      <w:r>
        <w:t xml:space="preserve">h of these substances as their </w:t>
      </w:r>
      <w:r w:rsidR="00EE7A8F">
        <w:t>PDOC</w:t>
      </w:r>
      <w:r w:rsidRPr="00E63703">
        <w:t xml:space="preserve"> are shown in Figure 3.1. As is shown in </w:t>
      </w:r>
      <w:r>
        <w:t>T</w:t>
      </w:r>
      <w:r w:rsidRPr="00E63703">
        <w:t xml:space="preserve">able </w:t>
      </w:r>
      <w:r>
        <w:t>3.3</w:t>
      </w:r>
      <w:r w:rsidRPr="00E63703">
        <w:t xml:space="preserve">, the proportion of participants nominating particular primary drugs of concern differed between treatment types. Alcohol was more commonly the </w:t>
      </w:r>
      <w:r w:rsidR="00EE7A8F">
        <w:t>PDOC</w:t>
      </w:r>
      <w:r w:rsidRPr="00E63703">
        <w:t xml:space="preserve"> for participants undergoing acute withdrawal than for other treatment types. Meth</w:t>
      </w:r>
      <w:r w:rsidR="00E977AF">
        <w:t>/</w:t>
      </w:r>
      <w:r w:rsidRPr="00E63703">
        <w:t>amphetamine was most common in long-term residential treatment, while opioids were most common among outpatients.</w:t>
      </w:r>
      <w:r>
        <w:t xml:space="preserve"> These differences in </w:t>
      </w:r>
      <w:r w:rsidR="00EE7A8F">
        <w:t>PDOC</w:t>
      </w:r>
      <w:r>
        <w:t xml:space="preserve"> by PIT type are dissimilar to those reported for all of Australia in the 2009-10 National Minimum Data Set, in which alcohol was similarly prevalent (51-55%) across all relevant treatment types, opioids were most strongly represented in acute withdrawal (19%) than in other treatment types (14% in residential rehabilitation, 11% in counselling), and </w:t>
      </w:r>
      <w:r w:rsidR="00087D81">
        <w:t>meth</w:t>
      </w:r>
      <w:r w:rsidR="00E977AF">
        <w:t>/</w:t>
      </w:r>
      <w:r w:rsidR="00B473EE">
        <w:t>amphetamines</w:t>
      </w:r>
      <w:r>
        <w:t xml:space="preserve"> were generally less common as the </w:t>
      </w:r>
      <w:r w:rsidR="00EE7A8F">
        <w:t>PDOC</w:t>
      </w:r>
      <w:r>
        <w:t xml:space="preserve"> than in our sample (9% in counselling, 4% in acute withdrawal, and 11% in residential rehabilitation).</w:t>
      </w:r>
      <w:r w:rsidR="00FF7360">
        <w:t xml:space="preserve"> </w:t>
      </w:r>
      <w:r w:rsidRPr="00E63703">
        <w:t>Participants were also asked to nominate any secondary drugs of concern. Five hundred (6</w:t>
      </w:r>
      <w:r w:rsidR="00F81A7D">
        <w:t>4</w:t>
      </w:r>
      <w:r w:rsidRPr="00E63703">
        <w:t>%) nominated a second drug of concern, 257 (32%) nominated a third drug of concern, 10</w:t>
      </w:r>
      <w:r w:rsidR="00FF7360">
        <w:t>3</w:t>
      </w:r>
      <w:r w:rsidRPr="00E63703">
        <w:t xml:space="preserve"> (13%) nominated a fourth drug of concern, 7 nominated five drugs, and 1 participant nominated six drugs. When those only nominating tobacco as a secondary drug of concern were excluded, a majority (5</w:t>
      </w:r>
      <w:r>
        <w:t>2</w:t>
      </w:r>
      <w:r w:rsidRPr="00E63703">
        <w:t xml:space="preserve">%) still nominated at least one secondary drug of concern. Participants in long-term residential treatments were more likely to nominate multiple drugs of concern than participants in other types of treatment, whether or not tobacco was counted, and were more likely than other groups to nominate benzodiazepines, </w:t>
      </w:r>
      <w:r w:rsidR="00087D81">
        <w:t>meth</w:t>
      </w:r>
      <w:r w:rsidR="00E977AF">
        <w:t>/</w:t>
      </w:r>
      <w:r w:rsidR="00B473EE">
        <w:t>amphetamines</w:t>
      </w:r>
      <w:r w:rsidRPr="00E63703">
        <w:t xml:space="preserve">, or tobacco as either primary or secondary drugs of concern. Remarkably, the majority of participants in long-term residential treatment nominated </w:t>
      </w:r>
      <w:r w:rsidR="00087D81">
        <w:t>meth</w:t>
      </w:r>
      <w:r w:rsidR="00E977AF">
        <w:t>/</w:t>
      </w:r>
      <w:r w:rsidR="00B473EE">
        <w:t>amphetamines</w:t>
      </w:r>
      <w:r w:rsidRPr="00E63703">
        <w:t xml:space="preserve"> as either their primary or as a secondary drug of concern. Alcohol was less commonly a drug of concern for outpatients than for the other treatment categories.</w:t>
      </w:r>
    </w:p>
    <w:p w:rsidR="00281C2B" w:rsidRDefault="004453F1" w:rsidP="00072449">
      <w:pPr>
        <w:pStyle w:val="FAREnormaltext"/>
      </w:pPr>
      <w:r>
        <w:rPr>
          <w:noProof/>
          <w:lang w:val="en-AU" w:eastAsia="en-AU"/>
        </w:rPr>
        <w:drawing>
          <wp:inline distT="0" distB="0" distL="0" distR="0">
            <wp:extent cx="3111690" cy="2088338"/>
            <wp:effectExtent l="0" t="0" r="0" b="7620"/>
            <wp:docPr id="18" name="Picture 9" descr="A pie chart showing the primary drug of concern:&#10;Alcohol - 47.2%&#10;Cannabis - 14.7%&#10;Opiods - 15.1%&#10;Meth/amphetamine - 19.8%&#10;Other - 3.1%&#10;" title="Figure 3.1 Primary drug of concer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srcRect/>
                    <a:stretch>
                      <a:fillRect/>
                    </a:stretch>
                  </pic:blipFill>
                  <pic:spPr bwMode="auto">
                    <a:xfrm>
                      <a:off x="0" y="0"/>
                      <a:ext cx="3112955" cy="2089187"/>
                    </a:xfrm>
                    <a:prstGeom prst="rect">
                      <a:avLst/>
                    </a:prstGeom>
                    <a:noFill/>
                  </pic:spPr>
                </pic:pic>
              </a:graphicData>
            </a:graphic>
          </wp:inline>
        </w:drawing>
      </w:r>
    </w:p>
    <w:p w:rsidR="00072449" w:rsidRPr="00241E30" w:rsidRDefault="00072449" w:rsidP="00072449">
      <w:pPr>
        <w:pStyle w:val="FARETableStyle1"/>
      </w:pPr>
      <w:bookmarkStart w:id="97" w:name="_Toc398105110"/>
      <w:proofErr w:type="gramStart"/>
      <w:r w:rsidRPr="00241E30">
        <w:t xml:space="preserve">Figure </w:t>
      </w:r>
      <w:r w:rsidR="00BE3D19">
        <w:fldChar w:fldCharType="begin"/>
      </w:r>
      <w:r w:rsidR="001D14D8">
        <w:instrText xml:space="preserve"> STYLEREF 1 \s </w:instrText>
      </w:r>
      <w:r w:rsidR="00BE3D19">
        <w:fldChar w:fldCharType="separate"/>
      </w:r>
      <w:r w:rsidR="00E150CA">
        <w:rPr>
          <w:noProof/>
        </w:rPr>
        <w:t>3</w:t>
      </w:r>
      <w:r w:rsidR="00BE3D19">
        <w:rPr>
          <w:noProof/>
        </w:rPr>
        <w:fldChar w:fldCharType="end"/>
      </w:r>
      <w:r w:rsidRPr="00241E30">
        <w:t>.</w:t>
      </w:r>
      <w:proofErr w:type="gramEnd"/>
      <w:r w:rsidR="00BE3D19">
        <w:fldChar w:fldCharType="begin"/>
      </w:r>
      <w:r>
        <w:instrText xml:space="preserve"> SEQ Figure \* ARABIC \s 1 </w:instrText>
      </w:r>
      <w:r w:rsidR="00BE3D19">
        <w:fldChar w:fldCharType="separate"/>
      </w:r>
      <w:r w:rsidR="00E150CA">
        <w:rPr>
          <w:noProof/>
        </w:rPr>
        <w:t>1</w:t>
      </w:r>
      <w:r w:rsidR="00BE3D19">
        <w:rPr>
          <w:noProof/>
        </w:rPr>
        <w:fldChar w:fldCharType="end"/>
      </w:r>
      <w:r w:rsidR="00E41BCC">
        <w:t xml:space="preserve">  </w:t>
      </w:r>
      <w:r w:rsidRPr="00241E30">
        <w:t>Primary drug of concern</w:t>
      </w:r>
      <w:bookmarkEnd w:id="97"/>
      <w:r w:rsidRPr="00241E30">
        <w:t xml:space="preserve"> </w:t>
      </w:r>
    </w:p>
    <w:p w:rsidR="00072449" w:rsidRPr="00E63703" w:rsidRDefault="00072449" w:rsidP="00072449">
      <w:pPr>
        <w:pStyle w:val="FAREnormaltext"/>
      </w:pPr>
      <w:r>
        <w:lastRenderedPageBreak/>
        <w:t xml:space="preserve">Clinical dependence on one’s </w:t>
      </w:r>
      <w:r w:rsidR="00EE7A8F">
        <w:t>PDOC</w:t>
      </w:r>
      <w:r>
        <w:t xml:space="preserve"> was assessed using the Severity of Dependence Scale (SDS). </w:t>
      </w:r>
      <w:r w:rsidRPr="00E63703">
        <w:t>Me</w:t>
      </w:r>
      <w:r>
        <w:t>dian</w:t>
      </w:r>
      <w:r w:rsidRPr="00E63703">
        <w:t xml:space="preserve"> SDS score</w:t>
      </w:r>
      <w:r>
        <w:t xml:space="preserve"> </w:t>
      </w:r>
      <w:r w:rsidRPr="00E63703">
        <w:t>was significantly lower in outpatients than in the other two groups. However, all groups tended to have high SDS scores</w:t>
      </w:r>
      <w:r>
        <w:t>, with 99</w:t>
      </w:r>
      <w:r w:rsidRPr="00E63703">
        <w:t>% of participants scor</w:t>
      </w:r>
      <w:r>
        <w:t>ing</w:t>
      </w:r>
      <w:r w:rsidRPr="00E63703">
        <w:t xml:space="preserve"> in the ‘probable dependence’ range (using a cut-off score of 3 or more) and 8</w:t>
      </w:r>
      <w:r>
        <w:t>8</w:t>
      </w:r>
      <w:r w:rsidRPr="00E63703">
        <w:t>% in the severely dependent range (using a cut-off score scoring 7 or more)</w:t>
      </w:r>
      <w:r>
        <w:t>.</w:t>
      </w:r>
      <w:r w:rsidRPr="00E63703">
        <w:t xml:space="preserve"> Outpatient</w:t>
      </w:r>
      <w:r>
        <w:t xml:space="preserve"> participants </w:t>
      </w:r>
      <w:r w:rsidRPr="00E63703">
        <w:t>were significantly more likely to score below both of these cut-off scores</w:t>
      </w:r>
      <w:r>
        <w:t xml:space="preserve"> than </w:t>
      </w:r>
      <w:r w:rsidRPr="00E63703">
        <w:t>acute withdrawal or long-term residential participants.</w:t>
      </w:r>
    </w:p>
    <w:p w:rsidR="00072449" w:rsidRPr="0078600D" w:rsidRDefault="00072449" w:rsidP="00072449">
      <w:pPr>
        <w:pStyle w:val="FAREtableheading"/>
      </w:pPr>
      <w:bookmarkStart w:id="98" w:name="_Toc398105065"/>
      <w:proofErr w:type="gramStart"/>
      <w:r w:rsidRPr="0078600D">
        <w:t xml:space="preserve">Table </w:t>
      </w:r>
      <w:r w:rsidR="00BE3D19" w:rsidRPr="0078600D">
        <w:fldChar w:fldCharType="begin"/>
      </w:r>
      <w:r w:rsidRPr="0078600D">
        <w:instrText xml:space="preserve"> STYLEREF 1 \s </w:instrText>
      </w:r>
      <w:r w:rsidR="00BE3D19" w:rsidRPr="0078600D">
        <w:fldChar w:fldCharType="separate"/>
      </w:r>
      <w:r w:rsidR="00E150CA">
        <w:rPr>
          <w:noProof/>
        </w:rPr>
        <w:t>3</w:t>
      </w:r>
      <w:r w:rsidR="00BE3D19" w:rsidRPr="0078600D">
        <w:fldChar w:fldCharType="end"/>
      </w:r>
      <w:r w:rsidRPr="0078600D">
        <w:t>.</w:t>
      </w:r>
      <w:proofErr w:type="gramEnd"/>
      <w:r w:rsidR="00BE3D19" w:rsidRPr="0078600D">
        <w:fldChar w:fldCharType="begin"/>
      </w:r>
      <w:r w:rsidRPr="0078600D">
        <w:instrText xml:space="preserve"> SEQ Table \* ARABIC \s 1 </w:instrText>
      </w:r>
      <w:r w:rsidR="00BE3D19" w:rsidRPr="0078600D">
        <w:fldChar w:fldCharType="separate"/>
      </w:r>
      <w:r w:rsidR="00E150CA">
        <w:rPr>
          <w:noProof/>
        </w:rPr>
        <w:t>3</w:t>
      </w:r>
      <w:r w:rsidR="00BE3D19" w:rsidRPr="0078600D">
        <w:fldChar w:fldCharType="end"/>
      </w:r>
      <w:r w:rsidR="006244F5">
        <w:t xml:space="preserve">  </w:t>
      </w:r>
      <w:r w:rsidRPr="0078600D">
        <w:t>Drug</w:t>
      </w:r>
      <w:r>
        <w:t xml:space="preserve">s of concern by </w:t>
      </w:r>
      <w:r w:rsidRPr="0078600D">
        <w:t>index treatment type at baseline</w:t>
      </w:r>
      <w:bookmarkEnd w:id="98"/>
      <w:r w:rsidRPr="0078600D">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Table 3.3  Drugs of concern by index treatment type at baseline "/>
        <w:tblDescription w:val="Table 3.3  Drugs of concern by index treatment type at baseline "/>
      </w:tblPr>
      <w:tblGrid>
        <w:gridCol w:w="2576"/>
        <w:gridCol w:w="1501"/>
        <w:gridCol w:w="1276"/>
        <w:gridCol w:w="1418"/>
        <w:gridCol w:w="1559"/>
        <w:gridCol w:w="912"/>
      </w:tblGrid>
      <w:tr w:rsidR="00072449" w:rsidRPr="00415291" w:rsidTr="00046CCA">
        <w:trPr>
          <w:tblHeader/>
        </w:trPr>
        <w:tc>
          <w:tcPr>
            <w:tcW w:w="2576" w:type="dxa"/>
            <w:tcBorders>
              <w:top w:val="single" w:sz="4" w:space="0" w:color="auto"/>
              <w:bottom w:val="single" w:sz="4" w:space="0" w:color="auto"/>
            </w:tcBorders>
          </w:tcPr>
          <w:p w:rsidR="00072449" w:rsidRPr="0078600D" w:rsidRDefault="00072449" w:rsidP="00072449">
            <w:pPr>
              <w:spacing w:after="0" w:line="240" w:lineRule="auto"/>
              <w:jc w:val="center"/>
              <w:rPr>
                <w:rFonts w:eastAsia="Times New Roman"/>
                <w:b/>
                <w:bCs/>
                <w:color w:val="000000"/>
                <w:sz w:val="22"/>
                <w:szCs w:val="22"/>
                <w:lang w:eastAsia="zh-CN"/>
              </w:rPr>
            </w:pPr>
          </w:p>
        </w:tc>
        <w:tc>
          <w:tcPr>
            <w:tcW w:w="1501" w:type="dxa"/>
            <w:tcBorders>
              <w:top w:val="single" w:sz="4" w:space="0" w:color="auto"/>
              <w:bottom w:val="single" w:sz="4" w:space="0" w:color="auto"/>
            </w:tcBorders>
          </w:tcPr>
          <w:p w:rsidR="00072449" w:rsidRPr="0078600D" w:rsidRDefault="00072449" w:rsidP="00AF6CC7">
            <w:pPr>
              <w:spacing w:after="0" w:line="240" w:lineRule="auto"/>
              <w:jc w:val="center"/>
              <w:rPr>
                <w:rFonts w:eastAsia="Times New Roman"/>
                <w:b/>
                <w:bCs/>
                <w:color w:val="000000"/>
                <w:sz w:val="22"/>
                <w:szCs w:val="22"/>
                <w:lang w:eastAsia="zh-CN"/>
              </w:rPr>
            </w:pPr>
            <w:r w:rsidRPr="0078600D">
              <w:rPr>
                <w:rFonts w:eastAsia="Times New Roman"/>
                <w:b/>
                <w:bCs/>
                <w:color w:val="000000"/>
                <w:sz w:val="22"/>
                <w:szCs w:val="22"/>
                <w:lang w:eastAsia="zh-CN"/>
              </w:rPr>
              <w:t>Total sample (N = 79</w:t>
            </w:r>
            <w:r w:rsidR="00A733D3">
              <w:rPr>
                <w:rFonts w:eastAsia="Times New Roman"/>
                <w:b/>
                <w:bCs/>
                <w:color w:val="000000"/>
                <w:sz w:val="22"/>
                <w:szCs w:val="22"/>
                <w:lang w:eastAsia="zh-CN"/>
              </w:rPr>
              <w:t>2-794</w:t>
            </w:r>
            <w:r w:rsidR="00AF6CC7">
              <w:rPr>
                <w:rFonts w:eastAsia="Times New Roman"/>
                <w:b/>
                <w:bCs/>
                <w:color w:val="000000"/>
                <w:sz w:val="22"/>
                <w:szCs w:val="22"/>
                <w:lang w:eastAsia="zh-CN"/>
              </w:rPr>
              <w:t>4</w:t>
            </w:r>
            <w:r w:rsidR="00A733D3">
              <w:rPr>
                <w:rFonts w:eastAsia="Times New Roman"/>
                <w:b/>
                <w:bCs/>
                <w:color w:val="000000"/>
                <w:sz w:val="22"/>
                <w:szCs w:val="22"/>
                <w:lang w:eastAsia="zh-CN"/>
              </w:rPr>
              <w:t>*</w:t>
            </w:r>
            <w:r w:rsidRPr="0078600D">
              <w:rPr>
                <w:rFonts w:eastAsia="Times New Roman"/>
                <w:b/>
                <w:bCs/>
                <w:color w:val="000000"/>
                <w:sz w:val="22"/>
                <w:szCs w:val="22"/>
                <w:lang w:eastAsia="zh-CN"/>
              </w:rPr>
              <w:t>)</w:t>
            </w:r>
          </w:p>
        </w:tc>
        <w:tc>
          <w:tcPr>
            <w:tcW w:w="1276" w:type="dxa"/>
            <w:tcBorders>
              <w:top w:val="single" w:sz="4" w:space="0" w:color="auto"/>
              <w:bottom w:val="single" w:sz="4" w:space="0" w:color="auto"/>
            </w:tcBorders>
          </w:tcPr>
          <w:p w:rsidR="00072449" w:rsidRPr="0078600D" w:rsidRDefault="00072449" w:rsidP="00072449">
            <w:pPr>
              <w:spacing w:after="0" w:line="240" w:lineRule="auto"/>
              <w:jc w:val="center"/>
              <w:rPr>
                <w:rFonts w:eastAsia="Times New Roman"/>
                <w:b/>
                <w:bCs/>
                <w:color w:val="000000"/>
                <w:sz w:val="22"/>
                <w:szCs w:val="22"/>
                <w:lang w:eastAsia="zh-CN"/>
              </w:rPr>
            </w:pPr>
            <w:r w:rsidRPr="0078600D">
              <w:rPr>
                <w:rFonts w:eastAsia="Times New Roman"/>
                <w:b/>
                <w:bCs/>
                <w:color w:val="000000"/>
                <w:sz w:val="22"/>
                <w:szCs w:val="22"/>
                <w:lang w:eastAsia="zh-CN"/>
              </w:rPr>
              <w:t>Outpatient (n = 21</w:t>
            </w:r>
            <w:r w:rsidR="00AF6CC7">
              <w:rPr>
                <w:rFonts w:eastAsia="Times New Roman"/>
                <w:b/>
                <w:bCs/>
                <w:color w:val="000000"/>
                <w:sz w:val="22"/>
                <w:szCs w:val="22"/>
                <w:lang w:eastAsia="zh-CN"/>
              </w:rPr>
              <w:t>3</w:t>
            </w:r>
            <w:r w:rsidRPr="0078600D">
              <w:rPr>
                <w:rFonts w:eastAsia="Times New Roman"/>
                <w:b/>
                <w:bCs/>
                <w:color w:val="000000"/>
                <w:sz w:val="22"/>
                <w:szCs w:val="22"/>
                <w:lang w:eastAsia="zh-CN"/>
              </w:rPr>
              <w:t>)</w:t>
            </w:r>
          </w:p>
        </w:tc>
        <w:tc>
          <w:tcPr>
            <w:tcW w:w="1418" w:type="dxa"/>
            <w:tcBorders>
              <w:top w:val="single" w:sz="4" w:space="0" w:color="auto"/>
              <w:bottom w:val="single" w:sz="4" w:space="0" w:color="auto"/>
            </w:tcBorders>
          </w:tcPr>
          <w:p w:rsidR="00072449" w:rsidRPr="0078600D" w:rsidRDefault="004516BD" w:rsidP="00072449">
            <w:pPr>
              <w:spacing w:after="0" w:line="240" w:lineRule="auto"/>
              <w:jc w:val="center"/>
              <w:rPr>
                <w:rFonts w:eastAsia="Times New Roman"/>
                <w:b/>
                <w:bCs/>
                <w:color w:val="000000"/>
                <w:sz w:val="22"/>
                <w:szCs w:val="22"/>
                <w:lang w:eastAsia="zh-CN"/>
              </w:rPr>
            </w:pPr>
            <w:r>
              <w:rPr>
                <w:rFonts w:eastAsia="Times New Roman"/>
                <w:b/>
                <w:bCs/>
                <w:color w:val="000000"/>
                <w:sz w:val="22"/>
                <w:szCs w:val="22"/>
                <w:lang w:eastAsia="zh-CN"/>
              </w:rPr>
              <w:t>Acute w</w:t>
            </w:r>
            <w:r w:rsidR="00072449" w:rsidRPr="0078600D">
              <w:rPr>
                <w:rFonts w:eastAsia="Times New Roman"/>
                <w:b/>
                <w:bCs/>
                <w:color w:val="000000"/>
                <w:sz w:val="22"/>
                <w:szCs w:val="22"/>
                <w:lang w:eastAsia="zh-CN"/>
              </w:rPr>
              <w:t xml:space="preserve">ithdrawal (n = </w:t>
            </w:r>
            <w:r w:rsidR="00A733D3">
              <w:rPr>
                <w:rFonts w:eastAsia="Times New Roman"/>
                <w:b/>
                <w:bCs/>
                <w:color w:val="000000"/>
                <w:sz w:val="22"/>
                <w:szCs w:val="22"/>
                <w:lang w:eastAsia="zh-CN"/>
              </w:rPr>
              <w:t>349-</w:t>
            </w:r>
            <w:r w:rsidR="00072449" w:rsidRPr="0078600D">
              <w:rPr>
                <w:rFonts w:eastAsia="Times New Roman"/>
                <w:b/>
                <w:bCs/>
                <w:color w:val="000000"/>
                <w:sz w:val="22"/>
                <w:szCs w:val="22"/>
                <w:lang w:eastAsia="zh-CN"/>
              </w:rPr>
              <w:t>350)</w:t>
            </w:r>
          </w:p>
        </w:tc>
        <w:tc>
          <w:tcPr>
            <w:tcW w:w="1559" w:type="dxa"/>
            <w:tcBorders>
              <w:top w:val="single" w:sz="4" w:space="0" w:color="auto"/>
              <w:bottom w:val="single" w:sz="4" w:space="0" w:color="auto"/>
            </w:tcBorders>
          </w:tcPr>
          <w:p w:rsidR="00072449" w:rsidRPr="0078600D" w:rsidRDefault="004516BD" w:rsidP="00AF6CC7">
            <w:pPr>
              <w:spacing w:after="0" w:line="240" w:lineRule="auto"/>
              <w:jc w:val="center"/>
              <w:rPr>
                <w:rFonts w:eastAsia="Times New Roman"/>
                <w:b/>
                <w:bCs/>
                <w:color w:val="000000"/>
                <w:sz w:val="22"/>
                <w:szCs w:val="22"/>
                <w:lang w:eastAsia="zh-CN"/>
              </w:rPr>
            </w:pPr>
            <w:r>
              <w:rPr>
                <w:rFonts w:eastAsia="Times New Roman"/>
                <w:b/>
                <w:bCs/>
                <w:color w:val="000000"/>
                <w:sz w:val="22"/>
                <w:szCs w:val="22"/>
                <w:lang w:eastAsia="zh-CN"/>
              </w:rPr>
              <w:t>R</w:t>
            </w:r>
            <w:r w:rsidR="00072449" w:rsidRPr="0078600D">
              <w:rPr>
                <w:rFonts w:eastAsia="Times New Roman"/>
                <w:b/>
                <w:bCs/>
                <w:color w:val="000000"/>
                <w:sz w:val="22"/>
                <w:szCs w:val="22"/>
                <w:lang w:eastAsia="zh-CN"/>
              </w:rPr>
              <w:t xml:space="preserve">esidential </w:t>
            </w:r>
            <w:r w:rsidR="005958CF">
              <w:rPr>
                <w:rFonts w:eastAsia="Times New Roman"/>
                <w:b/>
                <w:bCs/>
                <w:color w:val="000000"/>
                <w:sz w:val="22"/>
                <w:szCs w:val="22"/>
                <w:lang w:eastAsia="zh-CN"/>
              </w:rPr>
              <w:t xml:space="preserve">rehabilitation </w:t>
            </w:r>
            <w:r w:rsidR="00072449" w:rsidRPr="0078600D">
              <w:rPr>
                <w:rFonts w:eastAsia="Times New Roman"/>
                <w:b/>
                <w:bCs/>
                <w:color w:val="000000"/>
                <w:sz w:val="22"/>
                <w:szCs w:val="22"/>
                <w:lang w:eastAsia="zh-CN"/>
              </w:rPr>
              <w:t xml:space="preserve">(n = </w:t>
            </w:r>
            <w:r w:rsidR="00034F7A">
              <w:rPr>
                <w:rFonts w:eastAsia="Times New Roman"/>
                <w:b/>
                <w:bCs/>
                <w:color w:val="000000"/>
                <w:sz w:val="22"/>
                <w:szCs w:val="22"/>
                <w:lang w:eastAsia="zh-CN"/>
              </w:rPr>
              <w:t>229</w:t>
            </w:r>
            <w:r w:rsidR="00A733D3">
              <w:rPr>
                <w:rFonts w:eastAsia="Times New Roman"/>
                <w:b/>
                <w:bCs/>
                <w:color w:val="000000"/>
                <w:sz w:val="22"/>
                <w:szCs w:val="22"/>
                <w:lang w:eastAsia="zh-CN"/>
              </w:rPr>
              <w:t>-</w:t>
            </w:r>
            <w:r w:rsidR="00AF6CC7" w:rsidRPr="0078600D">
              <w:rPr>
                <w:rFonts w:eastAsia="Times New Roman"/>
                <w:b/>
                <w:bCs/>
                <w:color w:val="000000"/>
                <w:sz w:val="22"/>
                <w:szCs w:val="22"/>
                <w:lang w:eastAsia="zh-CN"/>
              </w:rPr>
              <w:t>2</w:t>
            </w:r>
            <w:r w:rsidR="00AF6CC7">
              <w:rPr>
                <w:rFonts w:eastAsia="Times New Roman"/>
                <w:b/>
                <w:bCs/>
                <w:color w:val="000000"/>
                <w:sz w:val="22"/>
                <w:szCs w:val="22"/>
                <w:lang w:eastAsia="zh-CN"/>
              </w:rPr>
              <w:t>31</w:t>
            </w:r>
            <w:r w:rsidR="00072449" w:rsidRPr="0078600D">
              <w:rPr>
                <w:rFonts w:eastAsia="Times New Roman"/>
                <w:b/>
                <w:bCs/>
                <w:color w:val="000000"/>
                <w:sz w:val="22"/>
                <w:szCs w:val="22"/>
                <w:lang w:eastAsia="zh-CN"/>
              </w:rPr>
              <w:t>)</w:t>
            </w:r>
          </w:p>
        </w:tc>
        <w:tc>
          <w:tcPr>
            <w:tcW w:w="912" w:type="dxa"/>
            <w:tcBorders>
              <w:top w:val="single" w:sz="4" w:space="0" w:color="auto"/>
              <w:bottom w:val="single" w:sz="4" w:space="0" w:color="auto"/>
            </w:tcBorders>
          </w:tcPr>
          <w:p w:rsidR="00072449" w:rsidRPr="0078600D" w:rsidRDefault="00072449" w:rsidP="00072449">
            <w:pPr>
              <w:spacing w:after="0" w:line="240" w:lineRule="auto"/>
              <w:jc w:val="center"/>
              <w:rPr>
                <w:rFonts w:eastAsia="Times New Roman"/>
                <w:b/>
                <w:bCs/>
                <w:color w:val="000000"/>
                <w:sz w:val="22"/>
                <w:szCs w:val="22"/>
                <w:lang w:eastAsia="zh-CN"/>
              </w:rPr>
            </w:pPr>
            <w:r>
              <w:rPr>
                <w:rFonts w:eastAsia="Times New Roman"/>
                <w:b/>
                <w:bCs/>
                <w:color w:val="000000"/>
                <w:sz w:val="22"/>
                <w:szCs w:val="22"/>
                <w:lang w:eastAsia="zh-CN"/>
              </w:rPr>
              <w:t>p</w:t>
            </w:r>
          </w:p>
        </w:tc>
      </w:tr>
      <w:tr w:rsidR="00072449" w:rsidRPr="00415291" w:rsidTr="001A0F1E">
        <w:trPr>
          <w:trHeight w:hRule="exact" w:val="340"/>
        </w:trPr>
        <w:tc>
          <w:tcPr>
            <w:tcW w:w="2576" w:type="dxa"/>
            <w:tcBorders>
              <w:top w:val="single" w:sz="4" w:space="0" w:color="auto"/>
            </w:tcBorders>
          </w:tcPr>
          <w:p w:rsidR="00072449" w:rsidRDefault="00072449" w:rsidP="00072449">
            <w:pPr>
              <w:spacing w:after="0" w:line="240" w:lineRule="auto"/>
              <w:rPr>
                <w:rFonts w:eastAsia="Times New Roman"/>
                <w:b/>
                <w:color w:val="000000"/>
                <w:sz w:val="22"/>
                <w:szCs w:val="22"/>
              </w:rPr>
            </w:pPr>
            <w:r w:rsidRPr="003D430B">
              <w:rPr>
                <w:rFonts w:eastAsia="Times New Roman"/>
                <w:b/>
                <w:color w:val="000000"/>
                <w:sz w:val="22"/>
                <w:szCs w:val="22"/>
              </w:rPr>
              <w:t>Primary drug of concern:</w:t>
            </w:r>
          </w:p>
          <w:p w:rsidR="00072449" w:rsidRDefault="00072449" w:rsidP="00072449">
            <w:pPr>
              <w:spacing w:after="0" w:line="240" w:lineRule="auto"/>
              <w:rPr>
                <w:rFonts w:eastAsia="Times New Roman"/>
                <w:b/>
                <w:color w:val="000000"/>
                <w:sz w:val="22"/>
                <w:szCs w:val="22"/>
              </w:rPr>
            </w:pPr>
          </w:p>
          <w:p w:rsidR="00072449" w:rsidRPr="003D430B" w:rsidRDefault="00072449" w:rsidP="00072449">
            <w:pPr>
              <w:spacing w:after="0" w:line="240" w:lineRule="auto"/>
              <w:rPr>
                <w:rFonts w:eastAsia="Times New Roman"/>
                <w:b/>
                <w:color w:val="000000"/>
                <w:sz w:val="22"/>
                <w:szCs w:val="22"/>
              </w:rPr>
            </w:pPr>
            <w:r>
              <w:rPr>
                <w:rFonts w:eastAsia="Times New Roman"/>
                <w:b/>
                <w:color w:val="000000"/>
                <w:sz w:val="22"/>
                <w:szCs w:val="22"/>
              </w:rPr>
              <w:t>\</w:t>
            </w:r>
          </w:p>
        </w:tc>
        <w:tc>
          <w:tcPr>
            <w:tcW w:w="1501" w:type="dxa"/>
            <w:tcBorders>
              <w:top w:val="single" w:sz="4" w:space="0" w:color="auto"/>
            </w:tcBorders>
          </w:tcPr>
          <w:p w:rsidR="00072449" w:rsidRPr="003D430B" w:rsidRDefault="00072449" w:rsidP="00072449">
            <w:pPr>
              <w:spacing w:after="0" w:line="240" w:lineRule="auto"/>
              <w:rPr>
                <w:rFonts w:eastAsia="Times New Roman"/>
                <w:color w:val="000000"/>
                <w:sz w:val="22"/>
                <w:szCs w:val="22"/>
              </w:rPr>
            </w:pPr>
          </w:p>
        </w:tc>
        <w:tc>
          <w:tcPr>
            <w:tcW w:w="1276" w:type="dxa"/>
            <w:tcBorders>
              <w:top w:val="single" w:sz="4" w:space="0" w:color="auto"/>
            </w:tcBorders>
          </w:tcPr>
          <w:p w:rsidR="00072449" w:rsidRPr="003D430B" w:rsidRDefault="00072449" w:rsidP="00072449">
            <w:pPr>
              <w:spacing w:after="0" w:line="240" w:lineRule="auto"/>
              <w:rPr>
                <w:rFonts w:eastAsia="Times New Roman"/>
                <w:color w:val="000000"/>
                <w:sz w:val="22"/>
                <w:szCs w:val="22"/>
              </w:rPr>
            </w:pPr>
          </w:p>
        </w:tc>
        <w:tc>
          <w:tcPr>
            <w:tcW w:w="1418" w:type="dxa"/>
            <w:tcBorders>
              <w:top w:val="single" w:sz="4" w:space="0" w:color="auto"/>
            </w:tcBorders>
          </w:tcPr>
          <w:p w:rsidR="00072449" w:rsidRPr="003D430B" w:rsidRDefault="00072449" w:rsidP="00072449">
            <w:pPr>
              <w:spacing w:after="0" w:line="240" w:lineRule="auto"/>
              <w:rPr>
                <w:rFonts w:eastAsia="Times New Roman"/>
                <w:color w:val="000000"/>
                <w:sz w:val="22"/>
                <w:szCs w:val="22"/>
              </w:rPr>
            </w:pPr>
          </w:p>
        </w:tc>
        <w:tc>
          <w:tcPr>
            <w:tcW w:w="1559" w:type="dxa"/>
            <w:tcBorders>
              <w:top w:val="single" w:sz="4" w:space="0" w:color="auto"/>
            </w:tcBorders>
          </w:tcPr>
          <w:p w:rsidR="00072449" w:rsidRPr="003D430B" w:rsidRDefault="00072449" w:rsidP="00072449">
            <w:pPr>
              <w:spacing w:after="0" w:line="240" w:lineRule="auto"/>
              <w:rPr>
                <w:rFonts w:eastAsia="Times New Roman"/>
                <w:color w:val="000000"/>
                <w:sz w:val="22"/>
                <w:szCs w:val="22"/>
              </w:rPr>
            </w:pPr>
          </w:p>
        </w:tc>
        <w:tc>
          <w:tcPr>
            <w:tcW w:w="912" w:type="dxa"/>
            <w:tcBorders>
              <w:top w:val="single" w:sz="4" w:space="0" w:color="auto"/>
            </w:tcBorders>
          </w:tcPr>
          <w:p w:rsidR="00072449" w:rsidRPr="003D430B" w:rsidRDefault="0091180D" w:rsidP="00072449">
            <w:pPr>
              <w:spacing w:after="0" w:line="240" w:lineRule="auto"/>
              <w:rPr>
                <w:rFonts w:eastAsia="Times New Roman"/>
                <w:color w:val="000000"/>
                <w:sz w:val="22"/>
                <w:szCs w:val="22"/>
              </w:rPr>
            </w:pPr>
            <w:r w:rsidRPr="003D430B">
              <w:rPr>
                <w:rFonts w:eastAsia="Times New Roman"/>
                <w:color w:val="000000"/>
                <w:sz w:val="22"/>
                <w:szCs w:val="22"/>
              </w:rPr>
              <w:t>&lt; .001</w:t>
            </w:r>
          </w:p>
        </w:tc>
      </w:tr>
      <w:tr w:rsidR="00072449" w:rsidRPr="00415291" w:rsidTr="001A0F1E">
        <w:trPr>
          <w:trHeight w:hRule="exact" w:val="340"/>
        </w:trPr>
        <w:tc>
          <w:tcPr>
            <w:tcW w:w="2576" w:type="dxa"/>
          </w:tcPr>
          <w:p w:rsidR="00072449" w:rsidRPr="003D430B" w:rsidRDefault="00072449" w:rsidP="00626783">
            <w:pPr>
              <w:spacing w:after="0" w:line="240" w:lineRule="auto"/>
              <w:rPr>
                <w:rFonts w:eastAsia="Times New Roman"/>
                <w:color w:val="000000"/>
                <w:sz w:val="22"/>
                <w:szCs w:val="22"/>
              </w:rPr>
            </w:pPr>
            <w:r w:rsidRPr="003D430B">
              <w:rPr>
                <w:rFonts w:eastAsia="Times New Roman"/>
                <w:color w:val="000000"/>
                <w:sz w:val="22"/>
                <w:szCs w:val="22"/>
              </w:rPr>
              <w:t>Alcohol</w:t>
            </w:r>
          </w:p>
        </w:tc>
        <w:tc>
          <w:tcPr>
            <w:tcW w:w="1501"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47.2%</w:t>
            </w:r>
          </w:p>
        </w:tc>
        <w:tc>
          <w:tcPr>
            <w:tcW w:w="12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40.</w:t>
            </w:r>
            <w:r w:rsidR="00AF6CC7">
              <w:rPr>
                <w:rFonts w:eastAsia="Times New Roman"/>
                <w:color w:val="000000"/>
                <w:sz w:val="22"/>
                <w:szCs w:val="22"/>
              </w:rPr>
              <w:t>4</w:t>
            </w:r>
            <w:r w:rsidRPr="003D430B">
              <w:rPr>
                <w:rFonts w:eastAsia="Times New Roman"/>
                <w:color w:val="000000"/>
                <w:sz w:val="22"/>
                <w:szCs w:val="22"/>
              </w:rPr>
              <w:t>%</w:t>
            </w:r>
          </w:p>
        </w:tc>
        <w:tc>
          <w:tcPr>
            <w:tcW w:w="1418"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55.7%</w:t>
            </w:r>
          </w:p>
        </w:tc>
        <w:tc>
          <w:tcPr>
            <w:tcW w:w="1559"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40.</w:t>
            </w:r>
            <w:r w:rsidR="00AF6CC7">
              <w:rPr>
                <w:rFonts w:eastAsia="Times New Roman"/>
                <w:color w:val="000000"/>
                <w:sz w:val="22"/>
                <w:szCs w:val="22"/>
              </w:rPr>
              <w:t>7</w:t>
            </w:r>
            <w:r w:rsidRPr="003D430B">
              <w:rPr>
                <w:rFonts w:eastAsia="Times New Roman"/>
                <w:color w:val="000000"/>
                <w:sz w:val="22"/>
                <w:szCs w:val="22"/>
              </w:rPr>
              <w:t>%</w:t>
            </w:r>
          </w:p>
        </w:tc>
        <w:tc>
          <w:tcPr>
            <w:tcW w:w="912" w:type="dxa"/>
          </w:tcPr>
          <w:p w:rsidR="00072449" w:rsidRPr="003D430B" w:rsidRDefault="00072449" w:rsidP="00072449">
            <w:pPr>
              <w:spacing w:after="0" w:line="240" w:lineRule="auto"/>
              <w:rPr>
                <w:rFonts w:eastAsia="Times New Roman"/>
                <w:color w:val="000000"/>
                <w:sz w:val="22"/>
                <w:szCs w:val="22"/>
              </w:rPr>
            </w:pPr>
          </w:p>
        </w:tc>
      </w:tr>
      <w:tr w:rsidR="00072449" w:rsidRPr="00415291" w:rsidTr="001A0F1E">
        <w:trPr>
          <w:trHeight w:hRule="exact" w:val="340"/>
        </w:trPr>
        <w:tc>
          <w:tcPr>
            <w:tcW w:w="25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Cannabis</w:t>
            </w:r>
          </w:p>
          <w:p w:rsidR="00072449" w:rsidRPr="003D430B" w:rsidRDefault="00072449" w:rsidP="00072449">
            <w:pPr>
              <w:spacing w:after="0" w:line="240" w:lineRule="auto"/>
              <w:rPr>
                <w:rFonts w:eastAsia="Times New Roman"/>
                <w:color w:val="000000"/>
                <w:sz w:val="22"/>
                <w:szCs w:val="22"/>
              </w:rPr>
            </w:pPr>
          </w:p>
        </w:tc>
        <w:tc>
          <w:tcPr>
            <w:tcW w:w="1501"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14.</w:t>
            </w:r>
            <w:r w:rsidR="00AF6CC7">
              <w:rPr>
                <w:rFonts w:eastAsia="Times New Roman"/>
                <w:color w:val="000000"/>
                <w:sz w:val="22"/>
                <w:szCs w:val="22"/>
              </w:rPr>
              <w:t>7</w:t>
            </w:r>
            <w:r w:rsidRPr="003D430B">
              <w:rPr>
                <w:rFonts w:eastAsia="Times New Roman"/>
                <w:color w:val="000000"/>
                <w:sz w:val="22"/>
                <w:szCs w:val="22"/>
              </w:rPr>
              <w:t>%</w:t>
            </w:r>
          </w:p>
        </w:tc>
        <w:tc>
          <w:tcPr>
            <w:tcW w:w="12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17.</w:t>
            </w:r>
            <w:r w:rsidR="00AF6CC7">
              <w:rPr>
                <w:rFonts w:eastAsia="Times New Roman"/>
                <w:color w:val="000000"/>
                <w:sz w:val="22"/>
                <w:szCs w:val="22"/>
              </w:rPr>
              <w:t>8</w:t>
            </w:r>
            <w:r w:rsidRPr="003D430B">
              <w:rPr>
                <w:rFonts w:eastAsia="Times New Roman"/>
                <w:color w:val="000000"/>
                <w:sz w:val="22"/>
                <w:szCs w:val="22"/>
              </w:rPr>
              <w:t>%</w:t>
            </w:r>
          </w:p>
        </w:tc>
        <w:tc>
          <w:tcPr>
            <w:tcW w:w="1418"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14.9%</w:t>
            </w:r>
          </w:p>
        </w:tc>
        <w:tc>
          <w:tcPr>
            <w:tcW w:w="1559"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11.</w:t>
            </w:r>
            <w:r w:rsidR="00AF6CC7">
              <w:rPr>
                <w:rFonts w:eastAsia="Times New Roman"/>
                <w:color w:val="000000"/>
                <w:sz w:val="22"/>
                <w:szCs w:val="22"/>
              </w:rPr>
              <w:t>7</w:t>
            </w:r>
            <w:r w:rsidRPr="003D430B">
              <w:rPr>
                <w:rFonts w:eastAsia="Times New Roman"/>
                <w:color w:val="000000"/>
                <w:sz w:val="22"/>
                <w:szCs w:val="22"/>
              </w:rPr>
              <w:t>%</w:t>
            </w:r>
          </w:p>
        </w:tc>
        <w:tc>
          <w:tcPr>
            <w:tcW w:w="912" w:type="dxa"/>
          </w:tcPr>
          <w:p w:rsidR="00072449" w:rsidRPr="003D430B" w:rsidRDefault="00072449" w:rsidP="00072449">
            <w:pPr>
              <w:spacing w:after="0" w:line="240" w:lineRule="auto"/>
              <w:rPr>
                <w:rFonts w:eastAsia="Times New Roman"/>
                <w:color w:val="000000"/>
                <w:sz w:val="22"/>
                <w:szCs w:val="22"/>
              </w:rPr>
            </w:pPr>
          </w:p>
        </w:tc>
      </w:tr>
      <w:tr w:rsidR="00072449" w:rsidRPr="00415291" w:rsidTr="001A0F1E">
        <w:trPr>
          <w:trHeight w:hRule="exact" w:val="340"/>
        </w:trPr>
        <w:tc>
          <w:tcPr>
            <w:tcW w:w="25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Meth</w:t>
            </w:r>
            <w:r w:rsidR="00E977AF">
              <w:rPr>
                <w:rFonts w:eastAsia="Times New Roman"/>
                <w:color w:val="000000"/>
                <w:sz w:val="22"/>
                <w:szCs w:val="22"/>
              </w:rPr>
              <w:t>/</w:t>
            </w:r>
            <w:r w:rsidRPr="003D430B">
              <w:rPr>
                <w:rFonts w:eastAsia="Times New Roman"/>
                <w:color w:val="000000"/>
                <w:sz w:val="22"/>
                <w:szCs w:val="22"/>
              </w:rPr>
              <w:t>amphetamine</w:t>
            </w:r>
          </w:p>
          <w:p w:rsidR="00072449" w:rsidRPr="003D430B" w:rsidRDefault="00072449" w:rsidP="00072449">
            <w:pPr>
              <w:spacing w:after="0" w:line="240" w:lineRule="auto"/>
              <w:rPr>
                <w:rFonts w:eastAsia="Times New Roman"/>
                <w:color w:val="000000"/>
                <w:sz w:val="22"/>
                <w:szCs w:val="22"/>
              </w:rPr>
            </w:pPr>
          </w:p>
        </w:tc>
        <w:tc>
          <w:tcPr>
            <w:tcW w:w="1501"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19.</w:t>
            </w:r>
            <w:r w:rsidR="00AF6CC7">
              <w:rPr>
                <w:rFonts w:eastAsia="Times New Roman"/>
                <w:color w:val="000000"/>
                <w:sz w:val="22"/>
                <w:szCs w:val="22"/>
              </w:rPr>
              <w:t>8</w:t>
            </w:r>
            <w:r w:rsidRPr="003D430B">
              <w:rPr>
                <w:rFonts w:eastAsia="Times New Roman"/>
                <w:color w:val="000000"/>
                <w:sz w:val="22"/>
                <w:szCs w:val="22"/>
              </w:rPr>
              <w:t>%</w:t>
            </w:r>
          </w:p>
        </w:tc>
        <w:tc>
          <w:tcPr>
            <w:tcW w:w="12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17.</w:t>
            </w:r>
            <w:r w:rsidR="00AF6CC7">
              <w:rPr>
                <w:rFonts w:eastAsia="Times New Roman"/>
                <w:color w:val="000000"/>
                <w:sz w:val="22"/>
                <w:szCs w:val="22"/>
              </w:rPr>
              <w:t>4</w:t>
            </w:r>
            <w:r w:rsidRPr="003D430B">
              <w:rPr>
                <w:rFonts w:eastAsia="Times New Roman"/>
                <w:color w:val="000000"/>
                <w:sz w:val="22"/>
                <w:szCs w:val="22"/>
              </w:rPr>
              <w:t>%</w:t>
            </w:r>
          </w:p>
        </w:tc>
        <w:tc>
          <w:tcPr>
            <w:tcW w:w="1418"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12.3%</w:t>
            </w:r>
          </w:p>
        </w:tc>
        <w:tc>
          <w:tcPr>
            <w:tcW w:w="1559"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33.</w:t>
            </w:r>
            <w:r w:rsidR="00AF6CC7">
              <w:rPr>
                <w:rFonts w:eastAsia="Times New Roman"/>
                <w:color w:val="000000"/>
                <w:sz w:val="22"/>
                <w:szCs w:val="22"/>
              </w:rPr>
              <w:t>3</w:t>
            </w:r>
            <w:r w:rsidRPr="003D430B">
              <w:rPr>
                <w:rFonts w:eastAsia="Times New Roman"/>
                <w:color w:val="000000"/>
                <w:sz w:val="22"/>
                <w:szCs w:val="22"/>
              </w:rPr>
              <w:t>%</w:t>
            </w:r>
          </w:p>
        </w:tc>
        <w:tc>
          <w:tcPr>
            <w:tcW w:w="912" w:type="dxa"/>
          </w:tcPr>
          <w:p w:rsidR="00072449" w:rsidRPr="003D430B" w:rsidRDefault="00072449" w:rsidP="00072449">
            <w:pPr>
              <w:spacing w:after="0" w:line="240" w:lineRule="auto"/>
              <w:rPr>
                <w:rFonts w:eastAsia="Times New Roman"/>
                <w:color w:val="000000"/>
                <w:sz w:val="22"/>
                <w:szCs w:val="22"/>
              </w:rPr>
            </w:pPr>
          </w:p>
        </w:tc>
      </w:tr>
      <w:tr w:rsidR="00072449" w:rsidRPr="00415291" w:rsidTr="001A0F1E">
        <w:trPr>
          <w:trHeight w:hRule="exact" w:val="340"/>
        </w:trPr>
        <w:tc>
          <w:tcPr>
            <w:tcW w:w="25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Opioids</w:t>
            </w:r>
          </w:p>
          <w:p w:rsidR="00072449" w:rsidRPr="003D430B" w:rsidRDefault="00072449" w:rsidP="00072449">
            <w:pPr>
              <w:spacing w:after="0" w:line="240" w:lineRule="auto"/>
              <w:rPr>
                <w:rFonts w:eastAsia="Times New Roman"/>
                <w:color w:val="000000"/>
                <w:sz w:val="22"/>
                <w:szCs w:val="22"/>
              </w:rPr>
            </w:pPr>
          </w:p>
        </w:tc>
        <w:tc>
          <w:tcPr>
            <w:tcW w:w="1501"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15.</w:t>
            </w:r>
            <w:r w:rsidR="00AF6CC7">
              <w:rPr>
                <w:rFonts w:eastAsia="Times New Roman"/>
                <w:color w:val="000000"/>
                <w:sz w:val="22"/>
                <w:szCs w:val="22"/>
              </w:rPr>
              <w:t>1</w:t>
            </w:r>
            <w:r w:rsidRPr="003D430B">
              <w:rPr>
                <w:rFonts w:eastAsia="Times New Roman"/>
                <w:color w:val="000000"/>
                <w:sz w:val="22"/>
                <w:szCs w:val="22"/>
              </w:rPr>
              <w:t>%</w:t>
            </w:r>
          </w:p>
        </w:tc>
        <w:tc>
          <w:tcPr>
            <w:tcW w:w="12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2</w:t>
            </w:r>
            <w:r w:rsidR="00AF6CC7">
              <w:rPr>
                <w:rFonts w:eastAsia="Times New Roman"/>
                <w:color w:val="000000"/>
                <w:sz w:val="22"/>
                <w:szCs w:val="22"/>
              </w:rPr>
              <w:t>2.1</w:t>
            </w:r>
            <w:r w:rsidRPr="003D430B">
              <w:rPr>
                <w:rFonts w:eastAsia="Times New Roman"/>
                <w:color w:val="000000"/>
                <w:sz w:val="22"/>
                <w:szCs w:val="22"/>
              </w:rPr>
              <w:t>%</w:t>
            </w:r>
          </w:p>
        </w:tc>
        <w:tc>
          <w:tcPr>
            <w:tcW w:w="1418"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12.6%</w:t>
            </w:r>
          </w:p>
        </w:tc>
        <w:tc>
          <w:tcPr>
            <w:tcW w:w="1559"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12.</w:t>
            </w:r>
            <w:r w:rsidR="00AF6CC7">
              <w:rPr>
                <w:rFonts w:eastAsia="Times New Roman"/>
                <w:color w:val="000000"/>
                <w:sz w:val="22"/>
                <w:szCs w:val="22"/>
              </w:rPr>
              <w:t>6</w:t>
            </w:r>
            <w:r w:rsidRPr="003D430B">
              <w:rPr>
                <w:rFonts w:eastAsia="Times New Roman"/>
                <w:color w:val="000000"/>
                <w:sz w:val="22"/>
                <w:szCs w:val="22"/>
              </w:rPr>
              <w:t>%</w:t>
            </w:r>
          </w:p>
        </w:tc>
        <w:tc>
          <w:tcPr>
            <w:tcW w:w="912" w:type="dxa"/>
          </w:tcPr>
          <w:p w:rsidR="00072449" w:rsidRPr="003D430B" w:rsidRDefault="00072449" w:rsidP="00072449">
            <w:pPr>
              <w:spacing w:after="0" w:line="240" w:lineRule="auto"/>
              <w:rPr>
                <w:rFonts w:eastAsia="Times New Roman"/>
                <w:color w:val="000000"/>
                <w:sz w:val="22"/>
                <w:szCs w:val="22"/>
              </w:rPr>
            </w:pPr>
          </w:p>
        </w:tc>
      </w:tr>
      <w:tr w:rsidR="00072449" w:rsidRPr="00415291" w:rsidTr="001A0F1E">
        <w:trPr>
          <w:trHeight w:hRule="exact" w:val="340"/>
        </w:trPr>
        <w:tc>
          <w:tcPr>
            <w:tcW w:w="25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Other</w:t>
            </w:r>
          </w:p>
          <w:p w:rsidR="00072449" w:rsidRPr="003D430B" w:rsidRDefault="00072449" w:rsidP="00072449">
            <w:pPr>
              <w:spacing w:after="0" w:line="240" w:lineRule="auto"/>
              <w:rPr>
                <w:rFonts w:eastAsia="Times New Roman"/>
                <w:color w:val="000000"/>
                <w:sz w:val="22"/>
                <w:szCs w:val="22"/>
              </w:rPr>
            </w:pPr>
          </w:p>
        </w:tc>
        <w:tc>
          <w:tcPr>
            <w:tcW w:w="1501"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3.</w:t>
            </w:r>
            <w:r w:rsidR="00AF6CC7">
              <w:rPr>
                <w:rFonts w:eastAsia="Times New Roman"/>
                <w:color w:val="000000"/>
                <w:sz w:val="22"/>
                <w:szCs w:val="22"/>
              </w:rPr>
              <w:t>1</w:t>
            </w:r>
            <w:r w:rsidRPr="003D430B">
              <w:rPr>
                <w:rFonts w:eastAsia="Times New Roman"/>
                <w:color w:val="000000"/>
                <w:sz w:val="22"/>
                <w:szCs w:val="22"/>
              </w:rPr>
              <w:t>%</w:t>
            </w:r>
          </w:p>
        </w:tc>
        <w:tc>
          <w:tcPr>
            <w:tcW w:w="12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2.3%</w:t>
            </w:r>
          </w:p>
        </w:tc>
        <w:tc>
          <w:tcPr>
            <w:tcW w:w="1418"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4.6%</w:t>
            </w:r>
          </w:p>
        </w:tc>
        <w:tc>
          <w:tcPr>
            <w:tcW w:w="1559"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w:t>
            </w:r>
            <w:r w:rsidR="00AF6CC7">
              <w:rPr>
                <w:rFonts w:eastAsia="Times New Roman"/>
                <w:color w:val="000000"/>
                <w:sz w:val="22"/>
                <w:szCs w:val="22"/>
              </w:rPr>
              <w:t>7</w:t>
            </w:r>
            <w:r w:rsidRPr="003D430B">
              <w:rPr>
                <w:rFonts w:eastAsia="Times New Roman"/>
                <w:color w:val="000000"/>
                <w:sz w:val="22"/>
                <w:szCs w:val="22"/>
              </w:rPr>
              <w:t>%</w:t>
            </w:r>
          </w:p>
        </w:tc>
        <w:tc>
          <w:tcPr>
            <w:tcW w:w="912" w:type="dxa"/>
          </w:tcPr>
          <w:p w:rsidR="00072449" w:rsidRPr="003D430B" w:rsidRDefault="00072449" w:rsidP="00072449">
            <w:pPr>
              <w:spacing w:after="0" w:line="240" w:lineRule="auto"/>
              <w:rPr>
                <w:rFonts w:eastAsia="Times New Roman"/>
                <w:color w:val="000000"/>
                <w:sz w:val="22"/>
                <w:szCs w:val="22"/>
              </w:rPr>
            </w:pPr>
          </w:p>
        </w:tc>
      </w:tr>
      <w:tr w:rsidR="00072449" w:rsidRPr="00415291" w:rsidTr="001A0F1E">
        <w:trPr>
          <w:trHeight w:hRule="exact" w:val="567"/>
        </w:trPr>
        <w:tc>
          <w:tcPr>
            <w:tcW w:w="2576" w:type="dxa"/>
          </w:tcPr>
          <w:p w:rsidR="00072449" w:rsidRPr="003D430B" w:rsidRDefault="00072449" w:rsidP="00072449">
            <w:pPr>
              <w:spacing w:after="0" w:line="240" w:lineRule="auto"/>
              <w:rPr>
                <w:rFonts w:eastAsia="Times New Roman"/>
                <w:color w:val="000000"/>
                <w:sz w:val="22"/>
                <w:szCs w:val="22"/>
              </w:rPr>
            </w:pPr>
            <w:r>
              <w:rPr>
                <w:rFonts w:eastAsia="Times New Roman"/>
                <w:color w:val="000000"/>
                <w:sz w:val="22"/>
                <w:szCs w:val="22"/>
              </w:rPr>
              <w:t>Median</w:t>
            </w:r>
            <w:r w:rsidRPr="003D430B">
              <w:rPr>
                <w:rFonts w:eastAsia="Times New Roman"/>
                <w:color w:val="000000"/>
                <w:sz w:val="22"/>
                <w:szCs w:val="22"/>
              </w:rPr>
              <w:t xml:space="preserve"> (</w:t>
            </w:r>
            <w:r>
              <w:rPr>
                <w:rFonts w:eastAsia="Times New Roman" w:cs="Calibri"/>
                <w:color w:val="000000"/>
                <w:sz w:val="22"/>
                <w:szCs w:val="22"/>
              </w:rPr>
              <w:t>IQR</w:t>
            </w:r>
            <w:r w:rsidRPr="003D430B">
              <w:rPr>
                <w:rFonts w:eastAsia="Times New Roman"/>
                <w:color w:val="000000"/>
                <w:sz w:val="22"/>
                <w:szCs w:val="22"/>
              </w:rPr>
              <w:t xml:space="preserve">) SDS score for </w:t>
            </w:r>
            <w:r w:rsidR="00EE7A8F">
              <w:rPr>
                <w:rFonts w:eastAsia="Times New Roman"/>
                <w:color w:val="000000"/>
                <w:sz w:val="22"/>
                <w:szCs w:val="22"/>
              </w:rPr>
              <w:t>PDOC</w:t>
            </w:r>
          </w:p>
        </w:tc>
        <w:tc>
          <w:tcPr>
            <w:tcW w:w="1501" w:type="dxa"/>
          </w:tcPr>
          <w:p w:rsidR="00072449" w:rsidRPr="003D430B" w:rsidRDefault="00072449" w:rsidP="00072449">
            <w:pPr>
              <w:spacing w:after="0" w:line="240" w:lineRule="auto"/>
              <w:rPr>
                <w:rFonts w:eastAsia="Times New Roman"/>
                <w:color w:val="000000"/>
                <w:sz w:val="22"/>
                <w:szCs w:val="22"/>
              </w:rPr>
            </w:pPr>
            <w:r>
              <w:rPr>
                <w:rFonts w:eastAsia="Times New Roman"/>
                <w:color w:val="000000"/>
                <w:sz w:val="22"/>
                <w:szCs w:val="22"/>
              </w:rPr>
              <w:t>11</w:t>
            </w:r>
            <w:r w:rsidRPr="003D430B">
              <w:rPr>
                <w:rFonts w:eastAsia="Times New Roman"/>
                <w:color w:val="000000"/>
                <w:sz w:val="22"/>
                <w:szCs w:val="22"/>
              </w:rPr>
              <w:t xml:space="preserve"> (</w:t>
            </w:r>
            <w:r>
              <w:rPr>
                <w:rFonts w:eastAsia="Times New Roman"/>
                <w:color w:val="000000"/>
                <w:sz w:val="22"/>
                <w:szCs w:val="22"/>
              </w:rPr>
              <w:t>8-13</w:t>
            </w:r>
            <w:r w:rsidRPr="003D430B">
              <w:rPr>
                <w:rFonts w:eastAsia="Times New Roman"/>
                <w:color w:val="000000"/>
                <w:sz w:val="22"/>
                <w:szCs w:val="22"/>
              </w:rPr>
              <w:t>)</w:t>
            </w:r>
          </w:p>
        </w:tc>
        <w:tc>
          <w:tcPr>
            <w:tcW w:w="1276" w:type="dxa"/>
          </w:tcPr>
          <w:p w:rsidR="00072449" w:rsidRPr="003D430B" w:rsidRDefault="00072449" w:rsidP="00072449">
            <w:pPr>
              <w:spacing w:after="0" w:line="240" w:lineRule="auto"/>
              <w:rPr>
                <w:rFonts w:eastAsia="Times New Roman"/>
                <w:color w:val="000000"/>
                <w:sz w:val="22"/>
                <w:szCs w:val="22"/>
              </w:rPr>
            </w:pPr>
            <w:r>
              <w:rPr>
                <w:rFonts w:eastAsia="Times New Roman"/>
                <w:color w:val="000000"/>
                <w:sz w:val="22"/>
                <w:szCs w:val="22"/>
              </w:rPr>
              <w:t>10</w:t>
            </w:r>
            <w:r w:rsidRPr="003D430B">
              <w:rPr>
                <w:rFonts w:eastAsia="Times New Roman"/>
                <w:color w:val="000000"/>
                <w:sz w:val="22"/>
                <w:szCs w:val="22"/>
              </w:rPr>
              <w:t xml:space="preserve"> (</w:t>
            </w:r>
            <w:r>
              <w:rPr>
                <w:rFonts w:eastAsia="Times New Roman"/>
                <w:color w:val="000000"/>
                <w:sz w:val="22"/>
                <w:szCs w:val="22"/>
              </w:rPr>
              <w:t>7-12</w:t>
            </w:r>
            <w:r w:rsidRPr="003D430B">
              <w:rPr>
                <w:rFonts w:eastAsia="Times New Roman"/>
                <w:color w:val="000000"/>
                <w:sz w:val="22"/>
                <w:szCs w:val="22"/>
              </w:rPr>
              <w:t>)</w:t>
            </w:r>
          </w:p>
        </w:tc>
        <w:tc>
          <w:tcPr>
            <w:tcW w:w="1418" w:type="dxa"/>
          </w:tcPr>
          <w:p w:rsidR="00072449" w:rsidRPr="003D430B" w:rsidRDefault="00072449" w:rsidP="00072449">
            <w:pPr>
              <w:spacing w:after="0" w:line="240" w:lineRule="auto"/>
              <w:rPr>
                <w:rFonts w:eastAsia="Times New Roman"/>
                <w:color w:val="000000"/>
                <w:sz w:val="22"/>
                <w:szCs w:val="22"/>
              </w:rPr>
            </w:pPr>
            <w:r>
              <w:rPr>
                <w:rFonts w:eastAsia="Times New Roman"/>
                <w:color w:val="000000"/>
                <w:sz w:val="22"/>
                <w:szCs w:val="22"/>
              </w:rPr>
              <w:t>12</w:t>
            </w:r>
            <w:r w:rsidRPr="003D430B">
              <w:rPr>
                <w:rFonts w:eastAsia="Times New Roman"/>
                <w:color w:val="000000"/>
                <w:sz w:val="22"/>
                <w:szCs w:val="22"/>
              </w:rPr>
              <w:t xml:space="preserve"> (</w:t>
            </w:r>
            <w:r>
              <w:rPr>
                <w:rFonts w:eastAsia="Times New Roman"/>
                <w:color w:val="000000"/>
                <w:sz w:val="22"/>
                <w:szCs w:val="22"/>
              </w:rPr>
              <w:t>9-14</w:t>
            </w:r>
            <w:r w:rsidRPr="003D430B">
              <w:rPr>
                <w:rFonts w:eastAsia="Times New Roman"/>
                <w:color w:val="000000"/>
                <w:sz w:val="22"/>
                <w:szCs w:val="22"/>
              </w:rPr>
              <w:t>)</w:t>
            </w:r>
          </w:p>
        </w:tc>
        <w:tc>
          <w:tcPr>
            <w:tcW w:w="1559" w:type="dxa"/>
          </w:tcPr>
          <w:p w:rsidR="00072449" w:rsidRPr="003D430B" w:rsidRDefault="00072449" w:rsidP="00072449">
            <w:pPr>
              <w:spacing w:after="0" w:line="240" w:lineRule="auto"/>
              <w:rPr>
                <w:rFonts w:eastAsia="Times New Roman"/>
                <w:color w:val="000000"/>
                <w:sz w:val="22"/>
                <w:szCs w:val="22"/>
              </w:rPr>
            </w:pPr>
            <w:r>
              <w:rPr>
                <w:rFonts w:eastAsia="Times New Roman"/>
                <w:color w:val="000000"/>
                <w:sz w:val="22"/>
                <w:szCs w:val="22"/>
              </w:rPr>
              <w:t>11</w:t>
            </w:r>
            <w:r w:rsidRPr="003D430B">
              <w:rPr>
                <w:rFonts w:eastAsia="Times New Roman"/>
                <w:color w:val="000000"/>
                <w:sz w:val="22"/>
                <w:szCs w:val="22"/>
              </w:rPr>
              <w:t xml:space="preserve"> (</w:t>
            </w:r>
            <w:r>
              <w:rPr>
                <w:rFonts w:eastAsia="Times New Roman"/>
                <w:color w:val="000000"/>
                <w:sz w:val="22"/>
                <w:szCs w:val="22"/>
              </w:rPr>
              <w:t>8-13</w:t>
            </w:r>
            <w:r w:rsidRPr="003D430B">
              <w:rPr>
                <w:rFonts w:eastAsia="Times New Roman"/>
                <w:color w:val="000000"/>
                <w:sz w:val="22"/>
                <w:szCs w:val="22"/>
              </w:rPr>
              <w:t>)</w:t>
            </w:r>
          </w:p>
        </w:tc>
        <w:tc>
          <w:tcPr>
            <w:tcW w:w="912"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&lt; .001</w:t>
            </w:r>
          </w:p>
        </w:tc>
      </w:tr>
      <w:tr w:rsidR="00072449" w:rsidRPr="00415291" w:rsidTr="001A0F1E">
        <w:trPr>
          <w:trHeight w:hRule="exact" w:val="340"/>
        </w:trPr>
        <w:tc>
          <w:tcPr>
            <w:tcW w:w="25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 xml:space="preserve">SDS score for </w:t>
            </w:r>
            <w:r w:rsidR="00EE7A8F">
              <w:rPr>
                <w:rFonts w:eastAsia="Times New Roman"/>
                <w:color w:val="000000"/>
                <w:sz w:val="22"/>
                <w:szCs w:val="22"/>
              </w:rPr>
              <w:t>PDOC</w:t>
            </w:r>
            <w:r>
              <w:rPr>
                <w:rFonts w:eastAsia="Times New Roman"/>
                <w:color w:val="000000"/>
                <w:sz w:val="22"/>
                <w:szCs w:val="22"/>
              </w:rPr>
              <w:t xml:space="preserve"> (</w:t>
            </w:r>
            <w:r w:rsidRPr="003D430B">
              <w:rPr>
                <w:rFonts w:eastAsia="Times New Roman"/>
                <w:color w:val="000000"/>
                <w:sz w:val="22"/>
                <w:szCs w:val="22"/>
              </w:rPr>
              <w:t>&gt; 7</w:t>
            </w:r>
            <w:r>
              <w:rPr>
                <w:rFonts w:eastAsia="Times New Roman"/>
                <w:color w:val="000000"/>
                <w:sz w:val="22"/>
                <w:szCs w:val="22"/>
              </w:rPr>
              <w:t>)</w:t>
            </w:r>
          </w:p>
        </w:tc>
        <w:tc>
          <w:tcPr>
            <w:tcW w:w="1501"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87.8%</w:t>
            </w:r>
          </w:p>
        </w:tc>
        <w:tc>
          <w:tcPr>
            <w:tcW w:w="12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82.</w:t>
            </w:r>
            <w:r w:rsidR="00A522DA">
              <w:rPr>
                <w:rFonts w:eastAsia="Times New Roman"/>
                <w:color w:val="000000"/>
                <w:sz w:val="22"/>
                <w:szCs w:val="22"/>
              </w:rPr>
              <w:t>2</w:t>
            </w:r>
            <w:r w:rsidRPr="003D430B">
              <w:rPr>
                <w:rFonts w:eastAsia="Times New Roman"/>
                <w:color w:val="000000"/>
                <w:sz w:val="22"/>
                <w:szCs w:val="22"/>
              </w:rPr>
              <w:t>%</w:t>
            </w:r>
          </w:p>
        </w:tc>
        <w:tc>
          <w:tcPr>
            <w:tcW w:w="1418"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89.4%</w:t>
            </w:r>
          </w:p>
        </w:tc>
        <w:tc>
          <w:tcPr>
            <w:tcW w:w="1559"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90.4%</w:t>
            </w:r>
          </w:p>
        </w:tc>
        <w:tc>
          <w:tcPr>
            <w:tcW w:w="912" w:type="dxa"/>
          </w:tcPr>
          <w:p w:rsidR="00072449" w:rsidRPr="003D430B" w:rsidRDefault="00072449" w:rsidP="00072449">
            <w:pPr>
              <w:spacing w:after="0" w:line="240" w:lineRule="auto"/>
              <w:rPr>
                <w:rFonts w:eastAsia="Times New Roman"/>
                <w:color w:val="000000"/>
                <w:sz w:val="22"/>
                <w:szCs w:val="22"/>
              </w:rPr>
            </w:pPr>
            <w:r>
              <w:rPr>
                <w:rFonts w:eastAsia="Times New Roman"/>
                <w:color w:val="000000"/>
                <w:sz w:val="22"/>
                <w:szCs w:val="22"/>
              </w:rPr>
              <w:t>&lt;</w:t>
            </w:r>
            <w:r w:rsidRPr="003D430B">
              <w:rPr>
                <w:rFonts w:eastAsia="Times New Roman"/>
                <w:color w:val="000000"/>
                <w:sz w:val="22"/>
                <w:szCs w:val="22"/>
              </w:rPr>
              <w:t xml:space="preserve"> </w:t>
            </w:r>
            <w:r>
              <w:rPr>
                <w:rFonts w:eastAsia="Times New Roman"/>
                <w:color w:val="000000"/>
                <w:sz w:val="22"/>
                <w:szCs w:val="22"/>
              </w:rPr>
              <w:t>.05</w:t>
            </w:r>
          </w:p>
        </w:tc>
      </w:tr>
      <w:tr w:rsidR="00072449" w:rsidRPr="00415291" w:rsidTr="001A0F1E">
        <w:trPr>
          <w:trHeight w:hRule="exact" w:val="567"/>
        </w:trPr>
        <w:tc>
          <w:tcPr>
            <w:tcW w:w="25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 xml:space="preserve">Any secondary </w:t>
            </w:r>
            <w:r>
              <w:rPr>
                <w:rFonts w:eastAsia="Times New Roman"/>
                <w:color w:val="000000"/>
                <w:sz w:val="22"/>
                <w:szCs w:val="22"/>
              </w:rPr>
              <w:t>DOC (excluding tobacco)</w:t>
            </w:r>
          </w:p>
        </w:tc>
        <w:tc>
          <w:tcPr>
            <w:tcW w:w="1501"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51.8%</w:t>
            </w:r>
          </w:p>
        </w:tc>
        <w:tc>
          <w:tcPr>
            <w:tcW w:w="12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47.</w:t>
            </w:r>
            <w:r w:rsidR="002A0656">
              <w:rPr>
                <w:rFonts w:eastAsia="Times New Roman"/>
                <w:color w:val="000000"/>
                <w:sz w:val="22"/>
                <w:szCs w:val="22"/>
              </w:rPr>
              <w:t>4</w:t>
            </w:r>
            <w:r w:rsidRPr="003D430B">
              <w:rPr>
                <w:rFonts w:eastAsia="Times New Roman"/>
                <w:color w:val="000000"/>
                <w:sz w:val="22"/>
                <w:szCs w:val="22"/>
              </w:rPr>
              <w:t>%</w:t>
            </w:r>
          </w:p>
        </w:tc>
        <w:tc>
          <w:tcPr>
            <w:tcW w:w="1418"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46.0%</w:t>
            </w:r>
          </w:p>
        </w:tc>
        <w:tc>
          <w:tcPr>
            <w:tcW w:w="1559"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64.</w:t>
            </w:r>
            <w:r w:rsidR="002A0656">
              <w:rPr>
                <w:rFonts w:eastAsia="Times New Roman"/>
                <w:color w:val="000000"/>
                <w:sz w:val="22"/>
                <w:szCs w:val="22"/>
              </w:rPr>
              <w:t>8</w:t>
            </w:r>
            <w:r w:rsidRPr="003D430B">
              <w:rPr>
                <w:rFonts w:eastAsia="Times New Roman"/>
                <w:color w:val="000000"/>
                <w:sz w:val="22"/>
                <w:szCs w:val="22"/>
              </w:rPr>
              <w:t>%</w:t>
            </w:r>
          </w:p>
        </w:tc>
        <w:tc>
          <w:tcPr>
            <w:tcW w:w="912" w:type="dxa"/>
          </w:tcPr>
          <w:p w:rsidR="00072449" w:rsidRPr="003D430B" w:rsidRDefault="00072449" w:rsidP="00072449">
            <w:pPr>
              <w:spacing w:after="0" w:line="240" w:lineRule="auto"/>
              <w:rPr>
                <w:rFonts w:eastAsia="Times New Roman"/>
                <w:color w:val="000000"/>
                <w:sz w:val="22"/>
                <w:szCs w:val="22"/>
              </w:rPr>
            </w:pPr>
            <w:r>
              <w:rPr>
                <w:rFonts w:eastAsia="Times New Roman"/>
                <w:color w:val="000000"/>
                <w:sz w:val="22"/>
                <w:szCs w:val="22"/>
              </w:rPr>
              <w:t>&lt;</w:t>
            </w:r>
            <w:r w:rsidRPr="003D430B">
              <w:rPr>
                <w:rFonts w:eastAsia="Times New Roman"/>
                <w:color w:val="000000"/>
                <w:sz w:val="22"/>
                <w:szCs w:val="22"/>
              </w:rPr>
              <w:t xml:space="preserve"> .001</w:t>
            </w:r>
          </w:p>
        </w:tc>
      </w:tr>
      <w:tr w:rsidR="00072449" w:rsidRPr="00415291" w:rsidTr="001A0F1E">
        <w:trPr>
          <w:trHeight w:hRule="exact" w:val="340"/>
        </w:trPr>
        <w:tc>
          <w:tcPr>
            <w:tcW w:w="2576" w:type="dxa"/>
          </w:tcPr>
          <w:p w:rsidR="00072449" w:rsidRPr="003D430B" w:rsidRDefault="00072449" w:rsidP="00072449">
            <w:pPr>
              <w:spacing w:after="0" w:line="240" w:lineRule="auto"/>
              <w:rPr>
                <w:rFonts w:eastAsia="Times New Roman"/>
                <w:color w:val="000000"/>
                <w:sz w:val="22"/>
                <w:szCs w:val="22"/>
              </w:rPr>
            </w:pPr>
            <w:r>
              <w:rPr>
                <w:rFonts w:eastAsia="Times New Roman"/>
                <w:color w:val="000000"/>
                <w:sz w:val="22"/>
                <w:szCs w:val="22"/>
              </w:rPr>
              <w:t>Alcohol as DOC</w:t>
            </w:r>
          </w:p>
        </w:tc>
        <w:tc>
          <w:tcPr>
            <w:tcW w:w="1501"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63.1%</w:t>
            </w:r>
          </w:p>
        </w:tc>
        <w:tc>
          <w:tcPr>
            <w:tcW w:w="12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51.6%</w:t>
            </w:r>
          </w:p>
        </w:tc>
        <w:tc>
          <w:tcPr>
            <w:tcW w:w="1418"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70.0%</w:t>
            </w:r>
          </w:p>
        </w:tc>
        <w:tc>
          <w:tcPr>
            <w:tcW w:w="1559"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63.2%</w:t>
            </w:r>
          </w:p>
        </w:tc>
        <w:tc>
          <w:tcPr>
            <w:tcW w:w="912"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&lt; .001</w:t>
            </w:r>
          </w:p>
        </w:tc>
      </w:tr>
      <w:tr w:rsidR="00072449" w:rsidRPr="00BF0C62" w:rsidTr="001A0F1E">
        <w:trPr>
          <w:trHeight w:hRule="exact" w:val="340"/>
        </w:trPr>
        <w:tc>
          <w:tcPr>
            <w:tcW w:w="25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 xml:space="preserve">Benzodiazepines </w:t>
            </w:r>
            <w:r>
              <w:rPr>
                <w:rFonts w:eastAsia="Times New Roman"/>
                <w:color w:val="000000"/>
                <w:sz w:val="22"/>
                <w:szCs w:val="22"/>
              </w:rPr>
              <w:t>as DOC</w:t>
            </w:r>
            <w:r w:rsidRPr="003D430B">
              <w:rPr>
                <w:rFonts w:eastAsia="Times New Roman"/>
                <w:color w:val="000000"/>
                <w:sz w:val="22"/>
                <w:szCs w:val="22"/>
              </w:rPr>
              <w:t xml:space="preserve"> </w:t>
            </w:r>
          </w:p>
        </w:tc>
        <w:tc>
          <w:tcPr>
            <w:tcW w:w="1501"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13.8%</w:t>
            </w:r>
          </w:p>
        </w:tc>
        <w:tc>
          <w:tcPr>
            <w:tcW w:w="12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14.</w:t>
            </w:r>
            <w:r w:rsidR="00034F7A">
              <w:rPr>
                <w:rFonts w:eastAsia="Times New Roman"/>
                <w:color w:val="000000"/>
                <w:sz w:val="22"/>
                <w:szCs w:val="22"/>
              </w:rPr>
              <w:t>6</w:t>
            </w:r>
            <w:r w:rsidRPr="003D430B">
              <w:rPr>
                <w:rFonts w:eastAsia="Times New Roman"/>
                <w:color w:val="000000"/>
                <w:sz w:val="22"/>
                <w:szCs w:val="22"/>
              </w:rPr>
              <w:t>%</w:t>
            </w:r>
          </w:p>
        </w:tc>
        <w:tc>
          <w:tcPr>
            <w:tcW w:w="1418"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10.</w:t>
            </w:r>
            <w:r w:rsidR="00034F7A">
              <w:rPr>
                <w:rFonts w:eastAsia="Times New Roman"/>
                <w:color w:val="000000"/>
                <w:sz w:val="22"/>
                <w:szCs w:val="22"/>
              </w:rPr>
              <w:t>6</w:t>
            </w:r>
            <w:r w:rsidRPr="003D430B">
              <w:rPr>
                <w:rFonts w:eastAsia="Times New Roman"/>
                <w:color w:val="000000"/>
                <w:sz w:val="22"/>
                <w:szCs w:val="22"/>
              </w:rPr>
              <w:t>%</w:t>
            </w:r>
          </w:p>
        </w:tc>
        <w:tc>
          <w:tcPr>
            <w:tcW w:w="1559"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17.</w:t>
            </w:r>
            <w:r w:rsidR="00034F7A">
              <w:rPr>
                <w:rFonts w:eastAsia="Times New Roman"/>
                <w:color w:val="000000"/>
                <w:sz w:val="22"/>
                <w:szCs w:val="22"/>
              </w:rPr>
              <w:t>9</w:t>
            </w:r>
            <w:r w:rsidRPr="003D430B">
              <w:rPr>
                <w:rFonts w:eastAsia="Times New Roman"/>
                <w:color w:val="000000"/>
                <w:sz w:val="22"/>
                <w:szCs w:val="22"/>
              </w:rPr>
              <w:t>%</w:t>
            </w:r>
          </w:p>
        </w:tc>
        <w:tc>
          <w:tcPr>
            <w:tcW w:w="912" w:type="dxa"/>
          </w:tcPr>
          <w:p w:rsidR="00072449" w:rsidRPr="003D430B" w:rsidRDefault="00072449" w:rsidP="00072449">
            <w:pPr>
              <w:spacing w:after="0" w:line="240" w:lineRule="auto"/>
              <w:rPr>
                <w:rFonts w:eastAsia="Times New Roman"/>
                <w:color w:val="000000"/>
                <w:sz w:val="22"/>
                <w:szCs w:val="22"/>
              </w:rPr>
            </w:pPr>
            <w:r>
              <w:rPr>
                <w:rFonts w:eastAsia="Times New Roman"/>
                <w:color w:val="000000"/>
                <w:sz w:val="22"/>
                <w:szCs w:val="22"/>
              </w:rPr>
              <w:t>&lt;</w:t>
            </w:r>
            <w:r w:rsidRPr="003D430B">
              <w:rPr>
                <w:rFonts w:eastAsia="Times New Roman"/>
                <w:color w:val="000000"/>
                <w:sz w:val="22"/>
                <w:szCs w:val="22"/>
              </w:rPr>
              <w:t xml:space="preserve"> .0</w:t>
            </w:r>
            <w:r>
              <w:rPr>
                <w:rFonts w:eastAsia="Times New Roman"/>
                <w:color w:val="000000"/>
                <w:sz w:val="22"/>
                <w:szCs w:val="22"/>
              </w:rPr>
              <w:t>5</w:t>
            </w:r>
          </w:p>
        </w:tc>
      </w:tr>
      <w:tr w:rsidR="00072449" w:rsidRPr="00BF0C62" w:rsidTr="001A0F1E">
        <w:trPr>
          <w:trHeight w:hRule="exact" w:val="340"/>
        </w:trPr>
        <w:tc>
          <w:tcPr>
            <w:tcW w:w="25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Cannabis as</w:t>
            </w:r>
            <w:r>
              <w:rPr>
                <w:rFonts w:eastAsia="Times New Roman"/>
                <w:color w:val="000000"/>
                <w:sz w:val="22"/>
                <w:szCs w:val="22"/>
              </w:rPr>
              <w:t xml:space="preserve"> DOC</w:t>
            </w:r>
          </w:p>
        </w:tc>
        <w:tc>
          <w:tcPr>
            <w:tcW w:w="1501"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38.5%</w:t>
            </w:r>
          </w:p>
        </w:tc>
        <w:tc>
          <w:tcPr>
            <w:tcW w:w="12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37.</w:t>
            </w:r>
            <w:r w:rsidR="002A0656">
              <w:rPr>
                <w:rFonts w:eastAsia="Times New Roman"/>
                <w:color w:val="000000"/>
                <w:sz w:val="22"/>
                <w:szCs w:val="22"/>
              </w:rPr>
              <w:t>6</w:t>
            </w:r>
            <w:r w:rsidRPr="003D430B">
              <w:rPr>
                <w:rFonts w:eastAsia="Times New Roman"/>
                <w:color w:val="000000"/>
                <w:sz w:val="22"/>
                <w:szCs w:val="22"/>
              </w:rPr>
              <w:t>%</w:t>
            </w:r>
          </w:p>
        </w:tc>
        <w:tc>
          <w:tcPr>
            <w:tcW w:w="1418"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37.1%</w:t>
            </w:r>
          </w:p>
        </w:tc>
        <w:tc>
          <w:tcPr>
            <w:tcW w:w="1559"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41.</w:t>
            </w:r>
            <w:r w:rsidR="002A0656">
              <w:rPr>
                <w:rFonts w:eastAsia="Times New Roman"/>
                <w:color w:val="000000"/>
                <w:sz w:val="22"/>
                <w:szCs w:val="22"/>
              </w:rPr>
              <w:t>3</w:t>
            </w:r>
            <w:r w:rsidRPr="003D430B">
              <w:rPr>
                <w:rFonts w:eastAsia="Times New Roman"/>
                <w:color w:val="000000"/>
                <w:sz w:val="22"/>
                <w:szCs w:val="22"/>
              </w:rPr>
              <w:t>%</w:t>
            </w:r>
          </w:p>
        </w:tc>
        <w:tc>
          <w:tcPr>
            <w:tcW w:w="912"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.5</w:t>
            </w:r>
            <w:r w:rsidR="002A0656">
              <w:rPr>
                <w:rFonts w:eastAsia="Times New Roman"/>
                <w:color w:val="000000"/>
                <w:sz w:val="22"/>
                <w:szCs w:val="22"/>
              </w:rPr>
              <w:t>7</w:t>
            </w:r>
          </w:p>
        </w:tc>
      </w:tr>
      <w:tr w:rsidR="00072449" w:rsidRPr="00BF0C62" w:rsidTr="001A0F1E">
        <w:trPr>
          <w:trHeight w:hRule="exact" w:val="567"/>
        </w:trPr>
        <w:tc>
          <w:tcPr>
            <w:tcW w:w="2576" w:type="dxa"/>
          </w:tcPr>
          <w:p w:rsidR="00072449" w:rsidRPr="003D430B" w:rsidRDefault="00087D81" w:rsidP="00072449">
            <w:pPr>
              <w:spacing w:after="0" w:line="240" w:lineRule="auto"/>
              <w:rPr>
                <w:rFonts w:eastAsia="Times New Roman"/>
                <w:color w:val="000000"/>
                <w:sz w:val="22"/>
                <w:szCs w:val="22"/>
              </w:rPr>
            </w:pPr>
            <w:r>
              <w:rPr>
                <w:rFonts w:eastAsia="Times New Roman"/>
                <w:color w:val="000000"/>
                <w:sz w:val="22"/>
                <w:szCs w:val="22"/>
              </w:rPr>
              <w:t>Meth</w:t>
            </w:r>
            <w:r w:rsidR="00E977AF">
              <w:rPr>
                <w:rFonts w:eastAsia="Times New Roman"/>
                <w:color w:val="000000"/>
                <w:sz w:val="22"/>
                <w:szCs w:val="22"/>
              </w:rPr>
              <w:t>/</w:t>
            </w:r>
            <w:r w:rsidR="00B473EE">
              <w:rPr>
                <w:rFonts w:eastAsia="Times New Roman"/>
                <w:color w:val="000000"/>
                <w:sz w:val="22"/>
                <w:szCs w:val="22"/>
              </w:rPr>
              <w:t>amphetamines</w:t>
            </w:r>
            <w:r w:rsidR="00072449" w:rsidRPr="003D430B">
              <w:rPr>
                <w:rFonts w:eastAsia="Times New Roman"/>
                <w:color w:val="000000"/>
                <w:sz w:val="22"/>
                <w:szCs w:val="22"/>
              </w:rPr>
              <w:t xml:space="preserve"> </w:t>
            </w:r>
            <w:r w:rsidR="00072449">
              <w:rPr>
                <w:rFonts w:eastAsia="Times New Roman"/>
                <w:color w:val="000000"/>
                <w:sz w:val="22"/>
                <w:szCs w:val="22"/>
              </w:rPr>
              <w:t>as DOC</w:t>
            </w:r>
            <w:r w:rsidR="00072449" w:rsidRPr="003D430B">
              <w:rPr>
                <w:rFonts w:eastAsia="Times New Roman"/>
                <w:color w:val="000000"/>
                <w:sz w:val="22"/>
                <w:szCs w:val="22"/>
              </w:rPr>
              <w:t xml:space="preserve"> </w:t>
            </w:r>
          </w:p>
        </w:tc>
        <w:tc>
          <w:tcPr>
            <w:tcW w:w="1501"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3</w:t>
            </w:r>
            <w:r w:rsidR="00034F7A">
              <w:rPr>
                <w:rFonts w:eastAsia="Times New Roman"/>
                <w:color w:val="000000"/>
                <w:sz w:val="22"/>
                <w:szCs w:val="22"/>
              </w:rPr>
              <w:t>5</w:t>
            </w:r>
            <w:r w:rsidRPr="003D430B">
              <w:rPr>
                <w:rFonts w:eastAsia="Times New Roman"/>
                <w:color w:val="000000"/>
                <w:sz w:val="22"/>
                <w:szCs w:val="22"/>
              </w:rPr>
              <w:t>.</w:t>
            </w:r>
            <w:r w:rsidR="00034F7A">
              <w:rPr>
                <w:rFonts w:eastAsia="Times New Roman"/>
                <w:color w:val="000000"/>
                <w:sz w:val="22"/>
                <w:szCs w:val="22"/>
              </w:rPr>
              <w:t>0</w:t>
            </w:r>
            <w:r w:rsidRPr="003D430B">
              <w:rPr>
                <w:rFonts w:eastAsia="Times New Roman"/>
                <w:color w:val="000000"/>
                <w:sz w:val="22"/>
                <w:szCs w:val="22"/>
              </w:rPr>
              <w:t>%</w:t>
            </w:r>
          </w:p>
        </w:tc>
        <w:tc>
          <w:tcPr>
            <w:tcW w:w="1276"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29.</w:t>
            </w:r>
            <w:r w:rsidR="00034F7A">
              <w:rPr>
                <w:rFonts w:eastAsia="Times New Roman"/>
                <w:color w:val="000000"/>
                <w:sz w:val="22"/>
                <w:szCs w:val="22"/>
              </w:rPr>
              <w:t>6</w:t>
            </w:r>
            <w:r w:rsidRPr="003D430B">
              <w:rPr>
                <w:rFonts w:eastAsia="Times New Roman"/>
                <w:color w:val="000000"/>
                <w:sz w:val="22"/>
                <w:szCs w:val="22"/>
              </w:rPr>
              <w:t>%</w:t>
            </w:r>
          </w:p>
        </w:tc>
        <w:tc>
          <w:tcPr>
            <w:tcW w:w="1418"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26.3%</w:t>
            </w:r>
          </w:p>
        </w:tc>
        <w:tc>
          <w:tcPr>
            <w:tcW w:w="1559"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53.3%</w:t>
            </w:r>
          </w:p>
        </w:tc>
        <w:tc>
          <w:tcPr>
            <w:tcW w:w="912" w:type="dxa"/>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&lt;</w:t>
            </w:r>
            <w:r>
              <w:rPr>
                <w:rFonts w:eastAsia="Times New Roman"/>
                <w:color w:val="000000"/>
                <w:sz w:val="22"/>
                <w:szCs w:val="22"/>
              </w:rPr>
              <w:t xml:space="preserve"> </w:t>
            </w:r>
            <w:r w:rsidRPr="003D430B">
              <w:rPr>
                <w:rFonts w:eastAsia="Times New Roman"/>
                <w:color w:val="000000"/>
                <w:sz w:val="22"/>
                <w:szCs w:val="22"/>
              </w:rPr>
              <w:t>.001</w:t>
            </w:r>
          </w:p>
        </w:tc>
      </w:tr>
      <w:tr w:rsidR="00072449" w:rsidRPr="00BF0C62" w:rsidTr="001A0F1E">
        <w:trPr>
          <w:trHeight w:hRule="exact" w:val="340"/>
        </w:trPr>
        <w:tc>
          <w:tcPr>
            <w:tcW w:w="2576" w:type="dxa"/>
            <w:tcBorders>
              <w:bottom w:val="single" w:sz="4" w:space="0" w:color="auto"/>
            </w:tcBorders>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 xml:space="preserve">Opioids as </w:t>
            </w:r>
            <w:r>
              <w:rPr>
                <w:rFonts w:eastAsia="Times New Roman"/>
                <w:color w:val="000000"/>
                <w:sz w:val="22"/>
                <w:szCs w:val="22"/>
              </w:rPr>
              <w:t xml:space="preserve">DOC </w:t>
            </w:r>
          </w:p>
        </w:tc>
        <w:tc>
          <w:tcPr>
            <w:tcW w:w="1501" w:type="dxa"/>
            <w:tcBorders>
              <w:bottom w:val="single" w:sz="4" w:space="0" w:color="auto"/>
            </w:tcBorders>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25.5%</w:t>
            </w:r>
          </w:p>
        </w:tc>
        <w:tc>
          <w:tcPr>
            <w:tcW w:w="1276" w:type="dxa"/>
            <w:tcBorders>
              <w:bottom w:val="single" w:sz="4" w:space="0" w:color="auto"/>
            </w:tcBorders>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30.</w:t>
            </w:r>
            <w:r w:rsidR="00034F7A">
              <w:rPr>
                <w:rFonts w:eastAsia="Times New Roman"/>
                <w:color w:val="000000"/>
                <w:sz w:val="22"/>
                <w:szCs w:val="22"/>
              </w:rPr>
              <w:t>5</w:t>
            </w:r>
            <w:r w:rsidRPr="003D430B">
              <w:rPr>
                <w:rFonts w:eastAsia="Times New Roman"/>
                <w:color w:val="000000"/>
                <w:sz w:val="22"/>
                <w:szCs w:val="22"/>
              </w:rPr>
              <w:t>%</w:t>
            </w:r>
          </w:p>
        </w:tc>
        <w:tc>
          <w:tcPr>
            <w:tcW w:w="1418" w:type="dxa"/>
            <w:tcBorders>
              <w:bottom w:val="single" w:sz="4" w:space="0" w:color="auto"/>
            </w:tcBorders>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22.9%</w:t>
            </w:r>
          </w:p>
        </w:tc>
        <w:tc>
          <w:tcPr>
            <w:tcW w:w="1559" w:type="dxa"/>
            <w:tcBorders>
              <w:bottom w:val="single" w:sz="4" w:space="0" w:color="auto"/>
            </w:tcBorders>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24.</w:t>
            </w:r>
            <w:r w:rsidR="00034F7A">
              <w:rPr>
                <w:rFonts w:eastAsia="Times New Roman"/>
                <w:color w:val="000000"/>
                <w:sz w:val="22"/>
                <w:szCs w:val="22"/>
              </w:rPr>
              <w:t>9</w:t>
            </w:r>
            <w:r w:rsidRPr="003D430B">
              <w:rPr>
                <w:rFonts w:eastAsia="Times New Roman"/>
                <w:color w:val="000000"/>
                <w:sz w:val="22"/>
                <w:szCs w:val="22"/>
              </w:rPr>
              <w:t>%</w:t>
            </w:r>
          </w:p>
        </w:tc>
        <w:tc>
          <w:tcPr>
            <w:tcW w:w="912" w:type="dxa"/>
            <w:tcBorders>
              <w:bottom w:val="single" w:sz="4" w:space="0" w:color="auto"/>
            </w:tcBorders>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w:t>
            </w:r>
            <w:r w:rsidR="002A0656">
              <w:rPr>
                <w:rFonts w:eastAsia="Times New Roman"/>
                <w:color w:val="000000"/>
                <w:sz w:val="22"/>
                <w:szCs w:val="22"/>
              </w:rPr>
              <w:t>3</w:t>
            </w:r>
          </w:p>
        </w:tc>
      </w:tr>
    </w:tbl>
    <w:p w:rsidR="001C692B" w:rsidRPr="008E0FD3" w:rsidRDefault="00072449" w:rsidP="008E0FD3">
      <w:pPr>
        <w:spacing w:after="0"/>
        <w:rPr>
          <w:sz w:val="18"/>
        </w:rPr>
      </w:pPr>
      <w:r w:rsidRPr="008E0FD3">
        <w:rPr>
          <w:sz w:val="18"/>
        </w:rPr>
        <w:t xml:space="preserve">DOC= drug of concern, </w:t>
      </w:r>
      <w:r w:rsidR="00EE7A8F" w:rsidRPr="008E0FD3">
        <w:rPr>
          <w:sz w:val="18"/>
        </w:rPr>
        <w:t>PDOC</w:t>
      </w:r>
      <w:r w:rsidRPr="008E0FD3">
        <w:rPr>
          <w:sz w:val="18"/>
        </w:rPr>
        <w:t xml:space="preserve"> =primary drug of concern</w:t>
      </w:r>
    </w:p>
    <w:p w:rsidR="00A733D3" w:rsidRPr="008E0FD3" w:rsidRDefault="00A733D3" w:rsidP="008E0FD3">
      <w:pPr>
        <w:spacing w:after="0"/>
        <w:rPr>
          <w:sz w:val="18"/>
        </w:rPr>
      </w:pPr>
      <w:r w:rsidRPr="008E0FD3">
        <w:rPr>
          <w:sz w:val="18"/>
        </w:rPr>
        <w:t>*Amount of missing data differed between analyses presented in this table, thus ranges given for Ns</w:t>
      </w:r>
    </w:p>
    <w:p w:rsidR="00A733D3" w:rsidRPr="003D430B" w:rsidRDefault="00A733D3" w:rsidP="00072449"/>
    <w:p w:rsidR="00072449" w:rsidRPr="003D430B" w:rsidRDefault="00072449" w:rsidP="00072449">
      <w:pPr>
        <w:keepNext/>
        <w:keepLines/>
        <w:spacing w:before="120" w:after="120" w:line="240" w:lineRule="auto"/>
        <w:outlineLvl w:val="0"/>
        <w:rPr>
          <w:rFonts w:ascii="Cambria" w:eastAsia="SimSun" w:hAnsi="Cambria"/>
          <w:bCs/>
          <w:i/>
          <w:sz w:val="24"/>
          <w:szCs w:val="24"/>
        </w:rPr>
      </w:pPr>
      <w:r w:rsidRPr="003D430B">
        <w:rPr>
          <w:rFonts w:ascii="Cambria" w:eastAsia="SimSun" w:hAnsi="Cambria"/>
          <w:bCs/>
          <w:i/>
          <w:sz w:val="24"/>
          <w:szCs w:val="24"/>
        </w:rPr>
        <w:t>Comparisons with Victorian ADIS data</w:t>
      </w:r>
    </w:p>
    <w:p w:rsidR="00072449" w:rsidRPr="008C7691" w:rsidRDefault="00072449" w:rsidP="00072449">
      <w:pPr>
        <w:pStyle w:val="FAREnormaltext"/>
        <w:rPr>
          <w:rFonts w:asciiTheme="minorHAnsi" w:hAnsiTheme="minorHAnsi"/>
        </w:rPr>
      </w:pPr>
      <w:r w:rsidRPr="008C7691">
        <w:rPr>
          <w:rFonts w:asciiTheme="minorHAnsi" w:hAnsiTheme="minorHAnsi"/>
        </w:rPr>
        <w:t>To examine the degree to which the</w:t>
      </w:r>
      <w:r>
        <w:rPr>
          <w:rFonts w:asciiTheme="minorHAnsi" w:hAnsiTheme="minorHAnsi"/>
        </w:rPr>
        <w:t xml:space="preserve"> Victorian data in the P</w:t>
      </w:r>
      <w:r w:rsidRPr="008C7691">
        <w:rPr>
          <w:rFonts w:asciiTheme="minorHAnsi" w:hAnsiTheme="minorHAnsi"/>
        </w:rPr>
        <w:t xml:space="preserve">atient Pathways sample was representative of the broader treatment population, we compared </w:t>
      </w:r>
      <w:r>
        <w:rPr>
          <w:rFonts w:asciiTheme="minorHAnsi" w:hAnsiTheme="minorHAnsi"/>
        </w:rPr>
        <w:t>information on participant</w:t>
      </w:r>
      <w:r w:rsidRPr="008C7691">
        <w:rPr>
          <w:rFonts w:asciiTheme="minorHAnsi" w:hAnsiTheme="minorHAnsi"/>
        </w:rPr>
        <w:t xml:space="preserve"> characteristics to that from the Victorian Alcohol and Drug Information Service (ADIS) regarding the entire population of clients new to treatment in the past 31 days at any time during the calendar year 2012 (N = 51,289), during which the majority of Pathways recruitment occurred. The Patient Pathways cohort was broadly representative of the Victorian </w:t>
      </w:r>
      <w:r>
        <w:rPr>
          <w:rFonts w:asciiTheme="minorHAnsi" w:hAnsiTheme="minorHAnsi"/>
        </w:rPr>
        <w:t xml:space="preserve">client population as represented in </w:t>
      </w:r>
      <w:r w:rsidRPr="008C7691">
        <w:rPr>
          <w:rFonts w:asciiTheme="minorHAnsi" w:hAnsiTheme="minorHAnsi"/>
        </w:rPr>
        <w:t>ADIS data</w:t>
      </w:r>
      <w:r>
        <w:rPr>
          <w:rFonts w:asciiTheme="minorHAnsi" w:hAnsiTheme="minorHAnsi"/>
        </w:rPr>
        <w:t xml:space="preserve">: </w:t>
      </w:r>
      <w:r w:rsidRPr="008C7691">
        <w:rPr>
          <w:rFonts w:asciiTheme="minorHAnsi" w:hAnsiTheme="minorHAnsi"/>
        </w:rPr>
        <w:t xml:space="preserve">65% </w:t>
      </w:r>
      <w:r>
        <w:rPr>
          <w:rFonts w:asciiTheme="minorHAnsi" w:hAnsiTheme="minorHAnsi"/>
        </w:rPr>
        <w:t xml:space="preserve">of the ADIS </w:t>
      </w:r>
      <w:r w:rsidR="00B05A37">
        <w:rPr>
          <w:rFonts w:asciiTheme="minorHAnsi" w:hAnsiTheme="minorHAnsi"/>
        </w:rPr>
        <w:t xml:space="preserve">sample </w:t>
      </w:r>
      <w:r w:rsidR="00B05A37" w:rsidRPr="008C7691">
        <w:rPr>
          <w:rFonts w:asciiTheme="minorHAnsi" w:hAnsiTheme="minorHAnsi"/>
        </w:rPr>
        <w:t>was</w:t>
      </w:r>
      <w:r w:rsidRPr="008C7691">
        <w:rPr>
          <w:rFonts w:asciiTheme="minorHAnsi" w:hAnsiTheme="minorHAnsi"/>
        </w:rPr>
        <w:t xml:space="preserve"> male</w:t>
      </w:r>
      <w:r>
        <w:rPr>
          <w:rFonts w:asciiTheme="minorHAnsi" w:hAnsiTheme="minorHAnsi"/>
        </w:rPr>
        <w:t xml:space="preserve">, as </w:t>
      </w:r>
      <w:r w:rsidR="00B05A37">
        <w:rPr>
          <w:rFonts w:asciiTheme="minorHAnsi" w:hAnsiTheme="minorHAnsi"/>
        </w:rPr>
        <w:t>was</w:t>
      </w:r>
      <w:r w:rsidR="00B05A37" w:rsidRPr="008C7691">
        <w:rPr>
          <w:rFonts w:asciiTheme="minorHAnsi" w:hAnsiTheme="minorHAnsi"/>
        </w:rPr>
        <w:t xml:space="preserve"> </w:t>
      </w:r>
      <w:r w:rsidRPr="008C7691">
        <w:rPr>
          <w:rFonts w:asciiTheme="minorHAnsi" w:hAnsiTheme="minorHAnsi"/>
        </w:rPr>
        <w:t>64% of the Victoria</w:t>
      </w:r>
      <w:r>
        <w:rPr>
          <w:rFonts w:asciiTheme="minorHAnsi" w:hAnsiTheme="minorHAnsi"/>
        </w:rPr>
        <w:t>n Pathways sample</w:t>
      </w:r>
      <w:r w:rsidRPr="008C7691">
        <w:rPr>
          <w:rFonts w:asciiTheme="minorHAnsi" w:hAnsiTheme="minorHAnsi"/>
        </w:rPr>
        <w:t xml:space="preserve">. A similar trend was seen in the age categories between the Patient Pathways cohort and ADIS data, with the highest proportion being in the 20-29 and 30-39 age </w:t>
      </w:r>
      <w:r>
        <w:rPr>
          <w:rFonts w:asciiTheme="minorHAnsi" w:hAnsiTheme="minorHAnsi"/>
        </w:rPr>
        <w:t>categories</w:t>
      </w:r>
      <w:r w:rsidRPr="008C7691">
        <w:rPr>
          <w:rFonts w:asciiTheme="minorHAnsi" w:hAnsiTheme="minorHAnsi"/>
        </w:rPr>
        <w:t xml:space="preserve">, followed by clients aged 40-49 years. ADIS data </w:t>
      </w:r>
      <w:r>
        <w:rPr>
          <w:rFonts w:asciiTheme="minorHAnsi" w:hAnsiTheme="minorHAnsi"/>
        </w:rPr>
        <w:t>was</w:t>
      </w:r>
      <w:r w:rsidRPr="008C7691">
        <w:rPr>
          <w:rFonts w:asciiTheme="minorHAnsi" w:hAnsiTheme="minorHAnsi"/>
        </w:rPr>
        <w:t xml:space="preserve"> comprised of more clients aged 19 or below</w:t>
      </w:r>
      <w:r>
        <w:rPr>
          <w:rFonts w:asciiTheme="minorHAnsi" w:hAnsiTheme="minorHAnsi"/>
        </w:rPr>
        <w:t>.</w:t>
      </w:r>
      <w:r w:rsidRPr="008C7691">
        <w:rPr>
          <w:rFonts w:asciiTheme="minorHAnsi" w:hAnsiTheme="minorHAnsi"/>
        </w:rPr>
        <w:t xml:space="preserve"> </w:t>
      </w:r>
      <w:r>
        <w:rPr>
          <w:rFonts w:asciiTheme="minorHAnsi" w:hAnsiTheme="minorHAnsi"/>
        </w:rPr>
        <w:t>H</w:t>
      </w:r>
      <w:r w:rsidRPr="008C7691">
        <w:rPr>
          <w:rFonts w:asciiTheme="minorHAnsi" w:hAnsiTheme="minorHAnsi"/>
        </w:rPr>
        <w:t>owever this is due to the inclusion criteria (age 18 or abov</w:t>
      </w:r>
      <w:r>
        <w:rPr>
          <w:rFonts w:asciiTheme="minorHAnsi" w:hAnsiTheme="minorHAnsi"/>
        </w:rPr>
        <w:t xml:space="preserve">e) adopted in the current </w:t>
      </w:r>
      <w:r w:rsidRPr="008C7691">
        <w:rPr>
          <w:rFonts w:asciiTheme="minorHAnsi" w:hAnsiTheme="minorHAnsi"/>
        </w:rPr>
        <w:t>study.</w:t>
      </w:r>
    </w:p>
    <w:p w:rsidR="00072449" w:rsidRPr="0078600D" w:rsidRDefault="00072449" w:rsidP="00072449">
      <w:pPr>
        <w:pStyle w:val="FAREtableheading"/>
      </w:pPr>
      <w:bookmarkStart w:id="99" w:name="_Toc398105066"/>
      <w:proofErr w:type="gramStart"/>
      <w:r w:rsidRPr="0078600D">
        <w:lastRenderedPageBreak/>
        <w:t xml:space="preserve">Table </w:t>
      </w:r>
      <w:r w:rsidR="00BE3D19" w:rsidRPr="0078600D">
        <w:fldChar w:fldCharType="begin"/>
      </w:r>
      <w:r w:rsidRPr="0078600D">
        <w:instrText xml:space="preserve"> STYLEREF 1 \s </w:instrText>
      </w:r>
      <w:r w:rsidR="00BE3D19" w:rsidRPr="0078600D">
        <w:fldChar w:fldCharType="separate"/>
      </w:r>
      <w:r w:rsidR="00E150CA">
        <w:rPr>
          <w:noProof/>
        </w:rPr>
        <w:t>3</w:t>
      </w:r>
      <w:r w:rsidR="00BE3D19" w:rsidRPr="0078600D">
        <w:fldChar w:fldCharType="end"/>
      </w:r>
      <w:r w:rsidRPr="0078600D">
        <w:t>.</w:t>
      </w:r>
      <w:proofErr w:type="gramEnd"/>
      <w:r w:rsidR="00BE3D19" w:rsidRPr="0078600D">
        <w:fldChar w:fldCharType="begin"/>
      </w:r>
      <w:r w:rsidRPr="0078600D">
        <w:instrText xml:space="preserve"> SEQ Table \* ARABIC \s 1 </w:instrText>
      </w:r>
      <w:r w:rsidR="00BE3D19" w:rsidRPr="0078600D">
        <w:fldChar w:fldCharType="separate"/>
      </w:r>
      <w:r w:rsidR="00E150CA">
        <w:rPr>
          <w:noProof/>
        </w:rPr>
        <w:t>4</w:t>
      </w:r>
      <w:r w:rsidR="00BE3D19" w:rsidRPr="0078600D">
        <w:fldChar w:fldCharType="end"/>
      </w:r>
      <w:r w:rsidRPr="0078600D">
        <w:t xml:space="preserve">  </w:t>
      </w:r>
      <w:r>
        <w:t>Age comparison of Pathways sample and Victorian new-to-treatment population</w:t>
      </w:r>
      <w:bookmarkEnd w:id="99"/>
      <w:r w:rsidRPr="0078600D">
        <w:t xml:space="preserve"> </w:t>
      </w:r>
    </w:p>
    <w:tbl>
      <w:tblPr>
        <w:tblStyle w:val="TableGrid"/>
        <w:tblW w:w="5000" w:type="pct"/>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Caption w:val="Table 3.4  Age comparison of Pathways sample and Victorian new-to-treatment population "/>
        <w:tblDescription w:val="Table 3.4  Age comparison of Pathways sample and Victorian new-to-treatment population "/>
      </w:tblPr>
      <w:tblGrid>
        <w:gridCol w:w="2376"/>
        <w:gridCol w:w="3678"/>
        <w:gridCol w:w="3188"/>
      </w:tblGrid>
      <w:tr w:rsidR="00072449" w:rsidRPr="00415291" w:rsidTr="00046CCA">
        <w:trPr>
          <w:trHeight w:hRule="exact" w:val="567"/>
          <w:tblHeader/>
        </w:trPr>
        <w:tc>
          <w:tcPr>
            <w:tcW w:w="1285" w:type="pct"/>
            <w:tcBorders>
              <w:top w:val="single" w:sz="4" w:space="0" w:color="auto"/>
              <w:bottom w:val="single" w:sz="4" w:space="0" w:color="auto"/>
            </w:tcBorders>
          </w:tcPr>
          <w:p w:rsidR="00072449" w:rsidRPr="003D430B" w:rsidRDefault="00072449" w:rsidP="00072449">
            <w:pPr>
              <w:spacing w:after="0" w:line="240" w:lineRule="auto"/>
              <w:rPr>
                <w:rFonts w:eastAsia="Times New Roman"/>
                <w:b/>
                <w:bCs/>
                <w:color w:val="000000"/>
                <w:sz w:val="22"/>
                <w:szCs w:val="22"/>
                <w:lang w:eastAsia="zh-CN"/>
              </w:rPr>
            </w:pPr>
            <w:r w:rsidRPr="003D430B">
              <w:rPr>
                <w:rFonts w:eastAsia="Times New Roman"/>
                <w:b/>
                <w:bCs/>
                <w:color w:val="000000"/>
                <w:sz w:val="22"/>
                <w:szCs w:val="22"/>
                <w:lang w:eastAsia="zh-CN"/>
              </w:rPr>
              <w:t>Age category</w:t>
            </w:r>
          </w:p>
        </w:tc>
        <w:tc>
          <w:tcPr>
            <w:tcW w:w="1990" w:type="pct"/>
            <w:tcBorders>
              <w:top w:val="single" w:sz="4" w:space="0" w:color="auto"/>
              <w:bottom w:val="single" w:sz="4" w:space="0" w:color="auto"/>
            </w:tcBorders>
          </w:tcPr>
          <w:p w:rsidR="00072449" w:rsidRPr="003D430B" w:rsidRDefault="00072449" w:rsidP="00561263">
            <w:pPr>
              <w:spacing w:after="0" w:line="240" w:lineRule="auto"/>
              <w:jc w:val="center"/>
              <w:rPr>
                <w:rFonts w:eastAsia="Times New Roman"/>
                <w:b/>
                <w:bCs/>
                <w:color w:val="000000"/>
                <w:sz w:val="22"/>
                <w:szCs w:val="22"/>
                <w:lang w:eastAsia="zh-CN"/>
              </w:rPr>
            </w:pPr>
            <w:r w:rsidRPr="003D430B">
              <w:rPr>
                <w:rFonts w:eastAsia="Times New Roman"/>
                <w:b/>
                <w:bCs/>
                <w:color w:val="000000"/>
                <w:sz w:val="22"/>
                <w:szCs w:val="22"/>
                <w:lang w:eastAsia="zh-CN"/>
              </w:rPr>
              <w:t>Whole Victorian new-to-treatment population in 2012</w:t>
            </w:r>
            <w:r w:rsidR="004453F1">
              <w:rPr>
                <w:rFonts w:eastAsia="Times New Roman"/>
                <w:b/>
                <w:bCs/>
                <w:color w:val="000000"/>
                <w:sz w:val="22"/>
                <w:szCs w:val="22"/>
                <w:lang w:eastAsia="zh-CN"/>
              </w:rPr>
              <w:t xml:space="preserve"> (%)</w:t>
            </w:r>
          </w:p>
        </w:tc>
        <w:tc>
          <w:tcPr>
            <w:tcW w:w="1725" w:type="pct"/>
            <w:tcBorders>
              <w:top w:val="single" w:sz="4" w:space="0" w:color="auto"/>
              <w:bottom w:val="single" w:sz="4" w:space="0" w:color="auto"/>
            </w:tcBorders>
          </w:tcPr>
          <w:p w:rsidR="00072449" w:rsidRPr="003D430B" w:rsidRDefault="00072449" w:rsidP="00561263">
            <w:pPr>
              <w:spacing w:after="0" w:line="240" w:lineRule="auto"/>
              <w:jc w:val="center"/>
              <w:rPr>
                <w:rFonts w:eastAsia="Times New Roman"/>
                <w:b/>
                <w:bCs/>
                <w:color w:val="000000"/>
                <w:sz w:val="22"/>
                <w:szCs w:val="22"/>
                <w:lang w:eastAsia="zh-CN"/>
              </w:rPr>
            </w:pPr>
            <w:r w:rsidRPr="003D430B">
              <w:rPr>
                <w:rFonts w:eastAsia="Times New Roman"/>
                <w:b/>
                <w:bCs/>
                <w:color w:val="000000"/>
                <w:sz w:val="22"/>
                <w:szCs w:val="22"/>
                <w:lang w:eastAsia="zh-CN"/>
              </w:rPr>
              <w:t>Victorian Pathways sample</w:t>
            </w:r>
            <w:r w:rsidR="004453F1">
              <w:rPr>
                <w:rFonts w:eastAsia="Times New Roman"/>
                <w:b/>
                <w:bCs/>
                <w:color w:val="000000"/>
                <w:sz w:val="22"/>
                <w:szCs w:val="22"/>
                <w:lang w:eastAsia="zh-CN"/>
              </w:rPr>
              <w:t xml:space="preserve"> (%)</w:t>
            </w:r>
          </w:p>
        </w:tc>
      </w:tr>
      <w:tr w:rsidR="00072449" w:rsidRPr="00415291" w:rsidTr="001A0F1E">
        <w:trPr>
          <w:trHeight w:hRule="exact" w:val="340"/>
        </w:trPr>
        <w:tc>
          <w:tcPr>
            <w:tcW w:w="1285" w:type="pct"/>
            <w:tcBorders>
              <w:top w:val="single" w:sz="4" w:space="0" w:color="auto"/>
            </w:tcBorders>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10-14</w:t>
            </w:r>
            <w:r>
              <w:rPr>
                <w:rFonts w:eastAsia="Times New Roman"/>
                <w:color w:val="000000"/>
                <w:sz w:val="22"/>
                <w:szCs w:val="22"/>
              </w:rPr>
              <w:t>*</w:t>
            </w:r>
          </w:p>
        </w:tc>
        <w:tc>
          <w:tcPr>
            <w:tcW w:w="1990" w:type="pct"/>
            <w:tcBorders>
              <w:top w:val="single" w:sz="4" w:space="0" w:color="auto"/>
            </w:tcBorders>
          </w:tcPr>
          <w:p w:rsidR="00072449" w:rsidRPr="003D430B" w:rsidRDefault="00072449" w:rsidP="00072449">
            <w:pPr>
              <w:spacing w:after="0" w:line="240" w:lineRule="auto"/>
              <w:jc w:val="center"/>
              <w:rPr>
                <w:rFonts w:eastAsia="Times New Roman"/>
                <w:color w:val="000000"/>
                <w:sz w:val="22"/>
                <w:szCs w:val="22"/>
              </w:rPr>
            </w:pPr>
            <w:r w:rsidRPr="003D430B">
              <w:rPr>
                <w:rFonts w:eastAsia="Times New Roman"/>
                <w:color w:val="000000"/>
                <w:sz w:val="22"/>
                <w:szCs w:val="22"/>
              </w:rPr>
              <w:t>1.6</w:t>
            </w:r>
          </w:p>
        </w:tc>
        <w:tc>
          <w:tcPr>
            <w:tcW w:w="1725" w:type="pct"/>
            <w:tcBorders>
              <w:top w:val="single" w:sz="4" w:space="0" w:color="auto"/>
            </w:tcBorders>
          </w:tcPr>
          <w:p w:rsidR="00072449" w:rsidRPr="003D430B" w:rsidRDefault="00072449" w:rsidP="00072449">
            <w:pPr>
              <w:spacing w:after="0" w:line="240" w:lineRule="auto"/>
              <w:jc w:val="center"/>
              <w:rPr>
                <w:rFonts w:eastAsia="Times New Roman"/>
                <w:color w:val="000000"/>
                <w:sz w:val="22"/>
                <w:szCs w:val="22"/>
              </w:rPr>
            </w:pPr>
            <w:proofErr w:type="spellStart"/>
            <w:r w:rsidRPr="003D430B">
              <w:rPr>
                <w:rFonts w:eastAsia="Times New Roman"/>
                <w:color w:val="000000"/>
                <w:sz w:val="22"/>
                <w:szCs w:val="22"/>
              </w:rPr>
              <w:t>n.a</w:t>
            </w:r>
            <w:proofErr w:type="spellEnd"/>
            <w:r w:rsidRPr="003D430B">
              <w:rPr>
                <w:rFonts w:eastAsia="Times New Roman"/>
                <w:color w:val="000000"/>
                <w:sz w:val="22"/>
                <w:szCs w:val="22"/>
              </w:rPr>
              <w:t>.</w:t>
            </w:r>
          </w:p>
        </w:tc>
      </w:tr>
      <w:tr w:rsidR="00072449" w:rsidRPr="00415291" w:rsidTr="001A0F1E">
        <w:trPr>
          <w:trHeight w:hRule="exact" w:val="340"/>
        </w:trPr>
        <w:tc>
          <w:tcPr>
            <w:tcW w:w="1285" w:type="pct"/>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15-19*</w:t>
            </w:r>
          </w:p>
        </w:tc>
        <w:tc>
          <w:tcPr>
            <w:tcW w:w="1990" w:type="pct"/>
          </w:tcPr>
          <w:p w:rsidR="00072449" w:rsidRPr="003D430B" w:rsidRDefault="00072449" w:rsidP="00072449">
            <w:pPr>
              <w:spacing w:after="0" w:line="240" w:lineRule="auto"/>
              <w:jc w:val="center"/>
              <w:rPr>
                <w:rFonts w:eastAsia="Times New Roman"/>
                <w:color w:val="000000"/>
                <w:sz w:val="22"/>
                <w:szCs w:val="22"/>
              </w:rPr>
            </w:pPr>
            <w:r w:rsidRPr="003D430B">
              <w:rPr>
                <w:rFonts w:eastAsia="Times New Roman"/>
                <w:color w:val="000000"/>
                <w:sz w:val="22"/>
                <w:szCs w:val="22"/>
              </w:rPr>
              <w:t>12.3</w:t>
            </w:r>
          </w:p>
        </w:tc>
        <w:tc>
          <w:tcPr>
            <w:tcW w:w="1725" w:type="pct"/>
          </w:tcPr>
          <w:p w:rsidR="00072449" w:rsidRPr="003D430B" w:rsidRDefault="00072449" w:rsidP="00072449">
            <w:pPr>
              <w:spacing w:after="0" w:line="240" w:lineRule="auto"/>
              <w:jc w:val="center"/>
              <w:rPr>
                <w:rFonts w:eastAsia="Times New Roman"/>
                <w:color w:val="000000"/>
                <w:sz w:val="22"/>
                <w:szCs w:val="22"/>
              </w:rPr>
            </w:pPr>
            <w:r w:rsidRPr="003D430B">
              <w:rPr>
                <w:rFonts w:eastAsia="Times New Roman"/>
                <w:color w:val="000000"/>
                <w:sz w:val="22"/>
                <w:szCs w:val="22"/>
              </w:rPr>
              <w:t>2.2</w:t>
            </w:r>
          </w:p>
        </w:tc>
      </w:tr>
      <w:tr w:rsidR="00072449" w:rsidRPr="00415291" w:rsidTr="001A0F1E">
        <w:trPr>
          <w:trHeight w:hRule="exact" w:val="340"/>
        </w:trPr>
        <w:tc>
          <w:tcPr>
            <w:tcW w:w="1285" w:type="pct"/>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20-29</w:t>
            </w:r>
          </w:p>
        </w:tc>
        <w:tc>
          <w:tcPr>
            <w:tcW w:w="1990" w:type="pct"/>
          </w:tcPr>
          <w:p w:rsidR="00072449" w:rsidRPr="003D430B" w:rsidRDefault="00072449" w:rsidP="00072449">
            <w:pPr>
              <w:spacing w:after="0" w:line="240" w:lineRule="auto"/>
              <w:jc w:val="center"/>
              <w:rPr>
                <w:rFonts w:eastAsia="Times New Roman"/>
                <w:color w:val="000000"/>
                <w:sz w:val="22"/>
                <w:szCs w:val="22"/>
              </w:rPr>
            </w:pPr>
            <w:r w:rsidRPr="003D430B">
              <w:rPr>
                <w:rFonts w:eastAsia="Times New Roman"/>
                <w:color w:val="000000"/>
                <w:sz w:val="22"/>
                <w:szCs w:val="22"/>
              </w:rPr>
              <w:t>28.3</w:t>
            </w:r>
          </w:p>
        </w:tc>
        <w:tc>
          <w:tcPr>
            <w:tcW w:w="1725" w:type="pct"/>
          </w:tcPr>
          <w:p w:rsidR="00072449" w:rsidRPr="003D430B" w:rsidRDefault="00072449" w:rsidP="00072449">
            <w:pPr>
              <w:spacing w:after="0" w:line="240" w:lineRule="auto"/>
              <w:jc w:val="center"/>
              <w:rPr>
                <w:rFonts w:eastAsia="Times New Roman"/>
                <w:color w:val="000000"/>
                <w:sz w:val="22"/>
                <w:szCs w:val="22"/>
              </w:rPr>
            </w:pPr>
            <w:r w:rsidRPr="003D430B">
              <w:rPr>
                <w:rFonts w:eastAsia="Times New Roman"/>
                <w:color w:val="000000"/>
                <w:sz w:val="22"/>
                <w:szCs w:val="22"/>
              </w:rPr>
              <w:t>30.9</w:t>
            </w:r>
          </w:p>
        </w:tc>
      </w:tr>
      <w:tr w:rsidR="00072449" w:rsidRPr="00415291" w:rsidTr="001A0F1E">
        <w:trPr>
          <w:trHeight w:hRule="exact" w:val="340"/>
        </w:trPr>
        <w:tc>
          <w:tcPr>
            <w:tcW w:w="1285" w:type="pct"/>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30-39</w:t>
            </w:r>
          </w:p>
        </w:tc>
        <w:tc>
          <w:tcPr>
            <w:tcW w:w="1990" w:type="pct"/>
          </w:tcPr>
          <w:p w:rsidR="00072449" w:rsidRPr="003D430B" w:rsidRDefault="00072449" w:rsidP="00072449">
            <w:pPr>
              <w:spacing w:after="0" w:line="240" w:lineRule="auto"/>
              <w:jc w:val="center"/>
              <w:rPr>
                <w:rFonts w:eastAsia="Times New Roman"/>
                <w:color w:val="000000"/>
                <w:sz w:val="22"/>
                <w:szCs w:val="22"/>
              </w:rPr>
            </w:pPr>
            <w:r w:rsidRPr="003D430B">
              <w:rPr>
                <w:rFonts w:eastAsia="Times New Roman"/>
                <w:color w:val="000000"/>
                <w:sz w:val="22"/>
                <w:szCs w:val="22"/>
              </w:rPr>
              <w:t>26.6</w:t>
            </w:r>
          </w:p>
        </w:tc>
        <w:tc>
          <w:tcPr>
            <w:tcW w:w="1725" w:type="pct"/>
          </w:tcPr>
          <w:p w:rsidR="00072449" w:rsidRPr="003D430B" w:rsidRDefault="00072449" w:rsidP="00072449">
            <w:pPr>
              <w:spacing w:after="0" w:line="240" w:lineRule="auto"/>
              <w:jc w:val="center"/>
              <w:rPr>
                <w:rFonts w:eastAsia="Times New Roman"/>
                <w:color w:val="000000"/>
                <w:sz w:val="22"/>
                <w:szCs w:val="22"/>
              </w:rPr>
            </w:pPr>
            <w:r w:rsidRPr="003D430B">
              <w:rPr>
                <w:rFonts w:eastAsia="Times New Roman"/>
                <w:color w:val="000000"/>
                <w:sz w:val="22"/>
                <w:szCs w:val="22"/>
              </w:rPr>
              <w:t>31.7</w:t>
            </w:r>
          </w:p>
        </w:tc>
      </w:tr>
      <w:tr w:rsidR="00072449" w:rsidRPr="00415291" w:rsidTr="001A0F1E">
        <w:trPr>
          <w:trHeight w:hRule="exact" w:val="340"/>
        </w:trPr>
        <w:tc>
          <w:tcPr>
            <w:tcW w:w="1285" w:type="pct"/>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40-49</w:t>
            </w:r>
          </w:p>
        </w:tc>
        <w:tc>
          <w:tcPr>
            <w:tcW w:w="1990" w:type="pct"/>
          </w:tcPr>
          <w:p w:rsidR="00072449" w:rsidRPr="003D430B" w:rsidRDefault="00072449" w:rsidP="00072449">
            <w:pPr>
              <w:spacing w:after="0" w:line="240" w:lineRule="auto"/>
              <w:jc w:val="center"/>
              <w:rPr>
                <w:rFonts w:eastAsia="Times New Roman"/>
                <w:color w:val="000000"/>
                <w:sz w:val="22"/>
                <w:szCs w:val="22"/>
              </w:rPr>
            </w:pPr>
            <w:r w:rsidRPr="003D430B">
              <w:rPr>
                <w:rFonts w:eastAsia="Times New Roman"/>
                <w:color w:val="000000"/>
                <w:sz w:val="22"/>
                <w:szCs w:val="22"/>
              </w:rPr>
              <w:t>19.1</w:t>
            </w:r>
          </w:p>
        </w:tc>
        <w:tc>
          <w:tcPr>
            <w:tcW w:w="1725" w:type="pct"/>
          </w:tcPr>
          <w:p w:rsidR="00072449" w:rsidRPr="003D430B" w:rsidRDefault="00072449" w:rsidP="00072449">
            <w:pPr>
              <w:spacing w:after="0" w:line="240" w:lineRule="auto"/>
              <w:jc w:val="center"/>
              <w:rPr>
                <w:rFonts w:eastAsia="Times New Roman"/>
                <w:color w:val="000000"/>
                <w:sz w:val="22"/>
                <w:szCs w:val="22"/>
              </w:rPr>
            </w:pPr>
            <w:r w:rsidRPr="003D430B">
              <w:rPr>
                <w:rFonts w:eastAsia="Times New Roman"/>
                <w:color w:val="000000"/>
                <w:sz w:val="22"/>
                <w:szCs w:val="22"/>
              </w:rPr>
              <w:t>23.0</w:t>
            </w:r>
          </w:p>
        </w:tc>
      </w:tr>
      <w:tr w:rsidR="00072449" w:rsidRPr="00415291" w:rsidTr="001A0F1E">
        <w:trPr>
          <w:trHeight w:hRule="exact" w:val="340"/>
        </w:trPr>
        <w:tc>
          <w:tcPr>
            <w:tcW w:w="1285" w:type="pct"/>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50-59</w:t>
            </w:r>
          </w:p>
        </w:tc>
        <w:tc>
          <w:tcPr>
            <w:tcW w:w="1990" w:type="pct"/>
          </w:tcPr>
          <w:p w:rsidR="00072449" w:rsidRPr="003D430B" w:rsidRDefault="00072449" w:rsidP="00072449">
            <w:pPr>
              <w:spacing w:after="0" w:line="240" w:lineRule="auto"/>
              <w:jc w:val="center"/>
              <w:rPr>
                <w:rFonts w:eastAsia="Times New Roman"/>
                <w:color w:val="000000"/>
                <w:sz w:val="22"/>
                <w:szCs w:val="22"/>
              </w:rPr>
            </w:pPr>
            <w:r w:rsidRPr="003D430B">
              <w:rPr>
                <w:rFonts w:eastAsia="Times New Roman"/>
                <w:color w:val="000000"/>
                <w:sz w:val="22"/>
                <w:szCs w:val="22"/>
              </w:rPr>
              <w:t>8.5</w:t>
            </w:r>
          </w:p>
        </w:tc>
        <w:tc>
          <w:tcPr>
            <w:tcW w:w="1725" w:type="pct"/>
          </w:tcPr>
          <w:p w:rsidR="00072449" w:rsidRPr="003D430B" w:rsidRDefault="00072449" w:rsidP="00072449">
            <w:pPr>
              <w:spacing w:after="0" w:line="240" w:lineRule="auto"/>
              <w:jc w:val="center"/>
              <w:rPr>
                <w:rFonts w:eastAsia="Times New Roman"/>
                <w:color w:val="000000"/>
                <w:sz w:val="22"/>
                <w:szCs w:val="22"/>
              </w:rPr>
            </w:pPr>
            <w:r w:rsidRPr="003D430B">
              <w:rPr>
                <w:rFonts w:eastAsia="Times New Roman"/>
                <w:color w:val="000000"/>
                <w:sz w:val="22"/>
                <w:szCs w:val="22"/>
              </w:rPr>
              <w:t>9.9</w:t>
            </w:r>
          </w:p>
        </w:tc>
      </w:tr>
      <w:tr w:rsidR="00072449" w:rsidRPr="00415291" w:rsidTr="001A0F1E">
        <w:trPr>
          <w:trHeight w:hRule="exact" w:val="340"/>
        </w:trPr>
        <w:tc>
          <w:tcPr>
            <w:tcW w:w="1285" w:type="pct"/>
          </w:tcPr>
          <w:p w:rsidR="00072449" w:rsidRPr="003D430B" w:rsidRDefault="00072449" w:rsidP="00072449">
            <w:pPr>
              <w:spacing w:after="0" w:line="240" w:lineRule="auto"/>
              <w:rPr>
                <w:rFonts w:eastAsia="Times New Roman"/>
                <w:color w:val="000000"/>
                <w:sz w:val="22"/>
                <w:szCs w:val="22"/>
              </w:rPr>
            </w:pPr>
            <w:r w:rsidRPr="003D430B">
              <w:rPr>
                <w:rFonts w:eastAsia="Times New Roman"/>
                <w:color w:val="000000"/>
                <w:sz w:val="22"/>
                <w:szCs w:val="22"/>
              </w:rPr>
              <w:t>60+</w:t>
            </w:r>
          </w:p>
        </w:tc>
        <w:tc>
          <w:tcPr>
            <w:tcW w:w="1990" w:type="pct"/>
          </w:tcPr>
          <w:p w:rsidR="00072449" w:rsidRPr="003D430B" w:rsidRDefault="00072449" w:rsidP="00072449">
            <w:pPr>
              <w:spacing w:after="0" w:line="240" w:lineRule="auto"/>
              <w:jc w:val="center"/>
              <w:rPr>
                <w:rFonts w:eastAsia="Times New Roman"/>
                <w:color w:val="000000"/>
                <w:sz w:val="22"/>
                <w:szCs w:val="22"/>
              </w:rPr>
            </w:pPr>
            <w:r w:rsidRPr="003D430B">
              <w:rPr>
                <w:rFonts w:eastAsia="Times New Roman"/>
                <w:color w:val="000000"/>
                <w:sz w:val="22"/>
                <w:szCs w:val="22"/>
              </w:rPr>
              <w:t>3.6</w:t>
            </w:r>
          </w:p>
        </w:tc>
        <w:tc>
          <w:tcPr>
            <w:tcW w:w="1725" w:type="pct"/>
          </w:tcPr>
          <w:p w:rsidR="00072449" w:rsidRPr="003D430B" w:rsidRDefault="00072449" w:rsidP="00072449">
            <w:pPr>
              <w:spacing w:after="0" w:line="240" w:lineRule="auto"/>
              <w:jc w:val="center"/>
              <w:rPr>
                <w:rFonts w:eastAsia="Times New Roman"/>
                <w:color w:val="000000"/>
                <w:sz w:val="22"/>
                <w:szCs w:val="22"/>
              </w:rPr>
            </w:pPr>
            <w:r w:rsidRPr="003D430B">
              <w:rPr>
                <w:rFonts w:eastAsia="Times New Roman"/>
                <w:color w:val="000000"/>
                <w:sz w:val="22"/>
                <w:szCs w:val="22"/>
              </w:rPr>
              <w:t>2.2</w:t>
            </w:r>
          </w:p>
        </w:tc>
      </w:tr>
    </w:tbl>
    <w:p w:rsidR="00072449" w:rsidRPr="007A4CA5" w:rsidRDefault="00072449" w:rsidP="007A4CA5">
      <w:pPr>
        <w:spacing w:after="0"/>
        <w:rPr>
          <w:sz w:val="18"/>
        </w:rPr>
      </w:pPr>
      <w:r w:rsidRPr="008E0FD3">
        <w:rPr>
          <w:sz w:val="18"/>
        </w:rPr>
        <w:t>*Pathways sample only contains participants aged 18+</w:t>
      </w:r>
    </w:p>
    <w:p w:rsidR="00072449" w:rsidRPr="0078600D" w:rsidRDefault="00072449" w:rsidP="0034684A">
      <w:pPr>
        <w:pStyle w:val="FAREH3"/>
      </w:pPr>
      <w:r w:rsidRPr="0078600D">
        <w:t>Treatment goals</w:t>
      </w:r>
    </w:p>
    <w:p w:rsidR="00072449" w:rsidRPr="00E63703" w:rsidRDefault="00072449" w:rsidP="00072449">
      <w:pPr>
        <w:pStyle w:val="FAREnormaltext"/>
      </w:pPr>
      <w:r w:rsidRPr="00E63703">
        <w:t xml:space="preserve">Participants were asked to choose one of four treatment goals related to their alcohol use and one of </w:t>
      </w:r>
      <w:r>
        <w:t>five</w:t>
      </w:r>
      <w:r w:rsidRPr="00E63703">
        <w:t xml:space="preserve"> treatment goals related to other drug use. For the purpose of analysing responses related to alcohol, only participants who nominated alcohol as either a primary or secondary </w:t>
      </w:r>
      <w:r>
        <w:t>drug</w:t>
      </w:r>
      <w:r w:rsidRPr="00E63703">
        <w:t xml:space="preserve"> of concern (n = 49</w:t>
      </w:r>
      <w:r w:rsidR="00B05A37">
        <w:t>8</w:t>
      </w:r>
      <w:r w:rsidRPr="00E63703">
        <w:t xml:space="preserve">) were included. Proportions who endorsed each goal are shown in Figure 3.2. </w:t>
      </w:r>
      <w:r>
        <w:t xml:space="preserve">Complete cessation of </w:t>
      </w:r>
      <w:r w:rsidR="00AC2FC1">
        <w:t xml:space="preserve">alcohol </w:t>
      </w:r>
      <w:r>
        <w:t xml:space="preserve">use was the motive for treatment endorsed by the majority of participants in withdrawal and residential services and the most common motive in outpatient services. </w:t>
      </w:r>
      <w:r w:rsidRPr="00E63703">
        <w:t>Outpatient</w:t>
      </w:r>
      <w:r>
        <w:t xml:space="preserve"> participants</w:t>
      </w:r>
      <w:r w:rsidRPr="00E63703">
        <w:t xml:space="preserve"> who had nominated alcohol as a drug of concern were less likely than other groups to endorse complete abstinence as a goal, and more likely to endorse reduced or more controlled drinking instead.</w:t>
      </w:r>
    </w:p>
    <w:p w:rsidR="00072449" w:rsidRDefault="00072449" w:rsidP="004212FD">
      <w:pPr>
        <w:pStyle w:val="FAREnormaltext"/>
      </w:pPr>
      <w:r w:rsidRPr="00E63703">
        <w:t xml:space="preserve">For the purpose of analysing responses related to other drugs, only participants who nominated any drug other than alcohol or tobacco as either a primary or secondary drug of concern (n = 547) were included. Proportions who endorsed each goal are shown in Figure 3.3. </w:t>
      </w:r>
      <w:r>
        <w:t>Complete cessation was endorsed by a majority of participants from all PIT types</w:t>
      </w:r>
      <w:r w:rsidRPr="00E63703">
        <w:t>.</w:t>
      </w:r>
      <w:r>
        <w:t xml:space="preserve"> </w:t>
      </w:r>
      <w:r w:rsidRPr="00E63703">
        <w:t>Participants in long-term residential treatment were significantly more likely than other groups to endorse complete abstinence as their goal and less likely than other groups to endorse any other go</w:t>
      </w:r>
      <w:r>
        <w:t>al. As with alcohol, outpatient participants</w:t>
      </w:r>
      <w:r w:rsidRPr="00E63703">
        <w:t xml:space="preserve"> were less likely than other groups to endorse complete abstinence as a goal and more likely to endorse reduced or more controlled drug use instead.</w:t>
      </w:r>
    </w:p>
    <w:p w:rsidR="00072449" w:rsidRDefault="00072449" w:rsidP="00072449">
      <w:pPr>
        <w:pStyle w:val="FAREnormaltext"/>
      </w:pPr>
      <w:r>
        <w:rPr>
          <w:noProof/>
          <w:lang w:val="en-AU" w:eastAsia="en-AU"/>
        </w:rPr>
        <w:lastRenderedPageBreak/>
        <w:drawing>
          <wp:inline distT="0" distB="0" distL="0" distR="0">
            <wp:extent cx="4072128" cy="2438400"/>
            <wp:effectExtent l="0" t="0" r="5080" b="0"/>
            <wp:docPr id="17" name="Chart 17" descr="Column graph showing the proportion of participants (outpatients, acute withdrawal and residential rehabilitation), who nominated alcohol as a drug of concern endorsing each alcohol-related treatment goal. &#10;&#10;The vertical line showing the percentage. The horizontal line showing: Stop alcohol altogether, Cut down or control drinking, Eliminate alcohol-related problems and No alcohol problem/NA" title="Figure 3.2  Proportion of participants who nominated alcohol as a drug of concern endorsing each alcohol-related treatment goal"/>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72449" w:rsidRDefault="00072449" w:rsidP="00072449">
      <w:pPr>
        <w:pStyle w:val="FARETableStyle1"/>
      </w:pPr>
      <w:bookmarkStart w:id="100" w:name="_Toc398105111"/>
      <w:proofErr w:type="gramStart"/>
      <w:r w:rsidRPr="0078600D">
        <w:t xml:space="preserve">Figure </w:t>
      </w:r>
      <w:r w:rsidR="00BE3D19">
        <w:fldChar w:fldCharType="begin"/>
      </w:r>
      <w:r w:rsidR="001D14D8">
        <w:instrText xml:space="preserve"> STYLEREF 1 \s </w:instrText>
      </w:r>
      <w:r w:rsidR="00BE3D19">
        <w:fldChar w:fldCharType="separate"/>
      </w:r>
      <w:r w:rsidR="00E150CA">
        <w:rPr>
          <w:noProof/>
        </w:rPr>
        <w:t>3</w:t>
      </w:r>
      <w:r w:rsidR="00BE3D19">
        <w:fldChar w:fldCharType="end"/>
      </w:r>
      <w:r w:rsidRPr="0078600D">
        <w:t>.</w:t>
      </w:r>
      <w:proofErr w:type="gramEnd"/>
      <w:r w:rsidR="00BE3D19">
        <w:fldChar w:fldCharType="begin"/>
      </w:r>
      <w:r>
        <w:instrText xml:space="preserve"> SEQ Figure \* ARABIC \s 1 </w:instrText>
      </w:r>
      <w:r w:rsidR="00BE3D19">
        <w:fldChar w:fldCharType="separate"/>
      </w:r>
      <w:r w:rsidR="00E150CA">
        <w:rPr>
          <w:noProof/>
        </w:rPr>
        <w:t>2</w:t>
      </w:r>
      <w:r w:rsidR="00BE3D19">
        <w:fldChar w:fldCharType="end"/>
      </w:r>
      <w:r w:rsidR="00E41BCC">
        <w:t xml:space="preserve"> </w:t>
      </w:r>
      <w:r>
        <w:t xml:space="preserve"> </w:t>
      </w:r>
      <w:r w:rsidRPr="0078600D">
        <w:t>Proportion of participants who nominated alcohol as a drug of concern endorsing each alcohol-related treatment goal</w:t>
      </w:r>
      <w:bookmarkEnd w:id="100"/>
    </w:p>
    <w:p w:rsidR="007D5CD8" w:rsidRDefault="007D5CD8" w:rsidP="00072449">
      <w:pPr>
        <w:pStyle w:val="FARETableStyle1"/>
      </w:pPr>
    </w:p>
    <w:p w:rsidR="007D5CD8" w:rsidRDefault="00EA157D" w:rsidP="00072449">
      <w:pPr>
        <w:pStyle w:val="FARETableStyle1"/>
      </w:pPr>
      <w:r w:rsidRPr="00EA157D">
        <w:rPr>
          <w:noProof/>
        </w:rPr>
        <w:drawing>
          <wp:inline distT="0" distB="0" distL="0" distR="0">
            <wp:extent cx="5478449" cy="3315694"/>
            <wp:effectExtent l="0" t="0" r="8255" b="0"/>
            <wp:docPr id="24" name="Chart 6" descr="Column graph showing the proportion of participants (outpatient, acute withdrawal, residential rehabilitation) who nominated any substance other than alcohol or tobacco as a drug of concern endorsing each drug-related treatment goal. &#10;&#10;The vertical line showing the percentage. The horizontal line showing those who:&#10;Stopped drugs altogether&#10;Cut down or control drug use&#10;Eliminate drug-related problems&#10;Get substitution pharmacotherapy&#10;No drug problem/NA" title="Figure 3.3  Proportion of participants who nominated any substance other than alcohol or tobacco as a drug of concern endorsing each drug-related treatment goal"/>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072449" w:rsidRDefault="00072449" w:rsidP="00072449">
      <w:pPr>
        <w:pStyle w:val="FARETableStyle1"/>
      </w:pPr>
      <w:bookmarkStart w:id="101" w:name="_Toc398105112"/>
      <w:proofErr w:type="gramStart"/>
      <w:r w:rsidRPr="0078600D">
        <w:t xml:space="preserve">Figure </w:t>
      </w:r>
      <w:r w:rsidR="00BE3D19">
        <w:fldChar w:fldCharType="begin"/>
      </w:r>
      <w:r w:rsidR="001D14D8">
        <w:instrText xml:space="preserve"> STYLEREF 1 \s </w:instrText>
      </w:r>
      <w:r w:rsidR="00BE3D19">
        <w:fldChar w:fldCharType="separate"/>
      </w:r>
      <w:r w:rsidR="00E150CA">
        <w:rPr>
          <w:noProof/>
        </w:rPr>
        <w:t>3</w:t>
      </w:r>
      <w:r w:rsidR="00BE3D19">
        <w:fldChar w:fldCharType="end"/>
      </w:r>
      <w:r w:rsidRPr="0078600D">
        <w:t>.</w:t>
      </w:r>
      <w:proofErr w:type="gramEnd"/>
      <w:r w:rsidR="00BE3D19">
        <w:fldChar w:fldCharType="begin"/>
      </w:r>
      <w:r>
        <w:instrText xml:space="preserve"> SEQ Figure \* ARABIC \s 1 </w:instrText>
      </w:r>
      <w:r w:rsidR="00BE3D19">
        <w:fldChar w:fldCharType="separate"/>
      </w:r>
      <w:r w:rsidR="00E150CA">
        <w:rPr>
          <w:noProof/>
        </w:rPr>
        <w:t>3</w:t>
      </w:r>
      <w:r w:rsidR="00BE3D19">
        <w:fldChar w:fldCharType="end"/>
      </w:r>
      <w:r w:rsidR="00E41BCC">
        <w:t xml:space="preserve">  </w:t>
      </w:r>
      <w:r w:rsidRPr="0078600D">
        <w:t xml:space="preserve">Proportion of participants who nominated any substance other than alcohol or tobacco as a drug of concern endorsing each </w:t>
      </w:r>
      <w:r>
        <w:t>drug</w:t>
      </w:r>
      <w:r w:rsidRPr="0078600D">
        <w:t>-related treatment goal</w:t>
      </w:r>
      <w:bookmarkEnd w:id="101"/>
    </w:p>
    <w:p w:rsidR="00072449" w:rsidRDefault="00072449" w:rsidP="00072449">
      <w:pPr>
        <w:pStyle w:val="FARETableStyle1"/>
      </w:pPr>
    </w:p>
    <w:p w:rsidR="00072449" w:rsidRPr="0089243D" w:rsidRDefault="00072449" w:rsidP="0034684A">
      <w:pPr>
        <w:pStyle w:val="FAREH3"/>
      </w:pPr>
      <w:r w:rsidRPr="0089243D">
        <w:t>Quality of life</w:t>
      </w:r>
    </w:p>
    <w:p w:rsidR="00072449" w:rsidRDefault="00072449" w:rsidP="00072449">
      <w:pPr>
        <w:pStyle w:val="FAREnormaltext"/>
      </w:pPr>
      <w:r w:rsidRPr="00E63703">
        <w:t xml:space="preserve">Participants were asked to rate their overall quality of life and overall satisfaction with their health on scales of 1-5 (for quality of life: 1 = very poor, 5 = very good; </w:t>
      </w:r>
      <w:r>
        <w:t xml:space="preserve">satisfaction with </w:t>
      </w:r>
      <w:r w:rsidRPr="00E63703">
        <w:t xml:space="preserve">health: 1 = very dissatisfied, 5 = very satisfied). </w:t>
      </w:r>
      <w:r w:rsidR="00AA748F">
        <w:t xml:space="preserve">Median ratings differed significantly by PIT type for both overall quality of life (p &lt; .001) and for overall health satisfaction (p &lt; .001). </w:t>
      </w:r>
      <w:r>
        <w:t>P</w:t>
      </w:r>
      <w:r w:rsidRPr="00E63703">
        <w:t>articipants in acute withdrawal reported significantly lower quality of life than both outpatient</w:t>
      </w:r>
      <w:r>
        <w:t xml:space="preserve"> </w:t>
      </w:r>
      <w:r w:rsidRPr="00E63703">
        <w:t>participants and long-term residential participants</w:t>
      </w:r>
      <w:r>
        <w:t xml:space="preserve"> (</w:t>
      </w:r>
      <w:proofErr w:type="spellStart"/>
      <w:r>
        <w:t>ps</w:t>
      </w:r>
      <w:proofErr w:type="spellEnd"/>
      <w:r>
        <w:t xml:space="preserve"> &lt; .001)</w:t>
      </w:r>
      <w:r w:rsidRPr="00E63703">
        <w:t xml:space="preserve"> and were significantly more likely to give below-neutral ratings of 1 or 2 (very poor or poor</w:t>
      </w:r>
      <w:r>
        <w:t>; p &lt; .001</w:t>
      </w:r>
      <w:r w:rsidRPr="00E63703">
        <w:t xml:space="preserve">). </w:t>
      </w:r>
      <w:r w:rsidR="00505A69" w:rsidRPr="00E63703">
        <w:t xml:space="preserve">Acute withdrawal participants also reported significantly lower </w:t>
      </w:r>
      <w:r w:rsidR="00505A69" w:rsidRPr="00E63703">
        <w:lastRenderedPageBreak/>
        <w:t xml:space="preserve">health satisfaction than both </w:t>
      </w:r>
      <w:r w:rsidR="00505A69">
        <w:t>outpatients (p &lt; .05) and long-term residential participants (p &lt; .001)</w:t>
      </w:r>
      <w:r w:rsidR="00505A69" w:rsidRPr="00E63703">
        <w:t>, and outpatients reported significantly lower health satisfaction than participants in long-term residential treatment</w:t>
      </w:r>
      <w:r w:rsidR="00505A69">
        <w:t xml:space="preserve"> (p &lt; .001)</w:t>
      </w:r>
      <w:r w:rsidR="00505A69" w:rsidRPr="00E63703">
        <w:t>.</w:t>
      </w:r>
      <w:r w:rsidR="00505A69">
        <w:t xml:space="preserve"> Participants in long-term residential treatment were significantly less likely than other groups to</w:t>
      </w:r>
      <w:r w:rsidR="00505A69" w:rsidRPr="00505A69">
        <w:t xml:space="preserve"> </w:t>
      </w:r>
      <w:r w:rsidR="00505A69" w:rsidRPr="00E63703">
        <w:t>give below-neutral ratings of 1 or 2</w:t>
      </w:r>
      <w:r w:rsidR="00505A69">
        <w:t xml:space="preserve"> (</w:t>
      </w:r>
      <w:r w:rsidR="00130D5B">
        <w:t>very dissatisfied or dissatisfied; p &lt; .001)</w:t>
      </w:r>
      <w:r w:rsidR="00505A69">
        <w:t xml:space="preserve"> </w:t>
      </w:r>
    </w:p>
    <w:p w:rsidR="00072449" w:rsidRDefault="00072449" w:rsidP="00072449">
      <w:pPr>
        <w:pStyle w:val="FAREnormaltext"/>
      </w:pPr>
      <w:r w:rsidRPr="00E63703">
        <w:t>Me</w:t>
      </w:r>
      <w:r>
        <w:t>dian</w:t>
      </w:r>
      <w:r w:rsidRPr="00E63703">
        <w:t xml:space="preserve"> WHO</w:t>
      </w:r>
      <w:r w:rsidR="00EE7A8F">
        <w:t>QOL</w:t>
      </w:r>
      <w:r w:rsidRPr="00E63703">
        <w:t xml:space="preserve"> domain scores for physical, psychological, social, and environmental quality of life were 1.1, 1.8, 1.</w:t>
      </w:r>
      <w:r>
        <w:t>6</w:t>
      </w:r>
      <w:r w:rsidRPr="00E63703">
        <w:t>, and 1.</w:t>
      </w:r>
      <w:r>
        <w:t>2</w:t>
      </w:r>
      <w:r w:rsidRPr="00E63703">
        <w:t xml:space="preserve"> standard deviations below the means reported in an Australian general population sample by Hawthorne, </w:t>
      </w:r>
      <w:proofErr w:type="spellStart"/>
      <w:r w:rsidRPr="00E63703">
        <w:t>Herrman</w:t>
      </w:r>
      <w:proofErr w:type="spellEnd"/>
      <w:r w:rsidRPr="00E63703">
        <w:t>, and Murphy (2006). Indeed, for each of these domains, over 80% of participants scored below the mean reported for Hawthorne et al.’s (2006) normative sample, over 50% scored more than 1 standard deviation below these general population means (indicating low quality of life), and over 20% scored more than 2 standard deviations below general population means (indicating very low quality of life). Acute withdrawal participants rated their physical</w:t>
      </w:r>
      <w:r>
        <w:t xml:space="preserve"> (p</w:t>
      </w:r>
      <w:r w:rsidR="00F85EE6">
        <w:t xml:space="preserve"> </w:t>
      </w:r>
      <w:r>
        <w:t>&lt;</w:t>
      </w:r>
      <w:r w:rsidR="00F85EE6">
        <w:t xml:space="preserve"> </w:t>
      </w:r>
      <w:r>
        <w:t>.001)</w:t>
      </w:r>
      <w:r w:rsidRPr="00E63703">
        <w:t>,</w:t>
      </w:r>
      <w:r>
        <w:t xml:space="preserve"> </w:t>
      </w:r>
      <w:r w:rsidRPr="00E63703">
        <w:t>psychological</w:t>
      </w:r>
      <w:r>
        <w:t xml:space="preserve"> (p</w:t>
      </w:r>
      <w:r w:rsidR="00F85EE6">
        <w:t xml:space="preserve"> </w:t>
      </w:r>
      <w:r>
        <w:t>&lt;</w:t>
      </w:r>
      <w:r w:rsidR="00F85EE6">
        <w:t xml:space="preserve"> </w:t>
      </w:r>
      <w:r>
        <w:t>.001)</w:t>
      </w:r>
      <w:r w:rsidRPr="00E63703">
        <w:t xml:space="preserve">, and social </w:t>
      </w:r>
      <w:r>
        <w:t>(p</w:t>
      </w:r>
      <w:r w:rsidR="00F85EE6">
        <w:t xml:space="preserve"> </w:t>
      </w:r>
      <w:r>
        <w:t>&lt;</w:t>
      </w:r>
      <w:r w:rsidR="00F85EE6">
        <w:t xml:space="preserve"> </w:t>
      </w:r>
      <w:r>
        <w:t>.01)</w:t>
      </w:r>
      <w:r w:rsidRPr="00E63703">
        <w:t>,</w:t>
      </w:r>
      <w:r>
        <w:t xml:space="preserve"> </w:t>
      </w:r>
      <w:r w:rsidRPr="00E63703">
        <w:t>quality of life significantly lower than long-term residential participants and rated their physical</w:t>
      </w:r>
      <w:r>
        <w:t xml:space="preserve"> (p</w:t>
      </w:r>
      <w:r w:rsidR="00F85EE6">
        <w:t xml:space="preserve"> </w:t>
      </w:r>
      <w:r>
        <w:t>&lt;</w:t>
      </w:r>
      <w:r w:rsidR="00F85EE6">
        <w:t xml:space="preserve"> </w:t>
      </w:r>
      <w:r>
        <w:t>.0</w:t>
      </w:r>
      <w:r w:rsidR="00130D5B">
        <w:t>5</w:t>
      </w:r>
      <w:r>
        <w:t xml:space="preserve">) and psychological (p &lt; .05) </w:t>
      </w:r>
      <w:r w:rsidRPr="00E63703">
        <w:t>quality of life lower than outpatient</w:t>
      </w:r>
      <w:r>
        <w:t xml:space="preserve"> </w:t>
      </w:r>
      <w:r w:rsidRPr="00E63703">
        <w:t>participants. Outpatient</w:t>
      </w:r>
      <w:r>
        <w:t xml:space="preserve"> </w:t>
      </w:r>
      <w:r w:rsidRPr="00E63703">
        <w:t>participants rated their physical</w:t>
      </w:r>
      <w:r w:rsidRPr="00F53B2A">
        <w:t xml:space="preserve"> </w:t>
      </w:r>
      <w:r>
        <w:t>(p &lt; .001)</w:t>
      </w:r>
      <w:r w:rsidRPr="00E63703">
        <w:t xml:space="preserve"> and psychological </w:t>
      </w:r>
      <w:r>
        <w:t>(p &lt; .01)</w:t>
      </w:r>
      <w:r w:rsidRPr="00E63703">
        <w:t xml:space="preserve"> quality of life significantly lower than participants in long-term residential treatment. Similar patterns of differences between groups were evident when proportions of participants with scores indicating low or very low quality of life were analysed (data not shown).</w:t>
      </w:r>
    </w:p>
    <w:p w:rsidR="00072449" w:rsidRPr="0089243D" w:rsidRDefault="00072449" w:rsidP="00072449">
      <w:pPr>
        <w:pStyle w:val="FAREtableheading"/>
      </w:pPr>
      <w:bookmarkStart w:id="102" w:name="_Toc386108209"/>
      <w:bookmarkStart w:id="103" w:name="_Toc387426357"/>
      <w:bookmarkStart w:id="104" w:name="_Toc398105067"/>
      <w:proofErr w:type="gramStart"/>
      <w:r w:rsidRPr="0089243D">
        <w:t xml:space="preserve">Table </w:t>
      </w:r>
      <w:r w:rsidR="00BE3D19" w:rsidRPr="0089243D">
        <w:fldChar w:fldCharType="begin"/>
      </w:r>
      <w:r w:rsidRPr="0089243D">
        <w:instrText xml:space="preserve"> STYLEREF 1 \s </w:instrText>
      </w:r>
      <w:r w:rsidR="00BE3D19" w:rsidRPr="0089243D">
        <w:fldChar w:fldCharType="separate"/>
      </w:r>
      <w:r w:rsidR="00E150CA">
        <w:rPr>
          <w:noProof/>
        </w:rPr>
        <w:t>3</w:t>
      </w:r>
      <w:r w:rsidR="00BE3D19" w:rsidRPr="0089243D">
        <w:fldChar w:fldCharType="end"/>
      </w:r>
      <w:r w:rsidRPr="0089243D">
        <w:t>.</w:t>
      </w:r>
      <w:proofErr w:type="gramEnd"/>
      <w:r w:rsidR="00BE3D19" w:rsidRPr="0089243D">
        <w:fldChar w:fldCharType="begin"/>
      </w:r>
      <w:r w:rsidRPr="0089243D">
        <w:instrText xml:space="preserve"> SEQ Table \* ARABIC \s 1 </w:instrText>
      </w:r>
      <w:r w:rsidR="00BE3D19" w:rsidRPr="0089243D">
        <w:fldChar w:fldCharType="separate"/>
      </w:r>
      <w:r w:rsidR="00E150CA">
        <w:rPr>
          <w:noProof/>
        </w:rPr>
        <w:t>5</w:t>
      </w:r>
      <w:r w:rsidR="00BE3D19" w:rsidRPr="0089243D">
        <w:fldChar w:fldCharType="end"/>
      </w:r>
      <w:r w:rsidRPr="0089243D">
        <w:t xml:space="preserve">  Level of quality of life by index treatment type at baseline</w:t>
      </w:r>
      <w:bookmarkEnd w:id="102"/>
      <w:bookmarkEnd w:id="103"/>
      <w:bookmarkEnd w:id="104"/>
      <w:r w:rsidRPr="0089243D">
        <w:t xml:space="preserve"> </w:t>
      </w:r>
    </w:p>
    <w:tbl>
      <w:tblPr>
        <w:tblStyle w:val="TableGrid"/>
        <w:tblW w:w="5120" w:type="pct"/>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Caption w:val="Table 3.5  Level of quality of life by index treatment type at baseline "/>
        <w:tblDescription w:val="Table 3.5  Level of quality of life by index treatment type at baseline "/>
      </w:tblPr>
      <w:tblGrid>
        <w:gridCol w:w="1809"/>
        <w:gridCol w:w="1701"/>
        <w:gridCol w:w="1702"/>
        <w:gridCol w:w="1702"/>
        <w:gridCol w:w="1700"/>
        <w:gridCol w:w="850"/>
      </w:tblGrid>
      <w:tr w:rsidR="00FF5DD5" w:rsidRPr="00415291" w:rsidTr="00046CCA">
        <w:trPr>
          <w:tblHeader/>
        </w:trPr>
        <w:tc>
          <w:tcPr>
            <w:tcW w:w="956" w:type="pct"/>
            <w:tcBorders>
              <w:top w:val="single" w:sz="4" w:space="0" w:color="auto"/>
              <w:left w:val="nil"/>
              <w:bottom w:val="single" w:sz="4" w:space="0" w:color="auto"/>
              <w:right w:val="nil"/>
            </w:tcBorders>
          </w:tcPr>
          <w:p w:rsidR="00072449" w:rsidRPr="0089243D" w:rsidRDefault="00072449" w:rsidP="001A0F1E">
            <w:pPr>
              <w:spacing w:after="0" w:line="240" w:lineRule="auto"/>
              <w:jc w:val="center"/>
              <w:rPr>
                <w:rFonts w:eastAsia="Times New Roman"/>
                <w:b/>
                <w:bCs/>
                <w:color w:val="000000"/>
                <w:sz w:val="22"/>
                <w:szCs w:val="22"/>
                <w:lang w:eastAsia="zh-CN"/>
              </w:rPr>
            </w:pPr>
          </w:p>
        </w:tc>
        <w:tc>
          <w:tcPr>
            <w:tcW w:w="899" w:type="pct"/>
            <w:tcBorders>
              <w:top w:val="single" w:sz="4" w:space="0" w:color="auto"/>
              <w:left w:val="nil"/>
              <w:bottom w:val="single" w:sz="4" w:space="0" w:color="auto"/>
              <w:right w:val="nil"/>
            </w:tcBorders>
          </w:tcPr>
          <w:p w:rsidR="00072449" w:rsidRPr="0089243D" w:rsidRDefault="00072449" w:rsidP="001A0F1E">
            <w:pPr>
              <w:spacing w:after="0" w:line="240" w:lineRule="auto"/>
              <w:jc w:val="center"/>
              <w:rPr>
                <w:rFonts w:eastAsia="Times New Roman"/>
                <w:b/>
                <w:bCs/>
                <w:color w:val="000000"/>
                <w:sz w:val="22"/>
                <w:szCs w:val="22"/>
                <w:lang w:eastAsia="zh-CN"/>
              </w:rPr>
            </w:pPr>
            <w:r w:rsidRPr="0089243D">
              <w:rPr>
                <w:rFonts w:eastAsia="Times New Roman"/>
                <w:b/>
                <w:bCs/>
                <w:color w:val="000000"/>
                <w:sz w:val="22"/>
                <w:szCs w:val="22"/>
                <w:lang w:eastAsia="zh-CN"/>
              </w:rPr>
              <w:t xml:space="preserve">Total sample  </w:t>
            </w:r>
            <w:r w:rsidR="00FF5DD5">
              <w:rPr>
                <w:rFonts w:eastAsia="Times New Roman"/>
                <w:b/>
                <w:bCs/>
                <w:color w:val="000000"/>
                <w:sz w:val="22"/>
                <w:szCs w:val="22"/>
                <w:lang w:eastAsia="zh-CN"/>
              </w:rPr>
              <w:t xml:space="preserve"> </w:t>
            </w:r>
            <w:r w:rsidRPr="0089243D">
              <w:rPr>
                <w:rFonts w:eastAsia="Times New Roman"/>
                <w:b/>
                <w:bCs/>
                <w:color w:val="000000"/>
                <w:sz w:val="22"/>
                <w:szCs w:val="22"/>
                <w:lang w:eastAsia="zh-CN"/>
              </w:rPr>
              <w:t>(n</w:t>
            </w:r>
            <w:r w:rsidR="00F85EE6">
              <w:rPr>
                <w:rFonts w:eastAsia="Times New Roman"/>
                <w:b/>
                <w:bCs/>
                <w:color w:val="000000"/>
                <w:sz w:val="22"/>
                <w:szCs w:val="22"/>
                <w:lang w:eastAsia="zh-CN"/>
              </w:rPr>
              <w:t xml:space="preserve"> </w:t>
            </w:r>
            <w:r w:rsidRPr="0089243D">
              <w:rPr>
                <w:rFonts w:eastAsia="Times New Roman"/>
                <w:b/>
                <w:bCs/>
                <w:color w:val="000000"/>
                <w:sz w:val="22"/>
                <w:szCs w:val="22"/>
                <w:lang w:eastAsia="zh-CN"/>
              </w:rPr>
              <w:t>=</w:t>
            </w:r>
            <w:r w:rsidR="00F85EE6">
              <w:rPr>
                <w:rFonts w:eastAsia="Times New Roman"/>
                <w:b/>
                <w:bCs/>
                <w:color w:val="000000"/>
                <w:sz w:val="22"/>
                <w:szCs w:val="22"/>
                <w:lang w:eastAsia="zh-CN"/>
              </w:rPr>
              <w:t xml:space="preserve"> </w:t>
            </w:r>
            <w:r w:rsidRPr="0089243D">
              <w:rPr>
                <w:rFonts w:eastAsia="Times New Roman"/>
                <w:b/>
                <w:bCs/>
                <w:color w:val="000000"/>
                <w:sz w:val="22"/>
                <w:szCs w:val="22"/>
                <w:lang w:eastAsia="zh-CN"/>
              </w:rPr>
              <w:t>794-795)</w:t>
            </w:r>
          </w:p>
        </w:tc>
        <w:tc>
          <w:tcPr>
            <w:tcW w:w="899" w:type="pct"/>
            <w:tcBorders>
              <w:top w:val="single" w:sz="4" w:space="0" w:color="auto"/>
              <w:left w:val="nil"/>
              <w:bottom w:val="single" w:sz="4" w:space="0" w:color="auto"/>
              <w:right w:val="nil"/>
            </w:tcBorders>
          </w:tcPr>
          <w:p w:rsidR="00072449" w:rsidRPr="0089243D" w:rsidRDefault="00072449" w:rsidP="001A0F1E">
            <w:pPr>
              <w:spacing w:after="0" w:line="240" w:lineRule="auto"/>
              <w:jc w:val="center"/>
              <w:rPr>
                <w:rFonts w:eastAsia="Times New Roman"/>
                <w:b/>
                <w:bCs/>
                <w:color w:val="000000"/>
                <w:sz w:val="22"/>
                <w:szCs w:val="22"/>
                <w:lang w:eastAsia="zh-CN"/>
              </w:rPr>
            </w:pPr>
            <w:r w:rsidRPr="0089243D">
              <w:rPr>
                <w:rFonts w:eastAsia="Times New Roman"/>
                <w:b/>
                <w:bCs/>
                <w:color w:val="000000"/>
                <w:sz w:val="22"/>
                <w:szCs w:val="22"/>
                <w:lang w:eastAsia="zh-CN"/>
              </w:rPr>
              <w:t>Outpatient</w:t>
            </w:r>
          </w:p>
          <w:p w:rsidR="00072449" w:rsidRPr="0089243D" w:rsidRDefault="00072449" w:rsidP="001A0F1E">
            <w:pPr>
              <w:spacing w:after="0" w:line="240" w:lineRule="auto"/>
              <w:jc w:val="center"/>
              <w:rPr>
                <w:rFonts w:eastAsia="Times New Roman"/>
                <w:b/>
                <w:bCs/>
                <w:color w:val="000000"/>
                <w:sz w:val="22"/>
                <w:szCs w:val="22"/>
                <w:lang w:eastAsia="zh-CN"/>
              </w:rPr>
            </w:pPr>
            <w:r w:rsidRPr="0089243D">
              <w:rPr>
                <w:rFonts w:eastAsia="Times New Roman"/>
                <w:b/>
                <w:bCs/>
                <w:color w:val="000000"/>
                <w:sz w:val="22"/>
                <w:szCs w:val="22"/>
                <w:lang w:eastAsia="zh-CN"/>
              </w:rPr>
              <w:t>(n</w:t>
            </w:r>
            <w:r w:rsidR="00F85EE6">
              <w:rPr>
                <w:rFonts w:eastAsia="Times New Roman"/>
                <w:b/>
                <w:bCs/>
                <w:color w:val="000000"/>
                <w:sz w:val="22"/>
                <w:szCs w:val="22"/>
                <w:lang w:eastAsia="zh-CN"/>
              </w:rPr>
              <w:t xml:space="preserve"> </w:t>
            </w:r>
            <w:r w:rsidRPr="0089243D">
              <w:rPr>
                <w:rFonts w:eastAsia="Times New Roman"/>
                <w:b/>
                <w:bCs/>
                <w:color w:val="000000"/>
                <w:sz w:val="22"/>
                <w:szCs w:val="22"/>
                <w:lang w:eastAsia="zh-CN"/>
              </w:rPr>
              <w:t>=</w:t>
            </w:r>
            <w:r w:rsidR="00F85EE6">
              <w:rPr>
                <w:rFonts w:eastAsia="Times New Roman"/>
                <w:b/>
                <w:bCs/>
                <w:color w:val="000000"/>
                <w:sz w:val="22"/>
                <w:szCs w:val="22"/>
                <w:lang w:eastAsia="zh-CN"/>
              </w:rPr>
              <w:t xml:space="preserve"> </w:t>
            </w:r>
            <w:r w:rsidRPr="0089243D">
              <w:rPr>
                <w:rFonts w:eastAsia="Times New Roman"/>
                <w:b/>
                <w:bCs/>
                <w:color w:val="000000"/>
                <w:sz w:val="22"/>
                <w:szCs w:val="22"/>
                <w:lang w:eastAsia="zh-CN"/>
              </w:rPr>
              <w:t>21</w:t>
            </w:r>
            <w:r w:rsidR="00FC63F8">
              <w:rPr>
                <w:rFonts w:eastAsia="Times New Roman"/>
                <w:b/>
                <w:bCs/>
                <w:color w:val="000000"/>
                <w:sz w:val="22"/>
                <w:szCs w:val="22"/>
                <w:lang w:eastAsia="zh-CN"/>
              </w:rPr>
              <w:t>3</w:t>
            </w:r>
            <w:r w:rsidRPr="0089243D">
              <w:rPr>
                <w:rFonts w:eastAsia="Times New Roman"/>
                <w:b/>
                <w:bCs/>
                <w:color w:val="000000"/>
                <w:sz w:val="22"/>
                <w:szCs w:val="22"/>
                <w:lang w:eastAsia="zh-CN"/>
              </w:rPr>
              <w:t>-21</w:t>
            </w:r>
            <w:r w:rsidR="00FC63F8">
              <w:rPr>
                <w:rFonts w:eastAsia="Times New Roman"/>
                <w:b/>
                <w:bCs/>
                <w:color w:val="000000"/>
                <w:sz w:val="22"/>
                <w:szCs w:val="22"/>
                <w:lang w:eastAsia="zh-CN"/>
              </w:rPr>
              <w:t>4</w:t>
            </w:r>
            <w:r w:rsidRPr="0089243D">
              <w:rPr>
                <w:rFonts w:eastAsia="Times New Roman"/>
                <w:b/>
                <w:bCs/>
                <w:color w:val="000000"/>
                <w:sz w:val="22"/>
                <w:szCs w:val="22"/>
                <w:lang w:eastAsia="zh-CN"/>
              </w:rPr>
              <w:t>)</w:t>
            </w:r>
          </w:p>
        </w:tc>
        <w:tc>
          <w:tcPr>
            <w:tcW w:w="899" w:type="pct"/>
            <w:tcBorders>
              <w:top w:val="single" w:sz="4" w:space="0" w:color="auto"/>
              <w:left w:val="nil"/>
              <w:bottom w:val="single" w:sz="4" w:space="0" w:color="auto"/>
              <w:right w:val="nil"/>
            </w:tcBorders>
          </w:tcPr>
          <w:p w:rsidR="00072449" w:rsidRPr="0089243D" w:rsidRDefault="00072449" w:rsidP="001A0F1E">
            <w:pPr>
              <w:spacing w:after="0" w:line="240" w:lineRule="auto"/>
              <w:jc w:val="center"/>
              <w:rPr>
                <w:rFonts w:eastAsia="Times New Roman"/>
                <w:b/>
                <w:bCs/>
                <w:color w:val="000000"/>
                <w:sz w:val="22"/>
                <w:szCs w:val="22"/>
                <w:lang w:eastAsia="zh-CN"/>
              </w:rPr>
            </w:pPr>
            <w:r w:rsidRPr="0089243D">
              <w:rPr>
                <w:rFonts w:eastAsia="Times New Roman"/>
                <w:b/>
                <w:bCs/>
                <w:color w:val="000000"/>
                <w:sz w:val="22"/>
                <w:szCs w:val="22"/>
                <w:lang w:eastAsia="zh-CN"/>
              </w:rPr>
              <w:t>Acute withdrawal</w:t>
            </w:r>
          </w:p>
          <w:p w:rsidR="00072449" w:rsidRPr="0089243D" w:rsidRDefault="00072449" w:rsidP="001A0F1E">
            <w:pPr>
              <w:spacing w:after="0" w:line="240" w:lineRule="auto"/>
              <w:jc w:val="center"/>
              <w:rPr>
                <w:rFonts w:eastAsia="Times New Roman"/>
                <w:b/>
                <w:bCs/>
                <w:color w:val="000000"/>
                <w:sz w:val="22"/>
                <w:szCs w:val="22"/>
                <w:lang w:eastAsia="zh-CN"/>
              </w:rPr>
            </w:pPr>
            <w:r w:rsidRPr="0089243D">
              <w:rPr>
                <w:rFonts w:eastAsia="Times New Roman"/>
                <w:b/>
                <w:bCs/>
                <w:color w:val="000000"/>
                <w:sz w:val="22"/>
                <w:szCs w:val="22"/>
                <w:lang w:eastAsia="zh-CN"/>
              </w:rPr>
              <w:t>(n = 349)</w:t>
            </w:r>
          </w:p>
        </w:tc>
        <w:tc>
          <w:tcPr>
            <w:tcW w:w="898" w:type="pct"/>
            <w:tcBorders>
              <w:top w:val="single" w:sz="4" w:space="0" w:color="auto"/>
              <w:left w:val="nil"/>
              <w:bottom w:val="single" w:sz="4" w:space="0" w:color="auto"/>
              <w:right w:val="nil"/>
            </w:tcBorders>
          </w:tcPr>
          <w:p w:rsidR="00072449" w:rsidRPr="0089243D" w:rsidRDefault="00072449" w:rsidP="001A0F1E">
            <w:pPr>
              <w:spacing w:after="0" w:line="240" w:lineRule="auto"/>
              <w:jc w:val="center"/>
              <w:rPr>
                <w:rFonts w:eastAsia="Times New Roman"/>
                <w:b/>
                <w:bCs/>
                <w:color w:val="000000"/>
                <w:sz w:val="22"/>
                <w:szCs w:val="22"/>
                <w:lang w:eastAsia="zh-CN"/>
              </w:rPr>
            </w:pPr>
            <w:r w:rsidRPr="0089243D">
              <w:rPr>
                <w:rFonts w:eastAsia="Times New Roman"/>
                <w:b/>
                <w:bCs/>
                <w:color w:val="000000"/>
                <w:sz w:val="22"/>
                <w:szCs w:val="22"/>
                <w:lang w:eastAsia="zh-CN"/>
              </w:rPr>
              <w:t>Residential</w:t>
            </w:r>
            <w:r w:rsidR="004516BD">
              <w:rPr>
                <w:rFonts w:eastAsia="Times New Roman"/>
                <w:b/>
                <w:bCs/>
                <w:color w:val="000000"/>
                <w:sz w:val="22"/>
                <w:szCs w:val="22"/>
                <w:lang w:eastAsia="zh-CN"/>
              </w:rPr>
              <w:t xml:space="preserve"> rehabilitation </w:t>
            </w:r>
          </w:p>
          <w:p w:rsidR="00072449" w:rsidRPr="0089243D" w:rsidRDefault="00072449" w:rsidP="001A0F1E">
            <w:pPr>
              <w:spacing w:after="0" w:line="240" w:lineRule="auto"/>
              <w:jc w:val="center"/>
              <w:rPr>
                <w:rFonts w:eastAsia="Times New Roman"/>
                <w:b/>
                <w:bCs/>
                <w:color w:val="000000"/>
                <w:sz w:val="22"/>
                <w:szCs w:val="22"/>
                <w:lang w:eastAsia="zh-CN"/>
              </w:rPr>
            </w:pPr>
            <w:r w:rsidRPr="0089243D">
              <w:rPr>
                <w:rFonts w:eastAsia="Times New Roman"/>
                <w:b/>
                <w:bCs/>
                <w:color w:val="000000"/>
                <w:sz w:val="22"/>
                <w:szCs w:val="22"/>
                <w:lang w:eastAsia="zh-CN"/>
              </w:rPr>
              <w:t>(n = 23</w:t>
            </w:r>
            <w:r w:rsidR="00FC63F8">
              <w:rPr>
                <w:rFonts w:eastAsia="Times New Roman"/>
                <w:b/>
                <w:bCs/>
                <w:color w:val="000000"/>
                <w:sz w:val="22"/>
                <w:szCs w:val="22"/>
                <w:lang w:eastAsia="zh-CN"/>
              </w:rPr>
              <w:t>2</w:t>
            </w:r>
            <w:r w:rsidRPr="0089243D">
              <w:rPr>
                <w:rFonts w:eastAsia="Times New Roman"/>
                <w:b/>
                <w:bCs/>
                <w:color w:val="000000"/>
                <w:sz w:val="22"/>
                <w:szCs w:val="22"/>
                <w:lang w:eastAsia="zh-CN"/>
              </w:rPr>
              <w:t>)</w:t>
            </w:r>
          </w:p>
        </w:tc>
        <w:tc>
          <w:tcPr>
            <w:tcW w:w="450" w:type="pct"/>
            <w:tcBorders>
              <w:top w:val="single" w:sz="4" w:space="0" w:color="auto"/>
              <w:left w:val="nil"/>
              <w:bottom w:val="single" w:sz="4" w:space="0" w:color="auto"/>
              <w:right w:val="nil"/>
            </w:tcBorders>
          </w:tcPr>
          <w:p w:rsidR="00072449" w:rsidRPr="0089243D" w:rsidRDefault="00072449" w:rsidP="001A0F1E">
            <w:pPr>
              <w:spacing w:after="0" w:line="240" w:lineRule="auto"/>
              <w:jc w:val="center"/>
              <w:rPr>
                <w:rFonts w:eastAsia="Times New Roman"/>
                <w:b/>
                <w:bCs/>
                <w:color w:val="000000"/>
                <w:sz w:val="22"/>
                <w:szCs w:val="22"/>
                <w:lang w:eastAsia="zh-CN"/>
              </w:rPr>
            </w:pPr>
            <w:r w:rsidRPr="0089243D">
              <w:rPr>
                <w:rFonts w:eastAsia="Times New Roman"/>
                <w:b/>
                <w:bCs/>
                <w:color w:val="000000"/>
                <w:sz w:val="22"/>
                <w:szCs w:val="22"/>
                <w:lang w:eastAsia="zh-CN"/>
              </w:rPr>
              <w:t>p</w:t>
            </w:r>
          </w:p>
        </w:tc>
      </w:tr>
      <w:tr w:rsidR="00FF5DD5" w:rsidRPr="00415291" w:rsidTr="001A0F1E">
        <w:trPr>
          <w:trHeight w:hRule="exact" w:val="567"/>
        </w:trPr>
        <w:tc>
          <w:tcPr>
            <w:tcW w:w="956" w:type="pct"/>
            <w:tcBorders>
              <w:left w:val="nil"/>
              <w:right w:val="nil"/>
            </w:tcBorders>
          </w:tcPr>
          <w:p w:rsidR="00072449" w:rsidRPr="0089243D" w:rsidRDefault="00072449" w:rsidP="001A0F1E">
            <w:pPr>
              <w:spacing w:line="240" w:lineRule="auto"/>
              <w:rPr>
                <w:rFonts w:asciiTheme="minorHAnsi" w:hAnsiTheme="minorHAnsi"/>
                <w:sz w:val="22"/>
                <w:szCs w:val="22"/>
              </w:rPr>
            </w:pPr>
            <w:r>
              <w:rPr>
                <w:rFonts w:asciiTheme="minorHAnsi" w:hAnsiTheme="minorHAnsi"/>
                <w:sz w:val="22"/>
                <w:szCs w:val="22"/>
              </w:rPr>
              <w:t>Median</w:t>
            </w:r>
            <w:r w:rsidRPr="0089243D">
              <w:rPr>
                <w:rFonts w:asciiTheme="minorHAnsi" w:hAnsiTheme="minorHAnsi"/>
                <w:sz w:val="22"/>
                <w:szCs w:val="22"/>
              </w:rPr>
              <w:t xml:space="preserve"> (</w:t>
            </w:r>
            <w:r>
              <w:rPr>
                <w:rFonts w:asciiTheme="minorHAnsi" w:hAnsiTheme="minorHAnsi"/>
                <w:sz w:val="22"/>
                <w:szCs w:val="22"/>
              </w:rPr>
              <w:t>IQR</w:t>
            </w:r>
            <w:r w:rsidRPr="0089243D">
              <w:rPr>
                <w:rFonts w:asciiTheme="minorHAnsi" w:hAnsiTheme="minorHAnsi"/>
                <w:sz w:val="22"/>
                <w:szCs w:val="22"/>
              </w:rPr>
              <w:t xml:space="preserve">) physical </w:t>
            </w:r>
            <w:r w:rsidR="00EE7A8F">
              <w:rPr>
                <w:rFonts w:asciiTheme="minorHAnsi" w:hAnsiTheme="minorHAnsi"/>
                <w:sz w:val="22"/>
                <w:szCs w:val="22"/>
              </w:rPr>
              <w:t>QOL</w:t>
            </w:r>
          </w:p>
        </w:tc>
        <w:tc>
          <w:tcPr>
            <w:tcW w:w="899" w:type="pct"/>
            <w:tcBorders>
              <w:left w:val="nil"/>
              <w:right w:val="nil"/>
            </w:tcBorders>
          </w:tcPr>
          <w:p w:rsidR="00072449" w:rsidRPr="0089243D" w:rsidRDefault="00072449" w:rsidP="001A0F1E">
            <w:pPr>
              <w:spacing w:line="240" w:lineRule="auto"/>
              <w:rPr>
                <w:rFonts w:asciiTheme="minorHAnsi" w:hAnsiTheme="minorHAnsi"/>
                <w:sz w:val="22"/>
                <w:szCs w:val="22"/>
              </w:rPr>
            </w:pPr>
            <w:r>
              <w:rPr>
                <w:rFonts w:asciiTheme="minorHAnsi" w:hAnsiTheme="minorHAnsi"/>
                <w:sz w:val="22"/>
                <w:szCs w:val="22"/>
              </w:rPr>
              <w:t>53.6 (39.3-67.9</w:t>
            </w:r>
            <w:r w:rsidRPr="0089243D">
              <w:rPr>
                <w:rFonts w:asciiTheme="minorHAnsi" w:hAnsiTheme="minorHAnsi"/>
                <w:sz w:val="22"/>
                <w:szCs w:val="22"/>
              </w:rPr>
              <w:t>)</w:t>
            </w:r>
          </w:p>
        </w:tc>
        <w:tc>
          <w:tcPr>
            <w:tcW w:w="899" w:type="pct"/>
            <w:tcBorders>
              <w:left w:val="nil"/>
              <w:right w:val="nil"/>
            </w:tcBorders>
          </w:tcPr>
          <w:p w:rsidR="00072449" w:rsidRPr="0089243D" w:rsidRDefault="00072449" w:rsidP="001A0F1E">
            <w:pPr>
              <w:spacing w:line="240" w:lineRule="auto"/>
              <w:rPr>
                <w:rFonts w:asciiTheme="minorHAnsi" w:hAnsiTheme="minorHAnsi"/>
                <w:sz w:val="22"/>
                <w:szCs w:val="22"/>
              </w:rPr>
            </w:pPr>
            <w:r w:rsidRPr="0089243D">
              <w:rPr>
                <w:rFonts w:asciiTheme="minorHAnsi" w:hAnsiTheme="minorHAnsi"/>
                <w:sz w:val="22"/>
                <w:szCs w:val="22"/>
              </w:rPr>
              <w:t>5</w:t>
            </w:r>
            <w:r w:rsidR="005B77C0">
              <w:rPr>
                <w:rFonts w:asciiTheme="minorHAnsi" w:hAnsiTheme="minorHAnsi"/>
                <w:sz w:val="22"/>
                <w:szCs w:val="22"/>
              </w:rPr>
              <w:t>0.0</w:t>
            </w:r>
            <w:r w:rsidRPr="0089243D">
              <w:rPr>
                <w:rFonts w:asciiTheme="minorHAnsi" w:hAnsiTheme="minorHAnsi"/>
                <w:sz w:val="22"/>
                <w:szCs w:val="22"/>
              </w:rPr>
              <w:t xml:space="preserve"> (</w:t>
            </w:r>
            <w:r>
              <w:rPr>
                <w:rFonts w:asciiTheme="minorHAnsi" w:hAnsiTheme="minorHAnsi"/>
                <w:sz w:val="22"/>
                <w:szCs w:val="22"/>
              </w:rPr>
              <w:t>39.3-64.3</w:t>
            </w:r>
            <w:r w:rsidRPr="0089243D">
              <w:rPr>
                <w:rFonts w:asciiTheme="minorHAnsi" w:hAnsiTheme="minorHAnsi"/>
                <w:sz w:val="22"/>
                <w:szCs w:val="22"/>
              </w:rPr>
              <w:t>)</w:t>
            </w:r>
          </w:p>
        </w:tc>
        <w:tc>
          <w:tcPr>
            <w:tcW w:w="899" w:type="pct"/>
            <w:tcBorders>
              <w:left w:val="nil"/>
              <w:right w:val="nil"/>
            </w:tcBorders>
          </w:tcPr>
          <w:p w:rsidR="00072449" w:rsidRPr="0089243D" w:rsidRDefault="00072449" w:rsidP="001A0F1E">
            <w:pPr>
              <w:spacing w:line="240" w:lineRule="auto"/>
              <w:rPr>
                <w:rFonts w:asciiTheme="minorHAnsi" w:hAnsiTheme="minorHAnsi"/>
                <w:sz w:val="22"/>
                <w:szCs w:val="22"/>
              </w:rPr>
            </w:pPr>
            <w:r w:rsidRPr="0089243D">
              <w:rPr>
                <w:rFonts w:asciiTheme="minorHAnsi" w:hAnsiTheme="minorHAnsi"/>
                <w:sz w:val="22"/>
                <w:szCs w:val="22"/>
              </w:rPr>
              <w:t>4</w:t>
            </w:r>
            <w:r>
              <w:rPr>
                <w:rFonts w:asciiTheme="minorHAnsi" w:hAnsiTheme="minorHAnsi"/>
                <w:sz w:val="22"/>
                <w:szCs w:val="22"/>
              </w:rPr>
              <w:t>6.4</w:t>
            </w:r>
            <w:r w:rsidRPr="0089243D">
              <w:rPr>
                <w:rFonts w:asciiTheme="minorHAnsi" w:hAnsiTheme="minorHAnsi"/>
                <w:sz w:val="22"/>
                <w:szCs w:val="22"/>
              </w:rPr>
              <w:t xml:space="preserve"> (</w:t>
            </w:r>
            <w:r>
              <w:rPr>
                <w:rFonts w:asciiTheme="minorHAnsi" w:hAnsiTheme="minorHAnsi"/>
                <w:sz w:val="22"/>
                <w:szCs w:val="22"/>
              </w:rPr>
              <w:t>32.1-60.7</w:t>
            </w:r>
            <w:r w:rsidRPr="0089243D">
              <w:rPr>
                <w:rFonts w:asciiTheme="minorHAnsi" w:hAnsiTheme="minorHAnsi"/>
                <w:sz w:val="22"/>
                <w:szCs w:val="22"/>
              </w:rPr>
              <w:t>)</w:t>
            </w:r>
          </w:p>
        </w:tc>
        <w:tc>
          <w:tcPr>
            <w:tcW w:w="898" w:type="pct"/>
            <w:tcBorders>
              <w:left w:val="nil"/>
              <w:right w:val="nil"/>
            </w:tcBorders>
          </w:tcPr>
          <w:p w:rsidR="00072449" w:rsidRPr="0089243D" w:rsidRDefault="00072449" w:rsidP="001A0F1E">
            <w:pPr>
              <w:spacing w:line="240" w:lineRule="auto"/>
              <w:rPr>
                <w:rFonts w:asciiTheme="minorHAnsi" w:hAnsiTheme="minorHAnsi"/>
                <w:sz w:val="22"/>
                <w:szCs w:val="22"/>
              </w:rPr>
            </w:pPr>
            <w:r w:rsidRPr="0089243D">
              <w:rPr>
                <w:rFonts w:asciiTheme="minorHAnsi" w:hAnsiTheme="minorHAnsi"/>
                <w:sz w:val="22"/>
                <w:szCs w:val="22"/>
              </w:rPr>
              <w:t>6</w:t>
            </w:r>
            <w:r>
              <w:rPr>
                <w:rFonts w:asciiTheme="minorHAnsi" w:hAnsiTheme="minorHAnsi"/>
                <w:sz w:val="22"/>
                <w:szCs w:val="22"/>
              </w:rPr>
              <w:t>4.3</w:t>
            </w:r>
            <w:r w:rsidRPr="0089243D">
              <w:rPr>
                <w:rFonts w:asciiTheme="minorHAnsi" w:hAnsiTheme="minorHAnsi"/>
                <w:sz w:val="22"/>
                <w:szCs w:val="22"/>
              </w:rPr>
              <w:t xml:space="preserve"> (</w:t>
            </w:r>
            <w:r>
              <w:rPr>
                <w:rFonts w:asciiTheme="minorHAnsi" w:hAnsiTheme="minorHAnsi"/>
                <w:sz w:val="22"/>
                <w:szCs w:val="22"/>
              </w:rPr>
              <w:t>50.0-75.0</w:t>
            </w:r>
            <w:r w:rsidRPr="0089243D">
              <w:rPr>
                <w:rFonts w:asciiTheme="minorHAnsi" w:hAnsiTheme="minorHAnsi"/>
                <w:sz w:val="22"/>
                <w:szCs w:val="22"/>
              </w:rPr>
              <w:t>)</w:t>
            </w:r>
          </w:p>
        </w:tc>
        <w:tc>
          <w:tcPr>
            <w:tcW w:w="450" w:type="pct"/>
            <w:tcBorders>
              <w:left w:val="nil"/>
              <w:right w:val="nil"/>
            </w:tcBorders>
          </w:tcPr>
          <w:p w:rsidR="00072449" w:rsidRPr="0089243D" w:rsidRDefault="00072449" w:rsidP="001A0F1E">
            <w:pPr>
              <w:spacing w:line="240" w:lineRule="auto"/>
              <w:rPr>
                <w:rFonts w:asciiTheme="minorHAnsi" w:hAnsiTheme="minorHAnsi"/>
                <w:sz w:val="22"/>
                <w:szCs w:val="22"/>
              </w:rPr>
            </w:pPr>
            <w:r>
              <w:rPr>
                <w:rFonts w:asciiTheme="minorHAnsi" w:hAnsiTheme="minorHAnsi"/>
                <w:sz w:val="22"/>
                <w:szCs w:val="22"/>
              </w:rPr>
              <w:t xml:space="preserve">&lt; </w:t>
            </w:r>
            <w:r w:rsidRPr="0089243D">
              <w:rPr>
                <w:rFonts w:asciiTheme="minorHAnsi" w:hAnsiTheme="minorHAnsi"/>
                <w:sz w:val="22"/>
                <w:szCs w:val="22"/>
              </w:rPr>
              <w:t>.001</w:t>
            </w:r>
          </w:p>
        </w:tc>
      </w:tr>
      <w:tr w:rsidR="00FF5DD5" w:rsidRPr="00415291" w:rsidTr="001A0F1E">
        <w:trPr>
          <w:trHeight w:hRule="exact" w:val="851"/>
        </w:trPr>
        <w:tc>
          <w:tcPr>
            <w:tcW w:w="956" w:type="pct"/>
            <w:tcBorders>
              <w:left w:val="nil"/>
              <w:right w:val="nil"/>
            </w:tcBorders>
          </w:tcPr>
          <w:p w:rsidR="00072449" w:rsidRPr="0089243D" w:rsidRDefault="00072449" w:rsidP="001A0F1E">
            <w:pPr>
              <w:spacing w:line="240" w:lineRule="auto"/>
              <w:rPr>
                <w:rFonts w:asciiTheme="minorHAnsi" w:hAnsiTheme="minorHAnsi"/>
                <w:sz w:val="22"/>
                <w:szCs w:val="22"/>
              </w:rPr>
            </w:pPr>
            <w:r>
              <w:rPr>
                <w:rFonts w:asciiTheme="minorHAnsi" w:hAnsiTheme="minorHAnsi"/>
                <w:sz w:val="22"/>
                <w:szCs w:val="22"/>
              </w:rPr>
              <w:t>Median</w:t>
            </w:r>
            <w:r w:rsidRPr="0089243D">
              <w:rPr>
                <w:rFonts w:asciiTheme="minorHAnsi" w:hAnsiTheme="minorHAnsi"/>
                <w:sz w:val="22"/>
                <w:szCs w:val="22"/>
              </w:rPr>
              <w:t xml:space="preserve"> (</w:t>
            </w:r>
            <w:r>
              <w:rPr>
                <w:rFonts w:asciiTheme="minorHAnsi" w:hAnsiTheme="minorHAnsi"/>
                <w:sz w:val="22"/>
                <w:szCs w:val="22"/>
              </w:rPr>
              <w:t>IQR</w:t>
            </w:r>
            <w:r w:rsidRPr="0089243D">
              <w:rPr>
                <w:rFonts w:asciiTheme="minorHAnsi" w:hAnsiTheme="minorHAnsi"/>
                <w:sz w:val="22"/>
                <w:szCs w:val="22"/>
              </w:rPr>
              <w:t xml:space="preserve">) psychological </w:t>
            </w:r>
            <w:r w:rsidR="00EE7A8F">
              <w:rPr>
                <w:rFonts w:asciiTheme="minorHAnsi" w:hAnsiTheme="minorHAnsi"/>
                <w:sz w:val="22"/>
                <w:szCs w:val="22"/>
              </w:rPr>
              <w:t>QOL</w:t>
            </w:r>
          </w:p>
        </w:tc>
        <w:tc>
          <w:tcPr>
            <w:tcW w:w="899" w:type="pct"/>
            <w:tcBorders>
              <w:left w:val="nil"/>
              <w:right w:val="nil"/>
            </w:tcBorders>
          </w:tcPr>
          <w:p w:rsidR="00072449" w:rsidRPr="0089243D" w:rsidRDefault="00072449" w:rsidP="001A0F1E">
            <w:pPr>
              <w:spacing w:line="240" w:lineRule="auto"/>
              <w:rPr>
                <w:rFonts w:asciiTheme="minorHAnsi" w:hAnsiTheme="minorHAnsi"/>
                <w:sz w:val="22"/>
                <w:szCs w:val="22"/>
              </w:rPr>
            </w:pPr>
            <w:r w:rsidRPr="0089243D">
              <w:rPr>
                <w:rFonts w:asciiTheme="minorHAnsi" w:hAnsiTheme="minorHAnsi"/>
                <w:sz w:val="22"/>
                <w:szCs w:val="22"/>
              </w:rPr>
              <w:t>45.8 (</w:t>
            </w:r>
            <w:r>
              <w:rPr>
                <w:rFonts w:asciiTheme="minorHAnsi" w:hAnsiTheme="minorHAnsi"/>
                <w:sz w:val="22"/>
                <w:szCs w:val="22"/>
              </w:rPr>
              <w:t>29</w:t>
            </w:r>
            <w:r w:rsidRPr="0089243D">
              <w:rPr>
                <w:rFonts w:asciiTheme="minorHAnsi" w:hAnsiTheme="minorHAnsi"/>
                <w:sz w:val="22"/>
                <w:szCs w:val="22"/>
              </w:rPr>
              <w:t>.2</w:t>
            </w:r>
            <w:r>
              <w:rPr>
                <w:rFonts w:asciiTheme="minorHAnsi" w:hAnsiTheme="minorHAnsi"/>
                <w:sz w:val="22"/>
                <w:szCs w:val="22"/>
              </w:rPr>
              <w:t>-62.5</w:t>
            </w:r>
            <w:r w:rsidRPr="0089243D">
              <w:rPr>
                <w:rFonts w:asciiTheme="minorHAnsi" w:hAnsiTheme="minorHAnsi"/>
                <w:sz w:val="22"/>
                <w:szCs w:val="22"/>
              </w:rPr>
              <w:t>)</w:t>
            </w:r>
          </w:p>
        </w:tc>
        <w:tc>
          <w:tcPr>
            <w:tcW w:w="899" w:type="pct"/>
            <w:tcBorders>
              <w:left w:val="nil"/>
              <w:right w:val="nil"/>
            </w:tcBorders>
          </w:tcPr>
          <w:p w:rsidR="00072449" w:rsidRPr="0089243D" w:rsidRDefault="00072449" w:rsidP="001A0F1E">
            <w:pPr>
              <w:spacing w:line="240" w:lineRule="auto"/>
              <w:rPr>
                <w:rFonts w:asciiTheme="minorHAnsi" w:hAnsiTheme="minorHAnsi"/>
                <w:sz w:val="22"/>
                <w:szCs w:val="22"/>
              </w:rPr>
            </w:pPr>
            <w:r>
              <w:rPr>
                <w:rFonts w:asciiTheme="minorHAnsi" w:hAnsiTheme="minorHAnsi"/>
                <w:sz w:val="22"/>
                <w:szCs w:val="22"/>
              </w:rPr>
              <w:t>4</w:t>
            </w:r>
            <w:r w:rsidR="005B77C0">
              <w:rPr>
                <w:rFonts w:asciiTheme="minorHAnsi" w:hAnsiTheme="minorHAnsi"/>
                <w:sz w:val="22"/>
                <w:szCs w:val="22"/>
              </w:rPr>
              <w:t>1.7</w:t>
            </w:r>
            <w:r w:rsidRPr="0089243D">
              <w:rPr>
                <w:rFonts w:asciiTheme="minorHAnsi" w:hAnsiTheme="minorHAnsi"/>
                <w:sz w:val="22"/>
                <w:szCs w:val="22"/>
              </w:rPr>
              <w:t xml:space="preserve"> (</w:t>
            </w:r>
            <w:r>
              <w:rPr>
                <w:rFonts w:asciiTheme="minorHAnsi" w:hAnsiTheme="minorHAnsi"/>
                <w:sz w:val="22"/>
                <w:szCs w:val="22"/>
              </w:rPr>
              <w:t>3</w:t>
            </w:r>
            <w:r w:rsidR="005B77C0">
              <w:rPr>
                <w:rFonts w:asciiTheme="minorHAnsi" w:hAnsiTheme="minorHAnsi"/>
                <w:sz w:val="22"/>
                <w:szCs w:val="22"/>
              </w:rPr>
              <w:t>2</w:t>
            </w:r>
            <w:r>
              <w:rPr>
                <w:rFonts w:asciiTheme="minorHAnsi" w:hAnsiTheme="minorHAnsi"/>
                <w:sz w:val="22"/>
                <w:szCs w:val="22"/>
              </w:rPr>
              <w:t>.3-62.5</w:t>
            </w:r>
            <w:r w:rsidRPr="0089243D">
              <w:rPr>
                <w:rFonts w:asciiTheme="minorHAnsi" w:hAnsiTheme="minorHAnsi"/>
                <w:sz w:val="22"/>
                <w:szCs w:val="22"/>
              </w:rPr>
              <w:t>)</w:t>
            </w:r>
          </w:p>
        </w:tc>
        <w:tc>
          <w:tcPr>
            <w:tcW w:w="899" w:type="pct"/>
            <w:tcBorders>
              <w:left w:val="nil"/>
              <w:right w:val="nil"/>
            </w:tcBorders>
          </w:tcPr>
          <w:p w:rsidR="00072449" w:rsidRPr="0089243D" w:rsidRDefault="00072449" w:rsidP="001A0F1E">
            <w:pPr>
              <w:spacing w:line="240" w:lineRule="auto"/>
              <w:rPr>
                <w:rFonts w:asciiTheme="minorHAnsi" w:hAnsiTheme="minorHAnsi"/>
                <w:sz w:val="22"/>
                <w:szCs w:val="22"/>
              </w:rPr>
            </w:pPr>
            <w:r w:rsidRPr="0089243D">
              <w:rPr>
                <w:rFonts w:asciiTheme="minorHAnsi" w:hAnsiTheme="minorHAnsi"/>
                <w:sz w:val="22"/>
                <w:szCs w:val="22"/>
              </w:rPr>
              <w:t>41.</w:t>
            </w:r>
            <w:r>
              <w:rPr>
                <w:rFonts w:asciiTheme="minorHAnsi" w:hAnsiTheme="minorHAnsi"/>
                <w:sz w:val="22"/>
                <w:szCs w:val="22"/>
              </w:rPr>
              <w:t>7</w:t>
            </w:r>
            <w:r w:rsidRPr="0089243D">
              <w:rPr>
                <w:rFonts w:asciiTheme="minorHAnsi" w:hAnsiTheme="minorHAnsi"/>
                <w:sz w:val="22"/>
                <w:szCs w:val="22"/>
              </w:rPr>
              <w:t xml:space="preserve"> (</w:t>
            </w:r>
            <w:r>
              <w:rPr>
                <w:rFonts w:asciiTheme="minorHAnsi" w:hAnsiTheme="minorHAnsi"/>
                <w:sz w:val="22"/>
                <w:szCs w:val="22"/>
              </w:rPr>
              <w:t>25.0-58.3</w:t>
            </w:r>
            <w:r w:rsidRPr="0089243D">
              <w:rPr>
                <w:rFonts w:asciiTheme="minorHAnsi" w:hAnsiTheme="minorHAnsi"/>
                <w:sz w:val="22"/>
                <w:szCs w:val="22"/>
              </w:rPr>
              <w:t>)</w:t>
            </w:r>
          </w:p>
        </w:tc>
        <w:tc>
          <w:tcPr>
            <w:tcW w:w="898" w:type="pct"/>
            <w:tcBorders>
              <w:left w:val="nil"/>
              <w:right w:val="nil"/>
            </w:tcBorders>
          </w:tcPr>
          <w:p w:rsidR="00072449" w:rsidRPr="0089243D" w:rsidRDefault="00072449" w:rsidP="001A0F1E">
            <w:pPr>
              <w:spacing w:line="240" w:lineRule="auto"/>
              <w:rPr>
                <w:rFonts w:asciiTheme="minorHAnsi" w:hAnsiTheme="minorHAnsi"/>
                <w:sz w:val="22"/>
                <w:szCs w:val="22"/>
              </w:rPr>
            </w:pPr>
            <w:r w:rsidRPr="0089243D">
              <w:rPr>
                <w:rFonts w:asciiTheme="minorHAnsi" w:hAnsiTheme="minorHAnsi"/>
                <w:sz w:val="22"/>
                <w:szCs w:val="22"/>
              </w:rPr>
              <w:t>5</w:t>
            </w:r>
            <w:r>
              <w:rPr>
                <w:rFonts w:asciiTheme="minorHAnsi" w:hAnsiTheme="minorHAnsi"/>
                <w:sz w:val="22"/>
                <w:szCs w:val="22"/>
              </w:rPr>
              <w:t>4.2</w:t>
            </w:r>
            <w:r w:rsidRPr="0089243D">
              <w:rPr>
                <w:rFonts w:asciiTheme="minorHAnsi" w:hAnsiTheme="minorHAnsi"/>
                <w:sz w:val="22"/>
                <w:szCs w:val="22"/>
              </w:rPr>
              <w:t xml:space="preserve"> (</w:t>
            </w:r>
            <w:r>
              <w:rPr>
                <w:rFonts w:asciiTheme="minorHAnsi" w:hAnsiTheme="minorHAnsi"/>
                <w:sz w:val="22"/>
                <w:szCs w:val="22"/>
              </w:rPr>
              <w:t>37.5-66.7</w:t>
            </w:r>
            <w:r w:rsidRPr="0089243D">
              <w:rPr>
                <w:rFonts w:asciiTheme="minorHAnsi" w:hAnsiTheme="minorHAnsi"/>
                <w:sz w:val="22"/>
                <w:szCs w:val="22"/>
              </w:rPr>
              <w:t>)</w:t>
            </w:r>
          </w:p>
        </w:tc>
        <w:tc>
          <w:tcPr>
            <w:tcW w:w="450" w:type="pct"/>
            <w:tcBorders>
              <w:left w:val="nil"/>
              <w:right w:val="nil"/>
            </w:tcBorders>
          </w:tcPr>
          <w:p w:rsidR="00072449" w:rsidRPr="0089243D" w:rsidRDefault="00072449" w:rsidP="001A0F1E">
            <w:pPr>
              <w:spacing w:line="240" w:lineRule="auto"/>
              <w:rPr>
                <w:rFonts w:asciiTheme="minorHAnsi" w:hAnsiTheme="minorHAnsi"/>
                <w:sz w:val="22"/>
                <w:szCs w:val="22"/>
              </w:rPr>
            </w:pPr>
            <w:r>
              <w:rPr>
                <w:rFonts w:asciiTheme="minorHAnsi" w:hAnsiTheme="minorHAnsi"/>
                <w:sz w:val="22"/>
                <w:szCs w:val="22"/>
              </w:rPr>
              <w:t xml:space="preserve">&lt; </w:t>
            </w:r>
            <w:r w:rsidRPr="0089243D">
              <w:rPr>
                <w:rFonts w:asciiTheme="minorHAnsi" w:hAnsiTheme="minorHAnsi"/>
                <w:sz w:val="22"/>
                <w:szCs w:val="22"/>
              </w:rPr>
              <w:t>.001</w:t>
            </w:r>
          </w:p>
        </w:tc>
      </w:tr>
      <w:tr w:rsidR="00FF5DD5" w:rsidRPr="00415291" w:rsidTr="001A0F1E">
        <w:trPr>
          <w:trHeight w:hRule="exact" w:val="567"/>
        </w:trPr>
        <w:tc>
          <w:tcPr>
            <w:tcW w:w="956" w:type="pct"/>
            <w:tcBorders>
              <w:left w:val="nil"/>
              <w:right w:val="nil"/>
            </w:tcBorders>
          </w:tcPr>
          <w:p w:rsidR="00072449" w:rsidRPr="0089243D" w:rsidRDefault="00072449" w:rsidP="001A0F1E">
            <w:pPr>
              <w:spacing w:line="240" w:lineRule="auto"/>
              <w:rPr>
                <w:rFonts w:asciiTheme="minorHAnsi" w:hAnsiTheme="minorHAnsi"/>
                <w:sz w:val="22"/>
                <w:szCs w:val="22"/>
              </w:rPr>
            </w:pPr>
            <w:r>
              <w:rPr>
                <w:rFonts w:asciiTheme="minorHAnsi" w:hAnsiTheme="minorHAnsi"/>
                <w:sz w:val="22"/>
                <w:szCs w:val="22"/>
              </w:rPr>
              <w:t>Median</w:t>
            </w:r>
            <w:r w:rsidRPr="0089243D">
              <w:rPr>
                <w:rFonts w:asciiTheme="minorHAnsi" w:hAnsiTheme="minorHAnsi"/>
                <w:sz w:val="22"/>
                <w:szCs w:val="22"/>
              </w:rPr>
              <w:t xml:space="preserve"> (</w:t>
            </w:r>
            <w:r>
              <w:rPr>
                <w:rFonts w:asciiTheme="minorHAnsi" w:hAnsiTheme="minorHAnsi"/>
                <w:sz w:val="22"/>
                <w:szCs w:val="22"/>
              </w:rPr>
              <w:t>IQR</w:t>
            </w:r>
            <w:r w:rsidRPr="0089243D">
              <w:rPr>
                <w:rFonts w:asciiTheme="minorHAnsi" w:hAnsiTheme="minorHAnsi"/>
                <w:sz w:val="22"/>
                <w:szCs w:val="22"/>
              </w:rPr>
              <w:t xml:space="preserve">) social </w:t>
            </w:r>
            <w:r w:rsidR="00EE7A8F">
              <w:rPr>
                <w:rFonts w:asciiTheme="minorHAnsi" w:hAnsiTheme="minorHAnsi"/>
                <w:sz w:val="22"/>
                <w:szCs w:val="22"/>
              </w:rPr>
              <w:t>QOL</w:t>
            </w:r>
          </w:p>
        </w:tc>
        <w:tc>
          <w:tcPr>
            <w:tcW w:w="899" w:type="pct"/>
            <w:tcBorders>
              <w:left w:val="nil"/>
              <w:right w:val="nil"/>
            </w:tcBorders>
          </w:tcPr>
          <w:p w:rsidR="00072449" w:rsidRPr="0089243D" w:rsidRDefault="00072449" w:rsidP="001A0F1E">
            <w:pPr>
              <w:spacing w:line="240" w:lineRule="auto"/>
              <w:rPr>
                <w:rFonts w:asciiTheme="minorHAnsi" w:hAnsiTheme="minorHAnsi"/>
                <w:sz w:val="22"/>
                <w:szCs w:val="22"/>
              </w:rPr>
            </w:pPr>
            <w:r w:rsidRPr="0089243D">
              <w:rPr>
                <w:rFonts w:asciiTheme="minorHAnsi" w:hAnsiTheme="minorHAnsi"/>
                <w:sz w:val="22"/>
                <w:szCs w:val="22"/>
              </w:rPr>
              <w:t>4</w:t>
            </w:r>
            <w:r>
              <w:rPr>
                <w:rFonts w:asciiTheme="minorHAnsi" w:hAnsiTheme="minorHAnsi"/>
                <w:sz w:val="22"/>
                <w:szCs w:val="22"/>
              </w:rPr>
              <w:t>1.7</w:t>
            </w:r>
            <w:r w:rsidRPr="0089243D">
              <w:rPr>
                <w:rFonts w:asciiTheme="minorHAnsi" w:hAnsiTheme="minorHAnsi"/>
                <w:sz w:val="22"/>
                <w:szCs w:val="22"/>
              </w:rPr>
              <w:t xml:space="preserve"> (2</w:t>
            </w:r>
            <w:r>
              <w:rPr>
                <w:rFonts w:asciiTheme="minorHAnsi" w:hAnsiTheme="minorHAnsi"/>
                <w:sz w:val="22"/>
                <w:szCs w:val="22"/>
              </w:rPr>
              <w:t>5</w:t>
            </w:r>
            <w:r w:rsidRPr="0089243D">
              <w:rPr>
                <w:rFonts w:asciiTheme="minorHAnsi" w:hAnsiTheme="minorHAnsi"/>
                <w:sz w:val="22"/>
                <w:szCs w:val="22"/>
              </w:rPr>
              <w:t>.0</w:t>
            </w:r>
            <w:r>
              <w:rPr>
                <w:rFonts w:asciiTheme="minorHAnsi" w:hAnsiTheme="minorHAnsi"/>
                <w:sz w:val="22"/>
                <w:szCs w:val="22"/>
              </w:rPr>
              <w:t>-58.3</w:t>
            </w:r>
            <w:r w:rsidRPr="0089243D">
              <w:rPr>
                <w:rFonts w:asciiTheme="minorHAnsi" w:hAnsiTheme="minorHAnsi"/>
                <w:sz w:val="22"/>
                <w:szCs w:val="22"/>
              </w:rPr>
              <w:t>)</w:t>
            </w:r>
          </w:p>
        </w:tc>
        <w:tc>
          <w:tcPr>
            <w:tcW w:w="899" w:type="pct"/>
            <w:tcBorders>
              <w:left w:val="nil"/>
              <w:right w:val="nil"/>
            </w:tcBorders>
          </w:tcPr>
          <w:p w:rsidR="00072449" w:rsidRPr="0089243D" w:rsidRDefault="00072449" w:rsidP="001A0F1E">
            <w:pPr>
              <w:spacing w:line="240" w:lineRule="auto"/>
              <w:rPr>
                <w:rFonts w:asciiTheme="minorHAnsi" w:hAnsiTheme="minorHAnsi"/>
                <w:sz w:val="22"/>
                <w:szCs w:val="22"/>
              </w:rPr>
            </w:pPr>
            <w:r>
              <w:rPr>
                <w:rFonts w:asciiTheme="minorHAnsi" w:hAnsiTheme="minorHAnsi"/>
                <w:sz w:val="22"/>
                <w:szCs w:val="22"/>
              </w:rPr>
              <w:t>50.0</w:t>
            </w:r>
            <w:r w:rsidRPr="0089243D">
              <w:rPr>
                <w:rFonts w:asciiTheme="minorHAnsi" w:hAnsiTheme="minorHAnsi"/>
                <w:sz w:val="22"/>
                <w:szCs w:val="22"/>
              </w:rPr>
              <w:t xml:space="preserve"> (2</w:t>
            </w:r>
            <w:r>
              <w:rPr>
                <w:rFonts w:asciiTheme="minorHAnsi" w:hAnsiTheme="minorHAnsi"/>
                <w:sz w:val="22"/>
                <w:szCs w:val="22"/>
              </w:rPr>
              <w:t>5</w:t>
            </w:r>
            <w:r w:rsidRPr="0089243D">
              <w:rPr>
                <w:rFonts w:asciiTheme="minorHAnsi" w:hAnsiTheme="minorHAnsi"/>
                <w:sz w:val="22"/>
                <w:szCs w:val="22"/>
              </w:rPr>
              <w:t>.0</w:t>
            </w:r>
            <w:r>
              <w:rPr>
                <w:rFonts w:asciiTheme="minorHAnsi" w:hAnsiTheme="minorHAnsi"/>
                <w:sz w:val="22"/>
                <w:szCs w:val="22"/>
              </w:rPr>
              <w:t>-58.3</w:t>
            </w:r>
            <w:r w:rsidRPr="0089243D">
              <w:rPr>
                <w:rFonts w:asciiTheme="minorHAnsi" w:hAnsiTheme="minorHAnsi"/>
                <w:sz w:val="22"/>
                <w:szCs w:val="22"/>
              </w:rPr>
              <w:t>)</w:t>
            </w:r>
          </w:p>
        </w:tc>
        <w:tc>
          <w:tcPr>
            <w:tcW w:w="899" w:type="pct"/>
            <w:tcBorders>
              <w:left w:val="nil"/>
              <w:right w:val="nil"/>
            </w:tcBorders>
          </w:tcPr>
          <w:p w:rsidR="00072449" w:rsidRPr="0089243D" w:rsidRDefault="00072449" w:rsidP="001A0F1E">
            <w:pPr>
              <w:spacing w:line="240" w:lineRule="auto"/>
              <w:rPr>
                <w:rFonts w:asciiTheme="minorHAnsi" w:hAnsiTheme="minorHAnsi"/>
                <w:sz w:val="22"/>
                <w:szCs w:val="22"/>
              </w:rPr>
            </w:pPr>
            <w:r w:rsidRPr="0089243D">
              <w:rPr>
                <w:rFonts w:asciiTheme="minorHAnsi" w:hAnsiTheme="minorHAnsi"/>
                <w:sz w:val="22"/>
                <w:szCs w:val="22"/>
              </w:rPr>
              <w:t>41.</w:t>
            </w:r>
            <w:r>
              <w:rPr>
                <w:rFonts w:asciiTheme="minorHAnsi" w:hAnsiTheme="minorHAnsi"/>
                <w:sz w:val="22"/>
                <w:szCs w:val="22"/>
              </w:rPr>
              <w:t>7</w:t>
            </w:r>
            <w:r w:rsidRPr="0089243D">
              <w:rPr>
                <w:rFonts w:asciiTheme="minorHAnsi" w:hAnsiTheme="minorHAnsi"/>
                <w:sz w:val="22"/>
                <w:szCs w:val="22"/>
              </w:rPr>
              <w:t xml:space="preserve"> (25.0</w:t>
            </w:r>
            <w:r>
              <w:rPr>
                <w:rFonts w:asciiTheme="minorHAnsi" w:hAnsiTheme="minorHAnsi"/>
                <w:sz w:val="22"/>
                <w:szCs w:val="22"/>
              </w:rPr>
              <w:t>-58.3</w:t>
            </w:r>
            <w:r w:rsidRPr="0089243D">
              <w:rPr>
                <w:rFonts w:asciiTheme="minorHAnsi" w:hAnsiTheme="minorHAnsi"/>
                <w:sz w:val="22"/>
                <w:szCs w:val="22"/>
              </w:rPr>
              <w:t>)</w:t>
            </w:r>
          </w:p>
        </w:tc>
        <w:tc>
          <w:tcPr>
            <w:tcW w:w="898" w:type="pct"/>
            <w:tcBorders>
              <w:left w:val="nil"/>
              <w:right w:val="nil"/>
            </w:tcBorders>
          </w:tcPr>
          <w:p w:rsidR="00072449" w:rsidRPr="0089243D" w:rsidRDefault="00072449" w:rsidP="001A0F1E">
            <w:pPr>
              <w:spacing w:line="240" w:lineRule="auto"/>
              <w:rPr>
                <w:rFonts w:asciiTheme="minorHAnsi" w:hAnsiTheme="minorHAnsi"/>
                <w:sz w:val="22"/>
                <w:szCs w:val="22"/>
              </w:rPr>
            </w:pPr>
            <w:r>
              <w:rPr>
                <w:rFonts w:asciiTheme="minorHAnsi" w:hAnsiTheme="minorHAnsi"/>
                <w:sz w:val="22"/>
                <w:szCs w:val="22"/>
              </w:rPr>
              <w:t>50.0</w:t>
            </w:r>
            <w:r w:rsidRPr="0089243D">
              <w:rPr>
                <w:rFonts w:asciiTheme="minorHAnsi" w:hAnsiTheme="minorHAnsi"/>
                <w:sz w:val="22"/>
                <w:szCs w:val="22"/>
              </w:rPr>
              <w:t xml:space="preserve"> (</w:t>
            </w:r>
            <w:r>
              <w:rPr>
                <w:rFonts w:asciiTheme="minorHAnsi" w:hAnsiTheme="minorHAnsi"/>
                <w:sz w:val="22"/>
                <w:szCs w:val="22"/>
              </w:rPr>
              <w:t>33.3-66.7</w:t>
            </w:r>
            <w:r w:rsidRPr="0089243D">
              <w:rPr>
                <w:rFonts w:asciiTheme="minorHAnsi" w:hAnsiTheme="minorHAnsi"/>
                <w:sz w:val="22"/>
                <w:szCs w:val="22"/>
              </w:rPr>
              <w:t>)</w:t>
            </w:r>
          </w:p>
        </w:tc>
        <w:tc>
          <w:tcPr>
            <w:tcW w:w="450" w:type="pct"/>
            <w:tcBorders>
              <w:left w:val="nil"/>
              <w:right w:val="nil"/>
            </w:tcBorders>
          </w:tcPr>
          <w:p w:rsidR="00072449" w:rsidRPr="0089243D" w:rsidRDefault="00072449" w:rsidP="001A0F1E">
            <w:pPr>
              <w:spacing w:line="240" w:lineRule="auto"/>
              <w:rPr>
                <w:rFonts w:asciiTheme="minorHAnsi" w:hAnsiTheme="minorHAnsi"/>
                <w:sz w:val="22"/>
                <w:szCs w:val="22"/>
              </w:rPr>
            </w:pPr>
            <w:r>
              <w:rPr>
                <w:rFonts w:asciiTheme="minorHAnsi" w:hAnsiTheme="minorHAnsi"/>
                <w:sz w:val="22"/>
                <w:szCs w:val="22"/>
              </w:rPr>
              <w:t xml:space="preserve">&lt; </w:t>
            </w:r>
            <w:r w:rsidRPr="0089243D">
              <w:rPr>
                <w:rFonts w:asciiTheme="minorHAnsi" w:hAnsiTheme="minorHAnsi"/>
                <w:sz w:val="22"/>
                <w:szCs w:val="22"/>
              </w:rPr>
              <w:t>.0</w:t>
            </w:r>
            <w:r>
              <w:rPr>
                <w:rFonts w:asciiTheme="minorHAnsi" w:hAnsiTheme="minorHAnsi"/>
                <w:sz w:val="22"/>
                <w:szCs w:val="22"/>
              </w:rPr>
              <w:t>5</w:t>
            </w:r>
          </w:p>
        </w:tc>
      </w:tr>
      <w:tr w:rsidR="00FF5DD5" w:rsidRPr="00415291" w:rsidTr="001A0F1E">
        <w:trPr>
          <w:trHeight w:hRule="exact" w:val="851"/>
        </w:trPr>
        <w:tc>
          <w:tcPr>
            <w:tcW w:w="956" w:type="pct"/>
            <w:tcBorders>
              <w:left w:val="nil"/>
              <w:bottom w:val="single" w:sz="4" w:space="0" w:color="auto"/>
              <w:right w:val="nil"/>
            </w:tcBorders>
          </w:tcPr>
          <w:p w:rsidR="00072449" w:rsidRPr="0089243D" w:rsidRDefault="00072449" w:rsidP="001A0F1E">
            <w:pPr>
              <w:spacing w:line="240" w:lineRule="auto"/>
              <w:rPr>
                <w:rFonts w:asciiTheme="minorHAnsi" w:hAnsiTheme="minorHAnsi"/>
                <w:sz w:val="22"/>
                <w:szCs w:val="22"/>
              </w:rPr>
            </w:pPr>
            <w:r>
              <w:rPr>
                <w:rFonts w:asciiTheme="minorHAnsi" w:hAnsiTheme="minorHAnsi"/>
                <w:sz w:val="22"/>
                <w:szCs w:val="22"/>
              </w:rPr>
              <w:t>Median</w:t>
            </w:r>
            <w:r w:rsidRPr="0089243D">
              <w:rPr>
                <w:rFonts w:asciiTheme="minorHAnsi" w:hAnsiTheme="minorHAnsi"/>
                <w:sz w:val="22"/>
                <w:szCs w:val="22"/>
              </w:rPr>
              <w:t xml:space="preserve"> (</w:t>
            </w:r>
            <w:r>
              <w:rPr>
                <w:rFonts w:asciiTheme="minorHAnsi" w:hAnsiTheme="minorHAnsi"/>
                <w:sz w:val="22"/>
                <w:szCs w:val="22"/>
              </w:rPr>
              <w:t>IQR</w:t>
            </w:r>
            <w:r w:rsidRPr="0089243D">
              <w:rPr>
                <w:rFonts w:asciiTheme="minorHAnsi" w:hAnsiTheme="minorHAnsi"/>
                <w:sz w:val="22"/>
                <w:szCs w:val="22"/>
              </w:rPr>
              <w:t xml:space="preserve">) environmental </w:t>
            </w:r>
            <w:r w:rsidR="00EE7A8F">
              <w:rPr>
                <w:rFonts w:asciiTheme="minorHAnsi" w:hAnsiTheme="minorHAnsi"/>
                <w:sz w:val="22"/>
                <w:szCs w:val="22"/>
              </w:rPr>
              <w:t>QOL</w:t>
            </w:r>
          </w:p>
        </w:tc>
        <w:tc>
          <w:tcPr>
            <w:tcW w:w="899" w:type="pct"/>
            <w:tcBorders>
              <w:left w:val="nil"/>
              <w:bottom w:val="single" w:sz="4" w:space="0" w:color="auto"/>
              <w:right w:val="nil"/>
            </w:tcBorders>
          </w:tcPr>
          <w:p w:rsidR="00072449" w:rsidRPr="0089243D" w:rsidRDefault="00072449" w:rsidP="001A0F1E">
            <w:pPr>
              <w:spacing w:line="240" w:lineRule="auto"/>
              <w:rPr>
                <w:rFonts w:asciiTheme="minorHAnsi" w:hAnsiTheme="minorHAnsi"/>
                <w:sz w:val="22"/>
                <w:szCs w:val="22"/>
              </w:rPr>
            </w:pPr>
            <w:r w:rsidRPr="0089243D">
              <w:rPr>
                <w:rFonts w:asciiTheme="minorHAnsi" w:hAnsiTheme="minorHAnsi"/>
                <w:sz w:val="22"/>
                <w:szCs w:val="22"/>
              </w:rPr>
              <w:t>5</w:t>
            </w:r>
            <w:r>
              <w:rPr>
                <w:rFonts w:asciiTheme="minorHAnsi" w:hAnsiTheme="minorHAnsi"/>
                <w:sz w:val="22"/>
                <w:szCs w:val="22"/>
              </w:rPr>
              <w:t>9.4</w:t>
            </w:r>
            <w:r w:rsidRPr="0089243D">
              <w:rPr>
                <w:rFonts w:asciiTheme="minorHAnsi" w:hAnsiTheme="minorHAnsi"/>
                <w:sz w:val="22"/>
                <w:szCs w:val="22"/>
              </w:rPr>
              <w:t xml:space="preserve"> (</w:t>
            </w:r>
            <w:r>
              <w:rPr>
                <w:rFonts w:asciiTheme="minorHAnsi" w:hAnsiTheme="minorHAnsi"/>
                <w:sz w:val="22"/>
                <w:szCs w:val="22"/>
              </w:rPr>
              <w:t>46.9-71.9</w:t>
            </w:r>
            <w:r w:rsidRPr="0089243D">
              <w:rPr>
                <w:rFonts w:asciiTheme="minorHAnsi" w:hAnsiTheme="minorHAnsi"/>
                <w:sz w:val="22"/>
                <w:szCs w:val="22"/>
              </w:rPr>
              <w:t>)</w:t>
            </w:r>
          </w:p>
        </w:tc>
        <w:tc>
          <w:tcPr>
            <w:tcW w:w="899" w:type="pct"/>
            <w:tcBorders>
              <w:left w:val="nil"/>
              <w:bottom w:val="single" w:sz="4" w:space="0" w:color="auto"/>
              <w:right w:val="nil"/>
            </w:tcBorders>
          </w:tcPr>
          <w:p w:rsidR="00072449" w:rsidRPr="0089243D" w:rsidRDefault="00072449" w:rsidP="001A0F1E">
            <w:pPr>
              <w:spacing w:line="240" w:lineRule="auto"/>
              <w:rPr>
                <w:rFonts w:asciiTheme="minorHAnsi" w:hAnsiTheme="minorHAnsi"/>
                <w:sz w:val="22"/>
                <w:szCs w:val="22"/>
              </w:rPr>
            </w:pPr>
            <w:r w:rsidRPr="0089243D">
              <w:rPr>
                <w:rFonts w:asciiTheme="minorHAnsi" w:hAnsiTheme="minorHAnsi"/>
                <w:sz w:val="22"/>
                <w:szCs w:val="22"/>
              </w:rPr>
              <w:t>5</w:t>
            </w:r>
            <w:r>
              <w:rPr>
                <w:rFonts w:asciiTheme="minorHAnsi" w:hAnsiTheme="minorHAnsi"/>
                <w:sz w:val="22"/>
                <w:szCs w:val="22"/>
              </w:rPr>
              <w:t>9</w:t>
            </w:r>
            <w:r w:rsidRPr="0089243D">
              <w:rPr>
                <w:rFonts w:asciiTheme="minorHAnsi" w:hAnsiTheme="minorHAnsi"/>
                <w:sz w:val="22"/>
                <w:szCs w:val="22"/>
              </w:rPr>
              <w:t>.</w:t>
            </w:r>
            <w:r>
              <w:rPr>
                <w:rFonts w:asciiTheme="minorHAnsi" w:hAnsiTheme="minorHAnsi"/>
                <w:sz w:val="22"/>
                <w:szCs w:val="22"/>
              </w:rPr>
              <w:t>4</w:t>
            </w:r>
            <w:r w:rsidRPr="0089243D">
              <w:rPr>
                <w:rFonts w:asciiTheme="minorHAnsi" w:hAnsiTheme="minorHAnsi"/>
                <w:sz w:val="22"/>
                <w:szCs w:val="22"/>
              </w:rPr>
              <w:t xml:space="preserve"> (</w:t>
            </w:r>
            <w:r>
              <w:rPr>
                <w:rFonts w:asciiTheme="minorHAnsi" w:hAnsiTheme="minorHAnsi"/>
                <w:sz w:val="22"/>
                <w:szCs w:val="22"/>
              </w:rPr>
              <w:t>43.8-71.9</w:t>
            </w:r>
            <w:r w:rsidRPr="0089243D">
              <w:rPr>
                <w:rFonts w:asciiTheme="minorHAnsi" w:hAnsiTheme="minorHAnsi"/>
                <w:sz w:val="22"/>
                <w:szCs w:val="22"/>
              </w:rPr>
              <w:t>)</w:t>
            </w:r>
          </w:p>
        </w:tc>
        <w:tc>
          <w:tcPr>
            <w:tcW w:w="899" w:type="pct"/>
            <w:tcBorders>
              <w:left w:val="nil"/>
              <w:bottom w:val="single" w:sz="4" w:space="0" w:color="auto"/>
              <w:right w:val="nil"/>
            </w:tcBorders>
          </w:tcPr>
          <w:p w:rsidR="00072449" w:rsidRPr="0089243D" w:rsidRDefault="00072449" w:rsidP="001A0F1E">
            <w:pPr>
              <w:spacing w:line="240" w:lineRule="auto"/>
              <w:rPr>
                <w:rFonts w:asciiTheme="minorHAnsi" w:hAnsiTheme="minorHAnsi"/>
                <w:sz w:val="22"/>
                <w:szCs w:val="22"/>
              </w:rPr>
            </w:pPr>
            <w:r>
              <w:rPr>
                <w:rFonts w:asciiTheme="minorHAnsi" w:hAnsiTheme="minorHAnsi"/>
                <w:sz w:val="22"/>
                <w:szCs w:val="22"/>
              </w:rPr>
              <w:t>56.2</w:t>
            </w:r>
            <w:r w:rsidRPr="0089243D">
              <w:rPr>
                <w:rFonts w:asciiTheme="minorHAnsi" w:hAnsiTheme="minorHAnsi"/>
                <w:sz w:val="22"/>
                <w:szCs w:val="22"/>
              </w:rPr>
              <w:t xml:space="preserve"> (</w:t>
            </w:r>
            <w:r>
              <w:rPr>
                <w:rFonts w:asciiTheme="minorHAnsi" w:hAnsiTheme="minorHAnsi"/>
                <w:sz w:val="22"/>
                <w:szCs w:val="22"/>
              </w:rPr>
              <w:t>46.9-71.9</w:t>
            </w:r>
            <w:r w:rsidRPr="0089243D">
              <w:rPr>
                <w:rFonts w:asciiTheme="minorHAnsi" w:hAnsiTheme="minorHAnsi"/>
                <w:sz w:val="22"/>
                <w:szCs w:val="22"/>
              </w:rPr>
              <w:t>)</w:t>
            </w:r>
          </w:p>
        </w:tc>
        <w:tc>
          <w:tcPr>
            <w:tcW w:w="898" w:type="pct"/>
            <w:tcBorders>
              <w:left w:val="nil"/>
              <w:bottom w:val="single" w:sz="4" w:space="0" w:color="auto"/>
              <w:right w:val="nil"/>
            </w:tcBorders>
          </w:tcPr>
          <w:p w:rsidR="00072449" w:rsidRPr="0089243D" w:rsidRDefault="00072449" w:rsidP="001A0F1E">
            <w:pPr>
              <w:spacing w:line="240" w:lineRule="auto"/>
              <w:rPr>
                <w:rFonts w:asciiTheme="minorHAnsi" w:hAnsiTheme="minorHAnsi"/>
                <w:sz w:val="22"/>
                <w:szCs w:val="22"/>
              </w:rPr>
            </w:pPr>
            <w:r w:rsidRPr="0089243D">
              <w:rPr>
                <w:rFonts w:asciiTheme="minorHAnsi" w:hAnsiTheme="minorHAnsi"/>
                <w:sz w:val="22"/>
                <w:szCs w:val="22"/>
              </w:rPr>
              <w:t>59.4 (</w:t>
            </w:r>
            <w:r>
              <w:rPr>
                <w:rFonts w:asciiTheme="minorHAnsi" w:hAnsiTheme="minorHAnsi"/>
                <w:sz w:val="22"/>
                <w:szCs w:val="22"/>
              </w:rPr>
              <w:t>50.0-71.9</w:t>
            </w:r>
            <w:r w:rsidRPr="0089243D">
              <w:rPr>
                <w:rFonts w:asciiTheme="minorHAnsi" w:hAnsiTheme="minorHAnsi"/>
                <w:sz w:val="22"/>
                <w:szCs w:val="22"/>
              </w:rPr>
              <w:t>)</w:t>
            </w:r>
          </w:p>
        </w:tc>
        <w:tc>
          <w:tcPr>
            <w:tcW w:w="450" w:type="pct"/>
            <w:tcBorders>
              <w:left w:val="nil"/>
              <w:bottom w:val="single" w:sz="4" w:space="0" w:color="auto"/>
              <w:right w:val="nil"/>
            </w:tcBorders>
          </w:tcPr>
          <w:p w:rsidR="00072449" w:rsidRPr="0089243D" w:rsidRDefault="00072449" w:rsidP="001A0F1E">
            <w:pPr>
              <w:spacing w:line="240" w:lineRule="auto"/>
              <w:rPr>
                <w:rFonts w:asciiTheme="minorHAnsi" w:hAnsiTheme="minorHAnsi"/>
                <w:sz w:val="22"/>
                <w:szCs w:val="22"/>
              </w:rPr>
            </w:pPr>
            <w:r w:rsidRPr="0089243D">
              <w:rPr>
                <w:rFonts w:asciiTheme="minorHAnsi" w:hAnsiTheme="minorHAnsi"/>
                <w:sz w:val="22"/>
                <w:szCs w:val="22"/>
              </w:rPr>
              <w:t>.</w:t>
            </w:r>
            <w:r>
              <w:rPr>
                <w:rFonts w:asciiTheme="minorHAnsi" w:hAnsiTheme="minorHAnsi"/>
                <w:sz w:val="22"/>
                <w:szCs w:val="22"/>
              </w:rPr>
              <w:t>36</w:t>
            </w:r>
          </w:p>
        </w:tc>
      </w:tr>
    </w:tbl>
    <w:p w:rsidR="00072449" w:rsidRPr="008E0FD3" w:rsidRDefault="00072449" w:rsidP="008E0FD3">
      <w:pPr>
        <w:spacing w:after="0"/>
        <w:rPr>
          <w:sz w:val="18"/>
        </w:rPr>
      </w:pPr>
      <w:r w:rsidRPr="008E0FD3">
        <w:rPr>
          <w:sz w:val="18"/>
        </w:rPr>
        <w:t>*Amount of missing data differed between analyses presented in this table, thus ranges given for Ns</w:t>
      </w:r>
    </w:p>
    <w:p w:rsidR="008C7777" w:rsidRDefault="008C7777" w:rsidP="00072449">
      <w:pPr>
        <w:rPr>
          <w:rFonts w:asciiTheme="minorHAnsi" w:hAnsiTheme="minorHAnsi"/>
          <w:sz w:val="20"/>
          <w:szCs w:val="20"/>
        </w:rPr>
      </w:pPr>
    </w:p>
    <w:p w:rsidR="00072449" w:rsidRPr="00477B2F" w:rsidRDefault="00072449" w:rsidP="0034684A">
      <w:pPr>
        <w:pStyle w:val="FAREH3"/>
      </w:pPr>
      <w:r w:rsidRPr="00477B2F">
        <w:t>Use of services in the year prior to study intake</w:t>
      </w:r>
    </w:p>
    <w:p w:rsidR="00072449" w:rsidRPr="00E63703" w:rsidRDefault="00072449" w:rsidP="00072449">
      <w:pPr>
        <w:pStyle w:val="FAREnormaltext"/>
      </w:pPr>
      <w:r>
        <w:t>Participants were asked to report on their use of AOD-specialist treatment, health and welfare and acute service use in the year prior to their PIT. T</w:t>
      </w:r>
      <w:r w:rsidRPr="00E63703">
        <w:t>able 3.</w:t>
      </w:r>
      <w:r>
        <w:t>6 displays the proportion of participants who engaged in each of these types of services</w:t>
      </w:r>
      <w:r w:rsidR="004516BD">
        <w:t xml:space="preserve">. </w:t>
      </w:r>
      <w:r w:rsidRPr="00E63703">
        <w:t>Based on participants’ reports of number of attendances at each type of service, we estimate</w:t>
      </w:r>
      <w:r>
        <w:t>d</w:t>
      </w:r>
      <w:r w:rsidRPr="00E63703">
        <w:t xml:space="preserve"> that the 795 participants who completed these questions collectively engaged in 541 episodes of acute withdrawal, 5,063 A</w:t>
      </w:r>
      <w:r>
        <w:t>O</w:t>
      </w:r>
      <w:r w:rsidRPr="00E63703">
        <w:t xml:space="preserve">D counselling sessions, 139 episodes of long-term residential rehabilitation, 8,890 appointments with a general practitioner, 723 ambulance attendances, 1,175 emergency department </w:t>
      </w:r>
      <w:r>
        <w:t>presentations</w:t>
      </w:r>
      <w:r w:rsidRPr="00E63703">
        <w:t xml:space="preserve">, 493 hospital inpatient admissions, 3,177 outpatient mental health service appointments, 803 legal aid appointments, 3,666 </w:t>
      </w:r>
      <w:r w:rsidRPr="00E63703">
        <w:lastRenderedPageBreak/>
        <w:t xml:space="preserve">employment service appointments, and 1,068 attendances at a housing or homelessness service in the year prior to their PIT. Overall, </w:t>
      </w:r>
      <w:r w:rsidR="00C808EB">
        <w:t>68</w:t>
      </w:r>
      <w:r w:rsidRPr="00E63703">
        <w:t>% of participants had previously attended some type of A</w:t>
      </w:r>
      <w:r>
        <w:t>O</w:t>
      </w:r>
      <w:r w:rsidRPr="00E63703">
        <w:t>D service. Prior A</w:t>
      </w:r>
      <w:r>
        <w:t>O</w:t>
      </w:r>
      <w:r w:rsidRPr="00E63703">
        <w:t>D service use was significantly more common among those in long-term residential tr</w:t>
      </w:r>
      <w:r>
        <w:t>eatment (80%) than outpatient participants</w:t>
      </w:r>
      <w:r w:rsidRPr="00E63703">
        <w:t xml:space="preserve"> (</w:t>
      </w:r>
      <w:r>
        <w:t>60</w:t>
      </w:r>
      <w:r w:rsidRPr="00E63703">
        <w:t xml:space="preserve">%) or acute withdrawal participants (64%). Participants in long-term residential treatment were significantly more likely than those in other groups to report prior attendance at an acute withdrawal service (perhaps reflecting the fact that supervised acute withdrawal is a prerequisite for attendance at many long-term residential services) and engagement in previous long-term residential treatments. </w:t>
      </w:r>
    </w:p>
    <w:p w:rsidR="00072449" w:rsidRPr="00E63703" w:rsidRDefault="00072449" w:rsidP="00072449">
      <w:pPr>
        <w:pStyle w:val="FAREnormaltext"/>
      </w:pPr>
      <w:r w:rsidRPr="00E63703">
        <w:t xml:space="preserve">While there were no differences between groups in </w:t>
      </w:r>
      <w:r>
        <w:t xml:space="preserve">the </w:t>
      </w:r>
      <w:r w:rsidRPr="00E63703">
        <w:t xml:space="preserve">proportion who had attended an appointment with a general practitioner (GP), or in mean number of </w:t>
      </w:r>
      <w:r>
        <w:t>visits, it is noteworthy that 25</w:t>
      </w:r>
      <w:r w:rsidRPr="00E63703">
        <w:t xml:space="preserve">% of the sample averaged more than one GP visit per month (13 or more visits in the past year), suggesting a high rate of general health problems in at least a large minority of the sample. This is further supported by the fact that </w:t>
      </w:r>
      <w:r>
        <w:t>60</w:t>
      </w:r>
      <w:r w:rsidRPr="00E63703">
        <w:t>% of participants used an acute health service (ambulance, emergency department (ED), or hospital inpatient admission) in this 12-month perio</w:t>
      </w:r>
      <w:r>
        <w:t>d, including 53</w:t>
      </w:r>
      <w:r w:rsidRPr="00E63703">
        <w:t xml:space="preserve">% who reported at least one ED </w:t>
      </w:r>
      <w:r>
        <w:t>presentation</w:t>
      </w:r>
      <w:r w:rsidRPr="00E63703">
        <w:t xml:space="preserve">. While overall proportion of participants attending these service types did not differ significantly between groups, long-term residential participants were significantly more likely to </w:t>
      </w:r>
      <w:r>
        <w:t>report multiple</w:t>
      </w:r>
      <w:r w:rsidRPr="00E63703">
        <w:t xml:space="preserve"> (2 or more) ED </w:t>
      </w:r>
      <w:r>
        <w:t xml:space="preserve">presentations than outpatient </w:t>
      </w:r>
      <w:r w:rsidRPr="00E63703">
        <w:t>participants or acute withdrawal participants (37% vs. 23% and 2</w:t>
      </w:r>
      <w:r>
        <w:t>9</w:t>
      </w:r>
      <w:r w:rsidRPr="00E63703">
        <w:t>% respectively). Outpatient</w:t>
      </w:r>
      <w:r>
        <w:t xml:space="preserve"> </w:t>
      </w:r>
      <w:r w:rsidRPr="00E63703">
        <w:t>participants</w:t>
      </w:r>
      <w:r>
        <w:t xml:space="preserve"> </w:t>
      </w:r>
      <w:r w:rsidRPr="00E63703">
        <w:t xml:space="preserve">were significantly more likely than other groups to have attended outpatient mental health services and housing/homelessness services. </w:t>
      </w:r>
    </w:p>
    <w:p w:rsidR="002461FE" w:rsidRDefault="002461FE">
      <w:pPr>
        <w:spacing w:after="120" w:line="240" w:lineRule="auto"/>
        <w:ind w:left="1191" w:hanging="1134"/>
        <w:jc w:val="both"/>
        <w:rPr>
          <w:b/>
        </w:rPr>
      </w:pPr>
      <w:bookmarkStart w:id="105" w:name="_Toc386108210"/>
      <w:bookmarkStart w:id="106" w:name="_Toc387426358"/>
      <w:r>
        <w:rPr>
          <w:b/>
        </w:rPr>
        <w:br w:type="page"/>
      </w:r>
    </w:p>
    <w:p w:rsidR="00072449" w:rsidRPr="00E41BCC" w:rsidRDefault="00072449" w:rsidP="00E41BCC">
      <w:pPr>
        <w:pStyle w:val="FAREtableheading"/>
      </w:pPr>
      <w:bookmarkStart w:id="107" w:name="_Toc398105068"/>
      <w:proofErr w:type="gramStart"/>
      <w:r w:rsidRPr="00E41BCC">
        <w:lastRenderedPageBreak/>
        <w:t xml:space="preserve">Table </w:t>
      </w:r>
      <w:r w:rsidR="00BE3D19" w:rsidRPr="00E41BCC">
        <w:fldChar w:fldCharType="begin"/>
      </w:r>
      <w:r w:rsidRPr="00E41BCC">
        <w:instrText xml:space="preserve"> STYLEREF 1 \s </w:instrText>
      </w:r>
      <w:r w:rsidR="00BE3D19" w:rsidRPr="00E41BCC">
        <w:fldChar w:fldCharType="separate"/>
      </w:r>
      <w:r w:rsidR="00E150CA">
        <w:rPr>
          <w:noProof/>
        </w:rPr>
        <w:t>3</w:t>
      </w:r>
      <w:r w:rsidR="00BE3D19" w:rsidRPr="00E41BCC">
        <w:fldChar w:fldCharType="end"/>
      </w:r>
      <w:r w:rsidRPr="00E41BCC">
        <w:t>.</w:t>
      </w:r>
      <w:proofErr w:type="gramEnd"/>
      <w:r w:rsidR="00BE3D19" w:rsidRPr="00E41BCC">
        <w:fldChar w:fldCharType="begin"/>
      </w:r>
      <w:r w:rsidRPr="00E41BCC">
        <w:instrText xml:space="preserve"> SEQ Table \* ARABIC \s 1 </w:instrText>
      </w:r>
      <w:r w:rsidR="00BE3D19" w:rsidRPr="00E41BCC">
        <w:fldChar w:fldCharType="separate"/>
      </w:r>
      <w:r w:rsidR="00E150CA">
        <w:rPr>
          <w:noProof/>
        </w:rPr>
        <w:t>6</w:t>
      </w:r>
      <w:r w:rsidR="00BE3D19" w:rsidRPr="00E41BCC">
        <w:fldChar w:fldCharType="end"/>
      </w:r>
      <w:r w:rsidR="006244F5" w:rsidRPr="00E41BCC">
        <w:t xml:space="preserve"> </w:t>
      </w:r>
      <w:r w:rsidR="005958CF" w:rsidRPr="00E41BCC">
        <w:t xml:space="preserve"> </w:t>
      </w:r>
      <w:r w:rsidRPr="00E41BCC">
        <w:t>Level of service use in past 12 months by index treatment type at baseline</w:t>
      </w:r>
      <w:bookmarkEnd w:id="105"/>
      <w:bookmarkEnd w:id="106"/>
      <w:bookmarkEnd w:id="107"/>
      <w:r w:rsidRPr="00E41BCC">
        <w:t xml:space="preserve"> </w:t>
      </w:r>
    </w:p>
    <w:tbl>
      <w:tblPr>
        <w:tblStyle w:val="TableGrid"/>
        <w:tblW w:w="0" w:type="auto"/>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Caption w:val="Table 3.6  Level of service use in past 12 months by index treatment type at baseline "/>
        <w:tblDescription w:val="Table 3.6  Level of service use in past 12 months by index treatment type at baseline "/>
      </w:tblPr>
      <w:tblGrid>
        <w:gridCol w:w="1791"/>
        <w:gridCol w:w="1578"/>
        <w:gridCol w:w="1559"/>
        <w:gridCol w:w="1701"/>
        <w:gridCol w:w="1559"/>
        <w:gridCol w:w="1054"/>
      </w:tblGrid>
      <w:tr w:rsidR="00072449" w:rsidRPr="00477B2F" w:rsidTr="00046CCA">
        <w:trPr>
          <w:tblHeader/>
        </w:trPr>
        <w:tc>
          <w:tcPr>
            <w:tcW w:w="1791" w:type="dxa"/>
            <w:tcBorders>
              <w:top w:val="single" w:sz="4" w:space="0" w:color="auto"/>
              <w:bottom w:val="single" w:sz="4" w:space="0" w:color="auto"/>
            </w:tcBorders>
          </w:tcPr>
          <w:p w:rsidR="00072449" w:rsidRPr="00477B2F" w:rsidRDefault="00072449" w:rsidP="001A0F1E">
            <w:pPr>
              <w:spacing w:line="240" w:lineRule="auto"/>
              <w:jc w:val="center"/>
              <w:rPr>
                <w:rFonts w:asciiTheme="minorHAnsi" w:hAnsiTheme="minorHAnsi"/>
                <w:b/>
                <w:sz w:val="22"/>
                <w:szCs w:val="22"/>
              </w:rPr>
            </w:pPr>
            <w:r w:rsidRPr="00477B2F">
              <w:rPr>
                <w:rFonts w:asciiTheme="minorHAnsi" w:hAnsiTheme="minorHAnsi"/>
                <w:b/>
                <w:sz w:val="22"/>
                <w:szCs w:val="22"/>
              </w:rPr>
              <w:t>Prior service use in past 12 months</w:t>
            </w:r>
          </w:p>
        </w:tc>
        <w:tc>
          <w:tcPr>
            <w:tcW w:w="1578" w:type="dxa"/>
            <w:tcBorders>
              <w:top w:val="single" w:sz="4" w:space="0" w:color="auto"/>
              <w:bottom w:val="single" w:sz="4" w:space="0" w:color="auto"/>
            </w:tcBorders>
          </w:tcPr>
          <w:p w:rsidR="00072449" w:rsidRPr="00477B2F" w:rsidRDefault="00072449" w:rsidP="001A0F1E">
            <w:pPr>
              <w:spacing w:line="240" w:lineRule="auto"/>
              <w:jc w:val="center"/>
              <w:rPr>
                <w:rFonts w:asciiTheme="minorHAnsi" w:hAnsiTheme="minorHAnsi"/>
                <w:b/>
                <w:sz w:val="22"/>
                <w:szCs w:val="22"/>
              </w:rPr>
            </w:pPr>
            <w:r w:rsidRPr="00477B2F">
              <w:rPr>
                <w:rFonts w:asciiTheme="minorHAnsi" w:hAnsiTheme="minorHAnsi"/>
                <w:b/>
                <w:sz w:val="22"/>
                <w:szCs w:val="22"/>
              </w:rPr>
              <w:t>Total sample (N = 783-795)</w:t>
            </w:r>
          </w:p>
        </w:tc>
        <w:tc>
          <w:tcPr>
            <w:tcW w:w="1559" w:type="dxa"/>
            <w:tcBorders>
              <w:top w:val="single" w:sz="4" w:space="0" w:color="auto"/>
              <w:bottom w:val="single" w:sz="4" w:space="0" w:color="auto"/>
            </w:tcBorders>
          </w:tcPr>
          <w:p w:rsidR="004212FD" w:rsidRDefault="00072449" w:rsidP="004212FD">
            <w:pPr>
              <w:spacing w:line="240" w:lineRule="auto"/>
              <w:jc w:val="center"/>
              <w:rPr>
                <w:rFonts w:asciiTheme="minorHAnsi" w:hAnsiTheme="minorHAnsi"/>
                <w:b/>
                <w:sz w:val="22"/>
                <w:szCs w:val="22"/>
              </w:rPr>
            </w:pPr>
            <w:r w:rsidRPr="00477B2F">
              <w:rPr>
                <w:rFonts w:asciiTheme="minorHAnsi" w:hAnsiTheme="minorHAnsi"/>
                <w:b/>
                <w:sz w:val="22"/>
                <w:szCs w:val="22"/>
              </w:rPr>
              <w:t>Outpatient</w:t>
            </w:r>
          </w:p>
          <w:p w:rsidR="00072449" w:rsidRPr="00477B2F" w:rsidRDefault="00FF5DD5" w:rsidP="001A0F1E">
            <w:pPr>
              <w:spacing w:line="240" w:lineRule="auto"/>
              <w:jc w:val="center"/>
              <w:rPr>
                <w:rFonts w:asciiTheme="minorHAnsi" w:hAnsiTheme="minorHAnsi"/>
                <w:b/>
                <w:sz w:val="22"/>
                <w:szCs w:val="22"/>
              </w:rPr>
            </w:pPr>
            <w:r>
              <w:rPr>
                <w:rFonts w:asciiTheme="minorHAnsi" w:hAnsiTheme="minorHAnsi"/>
                <w:b/>
                <w:sz w:val="22"/>
                <w:szCs w:val="22"/>
              </w:rPr>
              <w:t xml:space="preserve"> </w:t>
            </w:r>
            <w:r w:rsidR="00072449" w:rsidRPr="00477B2F">
              <w:rPr>
                <w:rFonts w:asciiTheme="minorHAnsi" w:hAnsiTheme="minorHAnsi"/>
                <w:b/>
                <w:sz w:val="22"/>
                <w:szCs w:val="22"/>
              </w:rPr>
              <w:t>(n = 21</w:t>
            </w:r>
            <w:r w:rsidR="0022341D">
              <w:rPr>
                <w:rFonts w:asciiTheme="minorHAnsi" w:hAnsiTheme="minorHAnsi"/>
                <w:b/>
                <w:sz w:val="22"/>
                <w:szCs w:val="22"/>
              </w:rPr>
              <w:t>2</w:t>
            </w:r>
            <w:r w:rsidR="00072449" w:rsidRPr="00477B2F">
              <w:rPr>
                <w:rFonts w:asciiTheme="minorHAnsi" w:hAnsiTheme="minorHAnsi"/>
                <w:b/>
                <w:sz w:val="22"/>
                <w:szCs w:val="22"/>
              </w:rPr>
              <w:t>-21</w:t>
            </w:r>
            <w:r w:rsidR="0022341D">
              <w:rPr>
                <w:rFonts w:asciiTheme="minorHAnsi" w:hAnsiTheme="minorHAnsi"/>
                <w:b/>
                <w:sz w:val="22"/>
                <w:szCs w:val="22"/>
              </w:rPr>
              <w:t>4</w:t>
            </w:r>
            <w:r w:rsidR="00072449" w:rsidRPr="00477B2F">
              <w:rPr>
                <w:rFonts w:asciiTheme="minorHAnsi" w:hAnsiTheme="minorHAnsi"/>
                <w:b/>
                <w:sz w:val="22"/>
                <w:szCs w:val="22"/>
              </w:rPr>
              <w:t>)</w:t>
            </w:r>
          </w:p>
        </w:tc>
        <w:tc>
          <w:tcPr>
            <w:tcW w:w="1701" w:type="dxa"/>
            <w:tcBorders>
              <w:top w:val="single" w:sz="4" w:space="0" w:color="auto"/>
              <w:bottom w:val="single" w:sz="4" w:space="0" w:color="auto"/>
            </w:tcBorders>
          </w:tcPr>
          <w:p w:rsidR="004212FD" w:rsidRDefault="00072449" w:rsidP="004212FD">
            <w:pPr>
              <w:spacing w:line="240" w:lineRule="auto"/>
              <w:jc w:val="center"/>
              <w:rPr>
                <w:rFonts w:asciiTheme="minorHAnsi" w:hAnsiTheme="minorHAnsi"/>
                <w:b/>
                <w:sz w:val="22"/>
                <w:szCs w:val="22"/>
              </w:rPr>
            </w:pPr>
            <w:r w:rsidRPr="00477B2F">
              <w:rPr>
                <w:rFonts w:asciiTheme="minorHAnsi" w:hAnsiTheme="minorHAnsi"/>
                <w:b/>
                <w:sz w:val="22"/>
                <w:szCs w:val="22"/>
              </w:rPr>
              <w:t>Acute withdrawal</w:t>
            </w:r>
          </w:p>
          <w:p w:rsidR="00072449" w:rsidRPr="00477B2F" w:rsidRDefault="00072449" w:rsidP="004212FD">
            <w:pPr>
              <w:spacing w:line="240" w:lineRule="auto"/>
              <w:jc w:val="center"/>
              <w:rPr>
                <w:rFonts w:asciiTheme="minorHAnsi" w:hAnsiTheme="minorHAnsi"/>
                <w:b/>
                <w:sz w:val="22"/>
                <w:szCs w:val="22"/>
              </w:rPr>
            </w:pPr>
            <w:r w:rsidRPr="00477B2F">
              <w:rPr>
                <w:rFonts w:asciiTheme="minorHAnsi" w:hAnsiTheme="minorHAnsi"/>
                <w:b/>
                <w:sz w:val="22"/>
                <w:szCs w:val="22"/>
              </w:rPr>
              <w:t xml:space="preserve"> (n = 341-349)</w:t>
            </w:r>
          </w:p>
        </w:tc>
        <w:tc>
          <w:tcPr>
            <w:tcW w:w="1559" w:type="dxa"/>
            <w:tcBorders>
              <w:top w:val="single" w:sz="4" w:space="0" w:color="auto"/>
              <w:bottom w:val="single" w:sz="4" w:space="0" w:color="auto"/>
            </w:tcBorders>
          </w:tcPr>
          <w:p w:rsidR="00072449" w:rsidRPr="00477B2F" w:rsidRDefault="00072449" w:rsidP="001A0F1E">
            <w:pPr>
              <w:spacing w:line="240" w:lineRule="auto"/>
              <w:jc w:val="center"/>
              <w:rPr>
                <w:rFonts w:asciiTheme="minorHAnsi" w:hAnsiTheme="minorHAnsi"/>
                <w:b/>
                <w:sz w:val="22"/>
                <w:szCs w:val="22"/>
              </w:rPr>
            </w:pPr>
            <w:r w:rsidRPr="00477B2F">
              <w:rPr>
                <w:rFonts w:asciiTheme="minorHAnsi" w:hAnsiTheme="minorHAnsi"/>
                <w:b/>
                <w:sz w:val="22"/>
                <w:szCs w:val="22"/>
              </w:rPr>
              <w:t>Residential</w:t>
            </w:r>
            <w:r w:rsidR="004516BD">
              <w:rPr>
                <w:rFonts w:asciiTheme="minorHAnsi" w:hAnsiTheme="minorHAnsi"/>
                <w:b/>
                <w:sz w:val="22"/>
                <w:szCs w:val="22"/>
              </w:rPr>
              <w:t xml:space="preserve"> rehabilitation</w:t>
            </w:r>
            <w:r w:rsidRPr="00477B2F">
              <w:rPr>
                <w:rFonts w:asciiTheme="minorHAnsi" w:hAnsiTheme="minorHAnsi"/>
                <w:b/>
                <w:sz w:val="22"/>
                <w:szCs w:val="22"/>
              </w:rPr>
              <w:t xml:space="preserve"> (n = 2</w:t>
            </w:r>
            <w:r w:rsidR="0022341D">
              <w:rPr>
                <w:rFonts w:asciiTheme="minorHAnsi" w:hAnsiTheme="minorHAnsi"/>
                <w:b/>
                <w:sz w:val="22"/>
                <w:szCs w:val="22"/>
              </w:rPr>
              <w:t>30</w:t>
            </w:r>
            <w:r w:rsidRPr="00477B2F">
              <w:rPr>
                <w:rFonts w:asciiTheme="minorHAnsi" w:hAnsiTheme="minorHAnsi"/>
                <w:b/>
                <w:sz w:val="22"/>
                <w:szCs w:val="22"/>
              </w:rPr>
              <w:t>-23</w:t>
            </w:r>
            <w:r w:rsidR="0022341D">
              <w:rPr>
                <w:rFonts w:asciiTheme="minorHAnsi" w:hAnsiTheme="minorHAnsi"/>
                <w:b/>
                <w:sz w:val="22"/>
                <w:szCs w:val="22"/>
              </w:rPr>
              <w:t>2</w:t>
            </w:r>
            <w:r w:rsidRPr="00477B2F">
              <w:rPr>
                <w:rFonts w:asciiTheme="minorHAnsi" w:hAnsiTheme="minorHAnsi"/>
                <w:b/>
                <w:sz w:val="22"/>
                <w:szCs w:val="22"/>
              </w:rPr>
              <w:t>)</w:t>
            </w:r>
          </w:p>
        </w:tc>
        <w:tc>
          <w:tcPr>
            <w:tcW w:w="1054" w:type="dxa"/>
            <w:tcBorders>
              <w:top w:val="single" w:sz="4" w:space="0" w:color="auto"/>
              <w:bottom w:val="single" w:sz="4" w:space="0" w:color="auto"/>
            </w:tcBorders>
          </w:tcPr>
          <w:p w:rsidR="00072449" w:rsidRPr="00477B2F" w:rsidRDefault="00072449" w:rsidP="001A0F1E">
            <w:pPr>
              <w:spacing w:line="240" w:lineRule="auto"/>
              <w:jc w:val="center"/>
              <w:rPr>
                <w:rFonts w:asciiTheme="minorHAnsi" w:hAnsiTheme="minorHAnsi"/>
                <w:b/>
                <w:sz w:val="22"/>
                <w:szCs w:val="22"/>
              </w:rPr>
            </w:pPr>
            <w:r>
              <w:rPr>
                <w:rFonts w:asciiTheme="minorHAnsi" w:hAnsiTheme="minorHAnsi"/>
                <w:b/>
                <w:sz w:val="22"/>
                <w:szCs w:val="22"/>
              </w:rPr>
              <w:t>p</w:t>
            </w:r>
          </w:p>
        </w:tc>
      </w:tr>
      <w:tr w:rsidR="00072449" w:rsidRPr="00477B2F" w:rsidTr="001A0F1E">
        <w:trPr>
          <w:trHeight w:hRule="exact" w:val="567"/>
        </w:trPr>
        <w:tc>
          <w:tcPr>
            <w:tcW w:w="1791" w:type="dxa"/>
            <w:tcBorders>
              <w:top w:val="single" w:sz="4" w:space="0" w:color="auto"/>
            </w:tcBorders>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Acute withdrawal</w:t>
            </w:r>
          </w:p>
        </w:tc>
        <w:tc>
          <w:tcPr>
            <w:tcW w:w="1578" w:type="dxa"/>
            <w:tcBorders>
              <w:top w:val="single" w:sz="4" w:space="0" w:color="auto"/>
            </w:tcBorders>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36.0%</w:t>
            </w:r>
          </w:p>
        </w:tc>
        <w:tc>
          <w:tcPr>
            <w:tcW w:w="1559" w:type="dxa"/>
            <w:tcBorders>
              <w:top w:val="single" w:sz="4" w:space="0" w:color="auto"/>
            </w:tcBorders>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25.</w:t>
            </w:r>
            <w:r w:rsidR="00A87C88">
              <w:rPr>
                <w:rFonts w:asciiTheme="minorHAnsi" w:hAnsiTheme="minorHAnsi"/>
                <w:sz w:val="22"/>
                <w:szCs w:val="22"/>
              </w:rPr>
              <w:t>2</w:t>
            </w:r>
            <w:r w:rsidRPr="00477B2F">
              <w:rPr>
                <w:rFonts w:asciiTheme="minorHAnsi" w:hAnsiTheme="minorHAnsi"/>
                <w:sz w:val="22"/>
                <w:szCs w:val="22"/>
              </w:rPr>
              <w:t>%</w:t>
            </w:r>
          </w:p>
        </w:tc>
        <w:tc>
          <w:tcPr>
            <w:tcW w:w="1701" w:type="dxa"/>
            <w:tcBorders>
              <w:top w:val="single" w:sz="4" w:space="0" w:color="auto"/>
            </w:tcBorders>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28.9%</w:t>
            </w:r>
          </w:p>
        </w:tc>
        <w:tc>
          <w:tcPr>
            <w:tcW w:w="1559" w:type="dxa"/>
            <w:tcBorders>
              <w:top w:val="single" w:sz="4" w:space="0" w:color="auto"/>
            </w:tcBorders>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5</w:t>
            </w:r>
            <w:r w:rsidR="00A87C88">
              <w:rPr>
                <w:rFonts w:asciiTheme="minorHAnsi" w:hAnsiTheme="minorHAnsi"/>
                <w:sz w:val="22"/>
                <w:szCs w:val="22"/>
              </w:rPr>
              <w:t>6.5</w:t>
            </w:r>
            <w:r w:rsidRPr="00477B2F">
              <w:rPr>
                <w:rFonts w:asciiTheme="minorHAnsi" w:hAnsiTheme="minorHAnsi"/>
                <w:sz w:val="22"/>
                <w:szCs w:val="22"/>
              </w:rPr>
              <w:t>%</w:t>
            </w:r>
          </w:p>
        </w:tc>
        <w:tc>
          <w:tcPr>
            <w:tcW w:w="1054" w:type="dxa"/>
            <w:tcBorders>
              <w:top w:val="single" w:sz="4" w:space="0" w:color="auto"/>
            </w:tcBorders>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&lt; .001</w:t>
            </w:r>
          </w:p>
        </w:tc>
      </w:tr>
      <w:tr w:rsidR="00072449" w:rsidRPr="00477B2F" w:rsidTr="001A0F1E">
        <w:trPr>
          <w:trHeight w:hRule="exact" w:val="340"/>
        </w:trPr>
        <w:tc>
          <w:tcPr>
            <w:tcW w:w="179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A</w:t>
            </w:r>
            <w:r w:rsidR="004516BD">
              <w:rPr>
                <w:rFonts w:asciiTheme="minorHAnsi" w:hAnsiTheme="minorHAnsi"/>
                <w:sz w:val="22"/>
                <w:szCs w:val="22"/>
              </w:rPr>
              <w:t>O</w:t>
            </w:r>
            <w:r w:rsidRPr="00477B2F">
              <w:rPr>
                <w:rFonts w:asciiTheme="minorHAnsi" w:hAnsiTheme="minorHAnsi"/>
                <w:sz w:val="22"/>
                <w:szCs w:val="22"/>
              </w:rPr>
              <w:t>D counselling</w:t>
            </w:r>
          </w:p>
        </w:tc>
        <w:tc>
          <w:tcPr>
            <w:tcW w:w="1578"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53.1%</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47.2%</w:t>
            </w:r>
          </w:p>
        </w:tc>
        <w:tc>
          <w:tcPr>
            <w:tcW w:w="170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55.5%</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55.2%</w:t>
            </w:r>
          </w:p>
        </w:tc>
        <w:tc>
          <w:tcPr>
            <w:tcW w:w="1054"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.12</w:t>
            </w:r>
          </w:p>
        </w:tc>
      </w:tr>
      <w:tr w:rsidR="00072449" w:rsidRPr="00477B2F" w:rsidTr="001A0F1E">
        <w:trPr>
          <w:trHeight w:hRule="exact" w:val="567"/>
        </w:trPr>
        <w:tc>
          <w:tcPr>
            <w:tcW w:w="179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Residential rehabilitation</w:t>
            </w:r>
          </w:p>
        </w:tc>
        <w:tc>
          <w:tcPr>
            <w:tcW w:w="1578"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12.8%</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6.5%</w:t>
            </w:r>
          </w:p>
        </w:tc>
        <w:tc>
          <w:tcPr>
            <w:tcW w:w="170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8.9%</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24.</w:t>
            </w:r>
            <w:r w:rsidR="00EE2E65">
              <w:rPr>
                <w:rFonts w:asciiTheme="minorHAnsi" w:hAnsiTheme="minorHAnsi"/>
                <w:sz w:val="22"/>
                <w:szCs w:val="22"/>
              </w:rPr>
              <w:t>6</w:t>
            </w:r>
            <w:r w:rsidRPr="00477B2F">
              <w:rPr>
                <w:rFonts w:asciiTheme="minorHAnsi" w:hAnsiTheme="minorHAnsi"/>
                <w:sz w:val="22"/>
                <w:szCs w:val="22"/>
              </w:rPr>
              <w:t>%</w:t>
            </w:r>
          </w:p>
        </w:tc>
        <w:tc>
          <w:tcPr>
            <w:tcW w:w="1054" w:type="dxa"/>
          </w:tcPr>
          <w:p w:rsidR="00072449" w:rsidRPr="00477B2F" w:rsidRDefault="00072449" w:rsidP="001A0F1E">
            <w:pPr>
              <w:spacing w:line="240" w:lineRule="auto"/>
              <w:rPr>
                <w:rFonts w:asciiTheme="minorHAnsi" w:hAnsiTheme="minorHAnsi"/>
                <w:sz w:val="22"/>
                <w:szCs w:val="22"/>
              </w:rPr>
            </w:pPr>
            <w:r>
              <w:rPr>
                <w:rFonts w:asciiTheme="minorHAnsi" w:hAnsiTheme="minorHAnsi"/>
                <w:sz w:val="22"/>
                <w:szCs w:val="22"/>
              </w:rPr>
              <w:t>&lt;</w:t>
            </w:r>
            <w:r w:rsidR="00A87C88">
              <w:rPr>
                <w:rFonts w:asciiTheme="minorHAnsi" w:hAnsiTheme="minorHAnsi"/>
                <w:sz w:val="22"/>
                <w:szCs w:val="22"/>
              </w:rPr>
              <w:t xml:space="preserve"> </w:t>
            </w:r>
            <w:r w:rsidRPr="00477B2F">
              <w:rPr>
                <w:rFonts w:asciiTheme="minorHAnsi" w:hAnsiTheme="minorHAnsi"/>
                <w:sz w:val="22"/>
                <w:szCs w:val="22"/>
              </w:rPr>
              <w:t>.001</w:t>
            </w:r>
          </w:p>
        </w:tc>
      </w:tr>
      <w:tr w:rsidR="00072449" w:rsidRPr="00477B2F" w:rsidTr="001A0F1E">
        <w:trPr>
          <w:trHeight w:hRule="exact" w:val="567"/>
        </w:trPr>
        <w:tc>
          <w:tcPr>
            <w:tcW w:w="179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General practitioner</w:t>
            </w:r>
          </w:p>
        </w:tc>
        <w:tc>
          <w:tcPr>
            <w:tcW w:w="1578"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90.4%</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93.5%</w:t>
            </w:r>
          </w:p>
        </w:tc>
        <w:tc>
          <w:tcPr>
            <w:tcW w:w="170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89.7%</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88.</w:t>
            </w:r>
            <w:r w:rsidR="00EE2E65">
              <w:rPr>
                <w:rFonts w:asciiTheme="minorHAnsi" w:hAnsiTheme="minorHAnsi"/>
                <w:sz w:val="22"/>
                <w:szCs w:val="22"/>
              </w:rPr>
              <w:t>7</w:t>
            </w:r>
            <w:r w:rsidRPr="00477B2F">
              <w:rPr>
                <w:rFonts w:asciiTheme="minorHAnsi" w:hAnsiTheme="minorHAnsi"/>
                <w:sz w:val="22"/>
                <w:szCs w:val="22"/>
              </w:rPr>
              <w:t>%</w:t>
            </w:r>
          </w:p>
        </w:tc>
        <w:tc>
          <w:tcPr>
            <w:tcW w:w="1054"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.1</w:t>
            </w:r>
            <w:r w:rsidR="00EE2E65">
              <w:rPr>
                <w:rFonts w:asciiTheme="minorHAnsi" w:hAnsiTheme="minorHAnsi"/>
                <w:sz w:val="22"/>
                <w:szCs w:val="22"/>
              </w:rPr>
              <w:t>9</w:t>
            </w:r>
          </w:p>
        </w:tc>
      </w:tr>
      <w:tr w:rsidR="00072449" w:rsidRPr="00477B2F" w:rsidTr="001A0F1E">
        <w:trPr>
          <w:trHeight w:hRule="exact" w:val="340"/>
        </w:trPr>
        <w:tc>
          <w:tcPr>
            <w:tcW w:w="179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Ambulance</w:t>
            </w:r>
          </w:p>
        </w:tc>
        <w:tc>
          <w:tcPr>
            <w:tcW w:w="1578"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34.8%</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2</w:t>
            </w:r>
            <w:r w:rsidR="00DC24EA">
              <w:rPr>
                <w:rFonts w:asciiTheme="minorHAnsi" w:hAnsiTheme="minorHAnsi"/>
                <w:sz w:val="22"/>
                <w:szCs w:val="22"/>
              </w:rPr>
              <w:t>9.0</w:t>
            </w:r>
            <w:r w:rsidRPr="00477B2F">
              <w:rPr>
                <w:rFonts w:asciiTheme="minorHAnsi" w:hAnsiTheme="minorHAnsi"/>
                <w:sz w:val="22"/>
                <w:szCs w:val="22"/>
              </w:rPr>
              <w:t>%</w:t>
            </w:r>
          </w:p>
        </w:tc>
        <w:tc>
          <w:tcPr>
            <w:tcW w:w="170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36.5%</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37.</w:t>
            </w:r>
            <w:r w:rsidR="00DC24EA">
              <w:rPr>
                <w:rFonts w:asciiTheme="minorHAnsi" w:hAnsiTheme="minorHAnsi"/>
                <w:sz w:val="22"/>
                <w:szCs w:val="22"/>
              </w:rPr>
              <w:t>5</w:t>
            </w:r>
            <w:r w:rsidRPr="00477B2F">
              <w:rPr>
                <w:rFonts w:asciiTheme="minorHAnsi" w:hAnsiTheme="minorHAnsi"/>
                <w:sz w:val="22"/>
                <w:szCs w:val="22"/>
              </w:rPr>
              <w:t>%</w:t>
            </w:r>
          </w:p>
        </w:tc>
        <w:tc>
          <w:tcPr>
            <w:tcW w:w="1054"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w:t>
            </w:r>
            <w:r w:rsidR="00EE2E65">
              <w:rPr>
                <w:rFonts w:asciiTheme="minorHAnsi" w:hAnsiTheme="minorHAnsi"/>
                <w:sz w:val="22"/>
                <w:szCs w:val="22"/>
              </w:rPr>
              <w:t>11</w:t>
            </w:r>
          </w:p>
        </w:tc>
      </w:tr>
      <w:tr w:rsidR="00072449" w:rsidRPr="00477B2F" w:rsidTr="001A0F1E">
        <w:trPr>
          <w:trHeight w:hRule="exact" w:val="567"/>
        </w:trPr>
        <w:tc>
          <w:tcPr>
            <w:tcW w:w="179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Emergency department</w:t>
            </w:r>
          </w:p>
        </w:tc>
        <w:tc>
          <w:tcPr>
            <w:tcW w:w="1578"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53.4%</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47.7%</w:t>
            </w:r>
          </w:p>
        </w:tc>
        <w:tc>
          <w:tcPr>
            <w:tcW w:w="170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53.7%</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58.2%</w:t>
            </w:r>
          </w:p>
        </w:tc>
        <w:tc>
          <w:tcPr>
            <w:tcW w:w="1054"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.08</w:t>
            </w:r>
          </w:p>
        </w:tc>
      </w:tr>
      <w:tr w:rsidR="00072449" w:rsidRPr="00477B2F" w:rsidTr="001A0F1E">
        <w:trPr>
          <w:trHeight w:hRule="exact" w:val="851"/>
        </w:trPr>
        <w:tc>
          <w:tcPr>
            <w:tcW w:w="179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Hospital inpatient admission</w:t>
            </w:r>
          </w:p>
        </w:tc>
        <w:tc>
          <w:tcPr>
            <w:tcW w:w="1578"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27.7%</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2</w:t>
            </w:r>
            <w:r w:rsidR="00DC24EA">
              <w:rPr>
                <w:rFonts w:asciiTheme="minorHAnsi" w:hAnsiTheme="minorHAnsi"/>
                <w:sz w:val="22"/>
                <w:szCs w:val="22"/>
              </w:rPr>
              <w:t>7.1</w:t>
            </w:r>
            <w:r w:rsidRPr="00477B2F">
              <w:rPr>
                <w:rFonts w:asciiTheme="minorHAnsi" w:hAnsiTheme="minorHAnsi"/>
                <w:sz w:val="22"/>
                <w:szCs w:val="22"/>
              </w:rPr>
              <w:t>%</w:t>
            </w:r>
          </w:p>
        </w:tc>
        <w:tc>
          <w:tcPr>
            <w:tcW w:w="170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27.3%</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2</w:t>
            </w:r>
            <w:r w:rsidR="00A40466">
              <w:rPr>
                <w:rFonts w:asciiTheme="minorHAnsi" w:hAnsiTheme="minorHAnsi"/>
                <w:sz w:val="22"/>
                <w:szCs w:val="22"/>
              </w:rPr>
              <w:t>8.9</w:t>
            </w:r>
            <w:r w:rsidRPr="00477B2F">
              <w:rPr>
                <w:rFonts w:asciiTheme="minorHAnsi" w:hAnsiTheme="minorHAnsi"/>
                <w:sz w:val="22"/>
                <w:szCs w:val="22"/>
              </w:rPr>
              <w:t>%</w:t>
            </w:r>
          </w:p>
        </w:tc>
        <w:tc>
          <w:tcPr>
            <w:tcW w:w="1054"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.8</w:t>
            </w:r>
            <w:r w:rsidR="00DC24EA">
              <w:rPr>
                <w:rFonts w:asciiTheme="minorHAnsi" w:hAnsiTheme="minorHAnsi"/>
                <w:sz w:val="22"/>
                <w:szCs w:val="22"/>
              </w:rPr>
              <w:t>9</w:t>
            </w:r>
          </w:p>
        </w:tc>
      </w:tr>
      <w:tr w:rsidR="00072449" w:rsidRPr="00477B2F" w:rsidTr="001A0F1E">
        <w:trPr>
          <w:trHeight w:hRule="exact" w:val="851"/>
        </w:trPr>
        <w:tc>
          <w:tcPr>
            <w:tcW w:w="179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Outpatient mental health service</w:t>
            </w:r>
          </w:p>
        </w:tc>
        <w:tc>
          <w:tcPr>
            <w:tcW w:w="1578"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39.0%</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47.2%</w:t>
            </w:r>
          </w:p>
        </w:tc>
        <w:tc>
          <w:tcPr>
            <w:tcW w:w="170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35.6%</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36.</w:t>
            </w:r>
            <w:r w:rsidR="00A40466">
              <w:rPr>
                <w:rFonts w:asciiTheme="minorHAnsi" w:hAnsiTheme="minorHAnsi"/>
                <w:sz w:val="22"/>
                <w:szCs w:val="22"/>
              </w:rPr>
              <w:t>6</w:t>
            </w:r>
            <w:r w:rsidRPr="00477B2F">
              <w:rPr>
                <w:rFonts w:asciiTheme="minorHAnsi" w:hAnsiTheme="minorHAnsi"/>
                <w:sz w:val="22"/>
                <w:szCs w:val="22"/>
              </w:rPr>
              <w:t>%</w:t>
            </w:r>
          </w:p>
        </w:tc>
        <w:tc>
          <w:tcPr>
            <w:tcW w:w="1054" w:type="dxa"/>
          </w:tcPr>
          <w:p w:rsidR="00072449" w:rsidRPr="00477B2F" w:rsidRDefault="00072449" w:rsidP="001A0F1E">
            <w:pPr>
              <w:spacing w:line="240" w:lineRule="auto"/>
              <w:rPr>
                <w:rFonts w:asciiTheme="minorHAnsi" w:hAnsiTheme="minorHAnsi"/>
                <w:sz w:val="22"/>
                <w:szCs w:val="22"/>
              </w:rPr>
            </w:pPr>
            <w:r>
              <w:rPr>
                <w:rFonts w:asciiTheme="minorHAnsi" w:hAnsiTheme="minorHAnsi"/>
                <w:sz w:val="22"/>
                <w:szCs w:val="22"/>
              </w:rPr>
              <w:t>&lt;</w:t>
            </w:r>
            <w:r w:rsidR="00A87C88">
              <w:rPr>
                <w:rFonts w:asciiTheme="minorHAnsi" w:hAnsiTheme="minorHAnsi"/>
                <w:sz w:val="22"/>
                <w:szCs w:val="22"/>
              </w:rPr>
              <w:t xml:space="preserve"> </w:t>
            </w:r>
            <w:r>
              <w:rPr>
                <w:rFonts w:asciiTheme="minorHAnsi" w:hAnsiTheme="minorHAnsi"/>
                <w:sz w:val="22"/>
                <w:szCs w:val="22"/>
              </w:rPr>
              <w:t>.05</w:t>
            </w:r>
          </w:p>
        </w:tc>
      </w:tr>
      <w:tr w:rsidR="00072449" w:rsidRPr="00477B2F" w:rsidTr="001A0F1E">
        <w:trPr>
          <w:trHeight w:hRule="exact" w:val="340"/>
        </w:trPr>
        <w:tc>
          <w:tcPr>
            <w:tcW w:w="179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Legal Aid</w:t>
            </w:r>
          </w:p>
        </w:tc>
        <w:tc>
          <w:tcPr>
            <w:tcW w:w="1578"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29.1%</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32.</w:t>
            </w:r>
            <w:r w:rsidR="00A40466">
              <w:rPr>
                <w:rFonts w:asciiTheme="minorHAnsi" w:hAnsiTheme="minorHAnsi"/>
                <w:sz w:val="22"/>
                <w:szCs w:val="22"/>
              </w:rPr>
              <w:t>2</w:t>
            </w:r>
            <w:r w:rsidRPr="00477B2F">
              <w:rPr>
                <w:rFonts w:asciiTheme="minorHAnsi" w:hAnsiTheme="minorHAnsi"/>
                <w:sz w:val="22"/>
                <w:szCs w:val="22"/>
              </w:rPr>
              <w:t>%</w:t>
            </w:r>
          </w:p>
        </w:tc>
        <w:tc>
          <w:tcPr>
            <w:tcW w:w="170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21.6%</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37.</w:t>
            </w:r>
            <w:r w:rsidR="00A40466">
              <w:rPr>
                <w:rFonts w:asciiTheme="minorHAnsi" w:hAnsiTheme="minorHAnsi"/>
                <w:sz w:val="22"/>
                <w:szCs w:val="22"/>
              </w:rPr>
              <w:t>5</w:t>
            </w:r>
            <w:r w:rsidRPr="00477B2F">
              <w:rPr>
                <w:rFonts w:asciiTheme="minorHAnsi" w:hAnsiTheme="minorHAnsi"/>
                <w:sz w:val="22"/>
                <w:szCs w:val="22"/>
              </w:rPr>
              <w:t>%</w:t>
            </w:r>
          </w:p>
        </w:tc>
        <w:tc>
          <w:tcPr>
            <w:tcW w:w="1054" w:type="dxa"/>
          </w:tcPr>
          <w:p w:rsidR="00072449" w:rsidRPr="00477B2F" w:rsidRDefault="00A40466" w:rsidP="001A0F1E">
            <w:pPr>
              <w:spacing w:line="240" w:lineRule="auto"/>
              <w:rPr>
                <w:rFonts w:asciiTheme="minorHAnsi" w:hAnsiTheme="minorHAnsi"/>
                <w:sz w:val="22"/>
                <w:szCs w:val="22"/>
              </w:rPr>
            </w:pPr>
            <w:r>
              <w:rPr>
                <w:rFonts w:asciiTheme="minorHAnsi" w:hAnsiTheme="minorHAnsi"/>
                <w:sz w:val="22"/>
                <w:szCs w:val="22"/>
              </w:rPr>
              <w:t xml:space="preserve">&lt; </w:t>
            </w:r>
            <w:r w:rsidR="00072449" w:rsidRPr="00477B2F">
              <w:rPr>
                <w:rFonts w:asciiTheme="minorHAnsi" w:hAnsiTheme="minorHAnsi"/>
                <w:sz w:val="22"/>
                <w:szCs w:val="22"/>
              </w:rPr>
              <w:t>.001</w:t>
            </w:r>
          </w:p>
        </w:tc>
      </w:tr>
      <w:tr w:rsidR="00072449" w:rsidRPr="00477B2F" w:rsidTr="001A0F1E">
        <w:trPr>
          <w:trHeight w:hRule="exact" w:val="567"/>
        </w:trPr>
        <w:tc>
          <w:tcPr>
            <w:tcW w:w="179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Employment service</w:t>
            </w:r>
          </w:p>
        </w:tc>
        <w:tc>
          <w:tcPr>
            <w:tcW w:w="1578"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40.8%</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42.</w:t>
            </w:r>
            <w:r w:rsidR="00E53FC1">
              <w:rPr>
                <w:rFonts w:asciiTheme="minorHAnsi" w:hAnsiTheme="minorHAnsi"/>
                <w:sz w:val="22"/>
                <w:szCs w:val="22"/>
              </w:rPr>
              <w:t>1</w:t>
            </w:r>
            <w:r w:rsidRPr="00477B2F">
              <w:rPr>
                <w:rFonts w:asciiTheme="minorHAnsi" w:hAnsiTheme="minorHAnsi"/>
                <w:sz w:val="22"/>
                <w:szCs w:val="22"/>
              </w:rPr>
              <w:t>%</w:t>
            </w:r>
          </w:p>
        </w:tc>
        <w:tc>
          <w:tcPr>
            <w:tcW w:w="170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39.4%</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41.</w:t>
            </w:r>
            <w:r w:rsidR="00E53FC1">
              <w:rPr>
                <w:rFonts w:asciiTheme="minorHAnsi" w:hAnsiTheme="minorHAnsi"/>
                <w:sz w:val="22"/>
                <w:szCs w:val="22"/>
              </w:rPr>
              <w:t>8</w:t>
            </w:r>
            <w:r w:rsidRPr="00477B2F">
              <w:rPr>
                <w:rFonts w:asciiTheme="minorHAnsi" w:hAnsiTheme="minorHAnsi"/>
                <w:sz w:val="22"/>
                <w:szCs w:val="22"/>
              </w:rPr>
              <w:t>%</w:t>
            </w:r>
          </w:p>
        </w:tc>
        <w:tc>
          <w:tcPr>
            <w:tcW w:w="1054"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.7</w:t>
            </w:r>
            <w:r w:rsidR="00E53FC1">
              <w:rPr>
                <w:rFonts w:asciiTheme="minorHAnsi" w:hAnsiTheme="minorHAnsi"/>
                <w:sz w:val="22"/>
                <w:szCs w:val="22"/>
              </w:rPr>
              <w:t>7</w:t>
            </w:r>
          </w:p>
        </w:tc>
      </w:tr>
      <w:tr w:rsidR="00072449" w:rsidRPr="00477B2F" w:rsidTr="001A0F1E">
        <w:trPr>
          <w:trHeight w:hRule="exact" w:val="851"/>
        </w:trPr>
        <w:tc>
          <w:tcPr>
            <w:tcW w:w="1791" w:type="dxa"/>
          </w:tcPr>
          <w:p w:rsidR="00072449" w:rsidRPr="00477B2F" w:rsidRDefault="00072449" w:rsidP="001A0F1E">
            <w:pPr>
              <w:spacing w:after="80" w:line="240" w:lineRule="auto"/>
              <w:rPr>
                <w:rFonts w:asciiTheme="minorHAnsi" w:hAnsiTheme="minorHAnsi"/>
                <w:sz w:val="22"/>
                <w:szCs w:val="22"/>
              </w:rPr>
            </w:pPr>
            <w:r w:rsidRPr="00477B2F">
              <w:rPr>
                <w:rFonts w:asciiTheme="minorHAnsi" w:hAnsiTheme="minorHAnsi"/>
                <w:sz w:val="22"/>
                <w:szCs w:val="22"/>
              </w:rPr>
              <w:t>Housing or Homelessness service</w:t>
            </w:r>
          </w:p>
        </w:tc>
        <w:tc>
          <w:tcPr>
            <w:tcW w:w="1578"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19.8%</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26.</w:t>
            </w:r>
            <w:r w:rsidR="00E53FC1">
              <w:rPr>
                <w:rFonts w:asciiTheme="minorHAnsi" w:hAnsiTheme="minorHAnsi"/>
                <w:sz w:val="22"/>
                <w:szCs w:val="22"/>
              </w:rPr>
              <w:t>4</w:t>
            </w:r>
            <w:r w:rsidRPr="00477B2F">
              <w:rPr>
                <w:rFonts w:asciiTheme="minorHAnsi" w:hAnsiTheme="minorHAnsi"/>
                <w:sz w:val="22"/>
                <w:szCs w:val="22"/>
              </w:rPr>
              <w:t>%</w:t>
            </w:r>
          </w:p>
        </w:tc>
        <w:tc>
          <w:tcPr>
            <w:tcW w:w="1701"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17.3%</w:t>
            </w:r>
          </w:p>
        </w:tc>
        <w:tc>
          <w:tcPr>
            <w:tcW w:w="1559" w:type="dxa"/>
          </w:tcPr>
          <w:p w:rsidR="00072449" w:rsidRPr="00477B2F" w:rsidRDefault="00072449" w:rsidP="001A0F1E">
            <w:pPr>
              <w:spacing w:line="240" w:lineRule="auto"/>
              <w:rPr>
                <w:rFonts w:asciiTheme="minorHAnsi" w:hAnsiTheme="minorHAnsi"/>
                <w:sz w:val="22"/>
                <w:szCs w:val="22"/>
              </w:rPr>
            </w:pPr>
            <w:r w:rsidRPr="00477B2F">
              <w:rPr>
                <w:rFonts w:asciiTheme="minorHAnsi" w:hAnsiTheme="minorHAnsi"/>
                <w:sz w:val="22"/>
                <w:szCs w:val="22"/>
              </w:rPr>
              <w:t>17.</w:t>
            </w:r>
            <w:r w:rsidR="00E53FC1">
              <w:rPr>
                <w:rFonts w:asciiTheme="minorHAnsi" w:hAnsiTheme="minorHAnsi"/>
                <w:sz w:val="22"/>
                <w:szCs w:val="22"/>
              </w:rPr>
              <w:t>4</w:t>
            </w:r>
            <w:r w:rsidRPr="00477B2F">
              <w:rPr>
                <w:rFonts w:asciiTheme="minorHAnsi" w:hAnsiTheme="minorHAnsi"/>
                <w:sz w:val="22"/>
                <w:szCs w:val="22"/>
              </w:rPr>
              <w:t>%</w:t>
            </w:r>
          </w:p>
        </w:tc>
        <w:tc>
          <w:tcPr>
            <w:tcW w:w="1054" w:type="dxa"/>
          </w:tcPr>
          <w:p w:rsidR="00072449" w:rsidRPr="00477B2F" w:rsidRDefault="00072449" w:rsidP="001A0F1E">
            <w:pPr>
              <w:spacing w:line="240" w:lineRule="auto"/>
              <w:rPr>
                <w:rFonts w:asciiTheme="minorHAnsi" w:hAnsiTheme="minorHAnsi"/>
                <w:sz w:val="22"/>
                <w:szCs w:val="22"/>
              </w:rPr>
            </w:pPr>
            <w:r>
              <w:rPr>
                <w:rFonts w:asciiTheme="minorHAnsi" w:hAnsiTheme="minorHAnsi"/>
                <w:sz w:val="22"/>
                <w:szCs w:val="22"/>
              </w:rPr>
              <w:t>&lt;</w:t>
            </w:r>
            <w:r w:rsidR="00A87C88">
              <w:rPr>
                <w:rFonts w:asciiTheme="minorHAnsi" w:hAnsiTheme="minorHAnsi"/>
                <w:sz w:val="22"/>
                <w:szCs w:val="22"/>
              </w:rPr>
              <w:t xml:space="preserve"> </w:t>
            </w:r>
            <w:r w:rsidRPr="00477B2F">
              <w:rPr>
                <w:rFonts w:asciiTheme="minorHAnsi" w:hAnsiTheme="minorHAnsi"/>
                <w:sz w:val="22"/>
                <w:szCs w:val="22"/>
              </w:rPr>
              <w:t>.0</w:t>
            </w:r>
            <w:r>
              <w:rPr>
                <w:rFonts w:asciiTheme="minorHAnsi" w:hAnsiTheme="minorHAnsi"/>
                <w:sz w:val="22"/>
                <w:szCs w:val="22"/>
              </w:rPr>
              <w:t>5</w:t>
            </w:r>
          </w:p>
        </w:tc>
      </w:tr>
    </w:tbl>
    <w:p w:rsidR="00072449" w:rsidRPr="008E0FD3" w:rsidRDefault="00072449" w:rsidP="008E0FD3">
      <w:pPr>
        <w:spacing w:after="0"/>
        <w:rPr>
          <w:sz w:val="18"/>
        </w:rPr>
      </w:pPr>
      <w:r w:rsidRPr="008E0FD3">
        <w:rPr>
          <w:sz w:val="18"/>
        </w:rPr>
        <w:t>*Amount of missing data differed between analyses presented in this table, thus ranges given for Ns</w:t>
      </w:r>
    </w:p>
    <w:p w:rsidR="00A833F2" w:rsidRPr="00477B2F" w:rsidRDefault="00A833F2" w:rsidP="00072449">
      <w:pPr>
        <w:rPr>
          <w:rFonts w:asciiTheme="minorHAnsi" w:hAnsiTheme="minorHAnsi"/>
        </w:rPr>
      </w:pPr>
    </w:p>
    <w:p w:rsidR="00072449" w:rsidRPr="00740DE1" w:rsidRDefault="00072449" w:rsidP="0034684A">
      <w:pPr>
        <w:pStyle w:val="FAREH3"/>
      </w:pPr>
      <w:r w:rsidRPr="00477B2F">
        <w:t>Contact with the criminal justice system</w:t>
      </w:r>
    </w:p>
    <w:p w:rsidR="00072449" w:rsidRDefault="00072449" w:rsidP="00072449">
      <w:pPr>
        <w:pStyle w:val="FAREnormaltext"/>
        <w:rPr>
          <w:b/>
          <w:lang w:eastAsia="en-AU"/>
        </w:rPr>
      </w:pPr>
      <w:r w:rsidRPr="00E63703">
        <w:t xml:space="preserve">Participants had a rate of </w:t>
      </w:r>
      <w:r>
        <w:t>engagement</w:t>
      </w:r>
      <w:r w:rsidRPr="00E63703">
        <w:t xml:space="preserve"> with the criminal justice system</w:t>
      </w:r>
      <w:r>
        <w:t xml:space="preserve"> that is typically observed among this population</w:t>
      </w:r>
      <w:r w:rsidRPr="00E63703">
        <w:t>, w</w:t>
      </w:r>
      <w:r>
        <w:t>ith 35</w:t>
      </w:r>
      <w:r w:rsidRPr="00E63703">
        <w:t>% having either been imprisoned, in a community-based offender program, held in lock-up, or remanded in custody in the past year or currently on bail; awaiting charges, trial, or sentencing; on bond; on some type of court order; or on parole, suspended sentence, or probation; or facing a warrant. These problems were significantly more common in long-term residential participants than in outpatients or acute withdrawal participants (4</w:t>
      </w:r>
      <w:r>
        <w:t>9</w:t>
      </w:r>
      <w:r w:rsidRPr="00E63703">
        <w:t>% vs. 3</w:t>
      </w:r>
      <w:r>
        <w:t>4</w:t>
      </w:r>
      <w:r w:rsidRPr="00E63703">
        <w:t>% and 26% respectively). Specific indices of involvement in the criminal justice system are shown in Table 3.</w:t>
      </w:r>
      <w:r>
        <w:t>7</w:t>
      </w:r>
      <w:r w:rsidRPr="00E63703">
        <w:t>. Long-term residential participants had substantially higher rates of involvement for every one of these indices.</w:t>
      </w:r>
      <w:bookmarkStart w:id="108" w:name="_Toc386108211"/>
      <w:bookmarkStart w:id="109" w:name="_Toc387426359"/>
    </w:p>
    <w:p w:rsidR="00E41BCC" w:rsidRDefault="00E41BCC">
      <w:pPr>
        <w:spacing w:after="120" w:line="240" w:lineRule="auto"/>
        <w:ind w:left="1191" w:hanging="1134"/>
        <w:jc w:val="both"/>
        <w:rPr>
          <w:b/>
          <w:lang w:val="en-GB" w:eastAsia="en-AU"/>
        </w:rPr>
      </w:pPr>
      <w:r>
        <w:br w:type="page"/>
      </w:r>
    </w:p>
    <w:p w:rsidR="001C692B" w:rsidRPr="00E41BCC" w:rsidRDefault="00072449" w:rsidP="00E41BCC">
      <w:pPr>
        <w:pStyle w:val="FAREtableheading"/>
      </w:pPr>
      <w:bookmarkStart w:id="110" w:name="_Toc398105069"/>
      <w:proofErr w:type="gramStart"/>
      <w:r w:rsidRPr="00E41BCC">
        <w:lastRenderedPageBreak/>
        <w:t xml:space="preserve">Table </w:t>
      </w:r>
      <w:r w:rsidR="00BE3D19" w:rsidRPr="00E41BCC">
        <w:fldChar w:fldCharType="begin"/>
      </w:r>
      <w:r w:rsidRPr="00E41BCC">
        <w:instrText xml:space="preserve"> STYLEREF 1 \s </w:instrText>
      </w:r>
      <w:r w:rsidR="00BE3D19" w:rsidRPr="00E41BCC">
        <w:fldChar w:fldCharType="separate"/>
      </w:r>
      <w:r w:rsidR="00E150CA">
        <w:rPr>
          <w:noProof/>
        </w:rPr>
        <w:t>3</w:t>
      </w:r>
      <w:r w:rsidR="00BE3D19" w:rsidRPr="00E41BCC">
        <w:fldChar w:fldCharType="end"/>
      </w:r>
      <w:r w:rsidRPr="00E41BCC">
        <w:t>.</w:t>
      </w:r>
      <w:proofErr w:type="gramEnd"/>
      <w:r w:rsidR="00BE3D19" w:rsidRPr="00E41BCC">
        <w:fldChar w:fldCharType="begin"/>
      </w:r>
      <w:r w:rsidRPr="00E41BCC">
        <w:instrText xml:space="preserve"> SEQ Table \* ARABIC \s 1 </w:instrText>
      </w:r>
      <w:r w:rsidR="00BE3D19" w:rsidRPr="00E41BCC">
        <w:fldChar w:fldCharType="separate"/>
      </w:r>
      <w:r w:rsidR="00E150CA">
        <w:rPr>
          <w:noProof/>
        </w:rPr>
        <w:t>7</w:t>
      </w:r>
      <w:r w:rsidR="00BE3D19" w:rsidRPr="00E41BCC">
        <w:fldChar w:fldCharType="end"/>
      </w:r>
      <w:r w:rsidRPr="00E41BCC">
        <w:t xml:space="preserve">  Contact with the justice system by index treatment type at baseline</w:t>
      </w:r>
      <w:bookmarkEnd w:id="108"/>
      <w:bookmarkEnd w:id="109"/>
      <w:bookmarkEnd w:id="110"/>
      <w:r w:rsidRPr="00E41BCC">
        <w:t xml:space="preserve"> </w:t>
      </w:r>
    </w:p>
    <w:tbl>
      <w:tblPr>
        <w:tblStyle w:val="TableGrid"/>
        <w:tblW w:w="0" w:type="auto"/>
        <w:tblBorders>
          <w:top w:val="single" w:sz="4" w:space="0" w:color="auto"/>
          <w:left w:val="none" w:sz="0" w:space="0" w:color="auto"/>
          <w:bottom w:val="single" w:sz="4"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3.7  Contact with the justice system by index treatment type at baseline "/>
        <w:tblDescription w:val="Table 3.7  Contact with the justice system by index treatment type at baseline "/>
      </w:tblPr>
      <w:tblGrid>
        <w:gridCol w:w="2376"/>
        <w:gridCol w:w="1560"/>
        <w:gridCol w:w="1417"/>
        <w:gridCol w:w="1418"/>
        <w:gridCol w:w="1559"/>
        <w:gridCol w:w="912"/>
      </w:tblGrid>
      <w:tr w:rsidR="00042B28" w:rsidRPr="00415291" w:rsidTr="00046CCA">
        <w:trPr>
          <w:tblHeader/>
        </w:trPr>
        <w:tc>
          <w:tcPr>
            <w:tcW w:w="2376" w:type="dxa"/>
            <w:tcBorders>
              <w:top w:val="single" w:sz="4" w:space="0" w:color="auto"/>
              <w:bottom w:val="single" w:sz="4" w:space="0" w:color="auto"/>
            </w:tcBorders>
          </w:tcPr>
          <w:p w:rsidR="00072449" w:rsidRPr="002461FE" w:rsidRDefault="00072449" w:rsidP="00072449">
            <w:pPr>
              <w:rPr>
                <w:rFonts w:asciiTheme="minorHAnsi" w:hAnsiTheme="minorHAnsi"/>
                <w:b/>
                <w:sz w:val="22"/>
                <w:szCs w:val="22"/>
              </w:rPr>
            </w:pPr>
          </w:p>
        </w:tc>
        <w:tc>
          <w:tcPr>
            <w:tcW w:w="1560" w:type="dxa"/>
            <w:tcBorders>
              <w:top w:val="single" w:sz="4" w:space="0" w:color="auto"/>
              <w:bottom w:val="single" w:sz="4" w:space="0" w:color="auto"/>
            </w:tcBorders>
          </w:tcPr>
          <w:p w:rsidR="00072449" w:rsidRPr="002461FE" w:rsidRDefault="00072449" w:rsidP="00B11DEE">
            <w:pPr>
              <w:spacing w:line="240" w:lineRule="auto"/>
              <w:jc w:val="center"/>
              <w:rPr>
                <w:rFonts w:asciiTheme="minorHAnsi" w:hAnsiTheme="minorHAnsi"/>
                <w:b/>
                <w:sz w:val="22"/>
                <w:szCs w:val="22"/>
              </w:rPr>
            </w:pPr>
            <w:r w:rsidRPr="002461FE">
              <w:rPr>
                <w:rFonts w:asciiTheme="minorHAnsi" w:hAnsiTheme="minorHAnsi"/>
                <w:b/>
                <w:sz w:val="22"/>
                <w:szCs w:val="22"/>
              </w:rPr>
              <w:t>Total sample (N = 775-793)</w:t>
            </w:r>
          </w:p>
        </w:tc>
        <w:tc>
          <w:tcPr>
            <w:tcW w:w="1417" w:type="dxa"/>
            <w:tcBorders>
              <w:top w:val="single" w:sz="4" w:space="0" w:color="auto"/>
              <w:bottom w:val="single" w:sz="4" w:space="0" w:color="auto"/>
            </w:tcBorders>
          </w:tcPr>
          <w:p w:rsidR="00072449" w:rsidRPr="002461FE" w:rsidRDefault="00072449" w:rsidP="00B11DEE">
            <w:pPr>
              <w:spacing w:line="240" w:lineRule="auto"/>
              <w:jc w:val="center"/>
              <w:rPr>
                <w:rFonts w:asciiTheme="minorHAnsi" w:hAnsiTheme="minorHAnsi"/>
                <w:b/>
                <w:sz w:val="22"/>
                <w:szCs w:val="22"/>
              </w:rPr>
            </w:pPr>
            <w:r w:rsidRPr="002461FE">
              <w:rPr>
                <w:rFonts w:asciiTheme="minorHAnsi" w:hAnsiTheme="minorHAnsi"/>
                <w:b/>
                <w:sz w:val="22"/>
                <w:szCs w:val="22"/>
              </w:rPr>
              <w:t>Outpatient (n = 20</w:t>
            </w:r>
            <w:r w:rsidR="003B5EDA">
              <w:rPr>
                <w:rFonts w:asciiTheme="minorHAnsi" w:hAnsiTheme="minorHAnsi"/>
                <w:b/>
                <w:sz w:val="22"/>
                <w:szCs w:val="22"/>
              </w:rPr>
              <w:t>8</w:t>
            </w:r>
            <w:r w:rsidRPr="002461FE">
              <w:rPr>
                <w:rFonts w:asciiTheme="minorHAnsi" w:hAnsiTheme="minorHAnsi"/>
                <w:b/>
                <w:sz w:val="22"/>
                <w:szCs w:val="22"/>
              </w:rPr>
              <w:t>-21</w:t>
            </w:r>
            <w:r w:rsidR="003B5EDA">
              <w:rPr>
                <w:rFonts w:asciiTheme="minorHAnsi" w:hAnsiTheme="minorHAnsi"/>
                <w:b/>
                <w:sz w:val="22"/>
                <w:szCs w:val="22"/>
              </w:rPr>
              <w:t>3</w:t>
            </w:r>
            <w:r w:rsidRPr="002461FE">
              <w:rPr>
                <w:rFonts w:asciiTheme="minorHAnsi" w:hAnsiTheme="minorHAnsi"/>
                <w:b/>
                <w:sz w:val="22"/>
                <w:szCs w:val="22"/>
              </w:rPr>
              <w:t>)</w:t>
            </w:r>
          </w:p>
        </w:tc>
        <w:tc>
          <w:tcPr>
            <w:tcW w:w="1418" w:type="dxa"/>
            <w:tcBorders>
              <w:top w:val="single" w:sz="4" w:space="0" w:color="auto"/>
              <w:bottom w:val="single" w:sz="4" w:space="0" w:color="auto"/>
            </w:tcBorders>
          </w:tcPr>
          <w:p w:rsidR="00072449" w:rsidRPr="002461FE" w:rsidRDefault="00072449" w:rsidP="00B11DEE">
            <w:pPr>
              <w:spacing w:line="240" w:lineRule="auto"/>
              <w:jc w:val="center"/>
              <w:rPr>
                <w:rFonts w:asciiTheme="minorHAnsi" w:hAnsiTheme="minorHAnsi"/>
                <w:b/>
                <w:sz w:val="22"/>
                <w:szCs w:val="22"/>
              </w:rPr>
            </w:pPr>
            <w:r w:rsidRPr="002461FE">
              <w:rPr>
                <w:rFonts w:asciiTheme="minorHAnsi" w:hAnsiTheme="minorHAnsi"/>
                <w:b/>
                <w:sz w:val="22"/>
                <w:szCs w:val="22"/>
              </w:rPr>
              <w:t>Acute withdrawal (n = 340-350)</w:t>
            </w:r>
          </w:p>
        </w:tc>
        <w:tc>
          <w:tcPr>
            <w:tcW w:w="1559" w:type="dxa"/>
            <w:tcBorders>
              <w:top w:val="single" w:sz="4" w:space="0" w:color="auto"/>
              <w:bottom w:val="single" w:sz="4" w:space="0" w:color="auto"/>
            </w:tcBorders>
          </w:tcPr>
          <w:p w:rsidR="00072449" w:rsidRPr="002461FE" w:rsidRDefault="004516BD" w:rsidP="00B11DEE">
            <w:pPr>
              <w:spacing w:line="240" w:lineRule="auto"/>
              <w:jc w:val="center"/>
              <w:rPr>
                <w:rFonts w:asciiTheme="minorHAnsi" w:hAnsiTheme="minorHAnsi"/>
                <w:b/>
                <w:sz w:val="22"/>
                <w:szCs w:val="22"/>
              </w:rPr>
            </w:pPr>
            <w:r w:rsidRPr="00477B2F">
              <w:rPr>
                <w:rFonts w:asciiTheme="minorHAnsi" w:hAnsiTheme="minorHAnsi"/>
                <w:b/>
                <w:sz w:val="22"/>
                <w:szCs w:val="22"/>
              </w:rPr>
              <w:t>Residential</w:t>
            </w:r>
            <w:r>
              <w:rPr>
                <w:rFonts w:asciiTheme="minorHAnsi" w:hAnsiTheme="minorHAnsi"/>
                <w:b/>
                <w:sz w:val="22"/>
                <w:szCs w:val="22"/>
              </w:rPr>
              <w:t xml:space="preserve"> rehabilitation</w:t>
            </w:r>
            <w:r w:rsidRPr="00477B2F">
              <w:rPr>
                <w:rFonts w:asciiTheme="minorHAnsi" w:hAnsiTheme="minorHAnsi"/>
                <w:b/>
                <w:sz w:val="22"/>
                <w:szCs w:val="22"/>
              </w:rPr>
              <w:t xml:space="preserve"> </w:t>
            </w:r>
            <w:r w:rsidR="00072449" w:rsidRPr="002461FE">
              <w:rPr>
                <w:rFonts w:asciiTheme="minorHAnsi" w:hAnsiTheme="minorHAnsi"/>
                <w:b/>
                <w:sz w:val="22"/>
                <w:szCs w:val="22"/>
              </w:rPr>
              <w:t>(n = 22</w:t>
            </w:r>
            <w:r w:rsidR="003B5EDA">
              <w:rPr>
                <w:rFonts w:asciiTheme="minorHAnsi" w:hAnsiTheme="minorHAnsi"/>
                <w:b/>
                <w:sz w:val="22"/>
                <w:szCs w:val="22"/>
              </w:rPr>
              <w:t>7</w:t>
            </w:r>
            <w:r w:rsidR="00072449" w:rsidRPr="002461FE">
              <w:rPr>
                <w:rFonts w:asciiTheme="minorHAnsi" w:hAnsiTheme="minorHAnsi"/>
                <w:b/>
                <w:sz w:val="22"/>
                <w:szCs w:val="22"/>
              </w:rPr>
              <w:t>-2</w:t>
            </w:r>
            <w:r w:rsidR="003B5EDA">
              <w:rPr>
                <w:rFonts w:asciiTheme="minorHAnsi" w:hAnsiTheme="minorHAnsi"/>
                <w:b/>
                <w:sz w:val="22"/>
                <w:szCs w:val="22"/>
              </w:rPr>
              <w:t>31</w:t>
            </w:r>
            <w:r w:rsidR="00072449" w:rsidRPr="002461FE">
              <w:rPr>
                <w:rFonts w:asciiTheme="minorHAnsi" w:hAnsiTheme="minorHAnsi"/>
                <w:b/>
                <w:sz w:val="22"/>
                <w:szCs w:val="22"/>
              </w:rPr>
              <w:t>)</w:t>
            </w:r>
          </w:p>
        </w:tc>
        <w:tc>
          <w:tcPr>
            <w:tcW w:w="912" w:type="dxa"/>
            <w:tcBorders>
              <w:top w:val="single" w:sz="4" w:space="0" w:color="auto"/>
              <w:bottom w:val="single" w:sz="4" w:space="0" w:color="auto"/>
            </w:tcBorders>
          </w:tcPr>
          <w:p w:rsidR="00072449" w:rsidRPr="002461FE" w:rsidRDefault="002461FE" w:rsidP="00B11DEE">
            <w:pPr>
              <w:jc w:val="center"/>
              <w:rPr>
                <w:rFonts w:asciiTheme="minorHAnsi" w:hAnsiTheme="minorHAnsi"/>
                <w:b/>
                <w:sz w:val="22"/>
                <w:szCs w:val="22"/>
              </w:rPr>
            </w:pPr>
            <w:r>
              <w:rPr>
                <w:rFonts w:asciiTheme="minorHAnsi" w:hAnsiTheme="minorHAnsi"/>
                <w:b/>
                <w:sz w:val="22"/>
                <w:szCs w:val="22"/>
              </w:rPr>
              <w:t>p</w:t>
            </w:r>
          </w:p>
        </w:tc>
      </w:tr>
      <w:tr w:rsidR="00042B28" w:rsidRPr="00415291" w:rsidTr="00B11DEE">
        <w:trPr>
          <w:trHeight w:hRule="exact" w:val="340"/>
        </w:trPr>
        <w:tc>
          <w:tcPr>
            <w:tcW w:w="2376" w:type="dxa"/>
            <w:tcBorders>
              <w:top w:val="single" w:sz="4" w:space="0" w:color="auto"/>
            </w:tcBorders>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Prison in past year</w:t>
            </w:r>
          </w:p>
        </w:tc>
        <w:tc>
          <w:tcPr>
            <w:tcW w:w="1560" w:type="dxa"/>
            <w:tcBorders>
              <w:top w:val="single" w:sz="4" w:space="0" w:color="auto"/>
            </w:tcBorders>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8.0%</w:t>
            </w:r>
          </w:p>
        </w:tc>
        <w:tc>
          <w:tcPr>
            <w:tcW w:w="1417" w:type="dxa"/>
            <w:tcBorders>
              <w:top w:val="single" w:sz="4" w:space="0" w:color="auto"/>
            </w:tcBorders>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4.2%</w:t>
            </w:r>
          </w:p>
        </w:tc>
        <w:tc>
          <w:tcPr>
            <w:tcW w:w="1418" w:type="dxa"/>
            <w:tcBorders>
              <w:top w:val="single" w:sz="4" w:space="0" w:color="auto"/>
            </w:tcBorders>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2.3%</w:t>
            </w:r>
          </w:p>
        </w:tc>
        <w:tc>
          <w:tcPr>
            <w:tcW w:w="1559" w:type="dxa"/>
            <w:tcBorders>
              <w:top w:val="single" w:sz="4" w:space="0" w:color="auto"/>
            </w:tcBorders>
          </w:tcPr>
          <w:p w:rsidR="00072449" w:rsidRPr="00477B2F" w:rsidRDefault="00DB763C" w:rsidP="00B11DEE">
            <w:pPr>
              <w:spacing w:line="240" w:lineRule="auto"/>
              <w:rPr>
                <w:rFonts w:asciiTheme="minorHAnsi" w:hAnsiTheme="minorHAnsi"/>
                <w:sz w:val="22"/>
                <w:szCs w:val="22"/>
              </w:rPr>
            </w:pPr>
            <w:r>
              <w:rPr>
                <w:rFonts w:asciiTheme="minorHAnsi" w:hAnsiTheme="minorHAnsi"/>
                <w:sz w:val="22"/>
                <w:szCs w:val="22"/>
              </w:rPr>
              <w:t>19.9</w:t>
            </w:r>
            <w:r w:rsidR="00072449" w:rsidRPr="00477B2F">
              <w:rPr>
                <w:rFonts w:asciiTheme="minorHAnsi" w:hAnsiTheme="minorHAnsi"/>
                <w:sz w:val="22"/>
                <w:szCs w:val="22"/>
              </w:rPr>
              <w:t>%</w:t>
            </w:r>
          </w:p>
        </w:tc>
        <w:tc>
          <w:tcPr>
            <w:tcW w:w="912" w:type="dxa"/>
            <w:tcBorders>
              <w:top w:val="single" w:sz="4" w:space="0" w:color="auto"/>
            </w:tcBorders>
          </w:tcPr>
          <w:p w:rsidR="00072449" w:rsidRPr="00477B2F" w:rsidRDefault="00042B28" w:rsidP="00B11DEE">
            <w:pPr>
              <w:spacing w:line="240" w:lineRule="auto"/>
              <w:rPr>
                <w:rFonts w:asciiTheme="minorHAnsi" w:hAnsiTheme="minorHAnsi"/>
                <w:sz w:val="22"/>
                <w:szCs w:val="22"/>
              </w:rPr>
            </w:pPr>
            <w:r>
              <w:rPr>
                <w:rFonts w:asciiTheme="minorHAnsi" w:hAnsiTheme="minorHAnsi"/>
                <w:sz w:val="22"/>
                <w:szCs w:val="22"/>
              </w:rPr>
              <w:t xml:space="preserve">&lt; </w:t>
            </w:r>
            <w:r w:rsidR="00072449" w:rsidRPr="00477B2F">
              <w:rPr>
                <w:rFonts w:asciiTheme="minorHAnsi" w:hAnsiTheme="minorHAnsi"/>
                <w:sz w:val="22"/>
                <w:szCs w:val="22"/>
              </w:rPr>
              <w:t>.001</w:t>
            </w:r>
          </w:p>
        </w:tc>
      </w:tr>
      <w:tr w:rsidR="00042B28" w:rsidRPr="00415291" w:rsidTr="00B11DEE">
        <w:trPr>
          <w:trHeight w:hRule="exact" w:val="851"/>
        </w:trPr>
        <w:tc>
          <w:tcPr>
            <w:tcW w:w="2376"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Community-based offender program in past year</w:t>
            </w:r>
          </w:p>
        </w:tc>
        <w:tc>
          <w:tcPr>
            <w:tcW w:w="1560"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11.0%</w:t>
            </w:r>
          </w:p>
        </w:tc>
        <w:tc>
          <w:tcPr>
            <w:tcW w:w="1417"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1</w:t>
            </w:r>
            <w:r w:rsidR="00DB763C">
              <w:rPr>
                <w:rFonts w:asciiTheme="minorHAnsi" w:hAnsiTheme="minorHAnsi"/>
                <w:sz w:val="22"/>
                <w:szCs w:val="22"/>
              </w:rPr>
              <w:t>1</w:t>
            </w:r>
            <w:r w:rsidRPr="00477B2F">
              <w:rPr>
                <w:rFonts w:asciiTheme="minorHAnsi" w:hAnsiTheme="minorHAnsi"/>
                <w:sz w:val="22"/>
                <w:szCs w:val="22"/>
              </w:rPr>
              <w:t>.</w:t>
            </w:r>
            <w:r w:rsidR="00DB763C">
              <w:rPr>
                <w:rFonts w:asciiTheme="minorHAnsi" w:hAnsiTheme="minorHAnsi"/>
                <w:sz w:val="22"/>
                <w:szCs w:val="22"/>
              </w:rPr>
              <w:t>8</w:t>
            </w:r>
            <w:r w:rsidRPr="00477B2F">
              <w:rPr>
                <w:rFonts w:asciiTheme="minorHAnsi" w:hAnsiTheme="minorHAnsi"/>
                <w:sz w:val="22"/>
                <w:szCs w:val="22"/>
              </w:rPr>
              <w:t>%</w:t>
            </w:r>
          </w:p>
        </w:tc>
        <w:tc>
          <w:tcPr>
            <w:tcW w:w="1418"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5.8%</w:t>
            </w:r>
          </w:p>
        </w:tc>
        <w:tc>
          <w:tcPr>
            <w:tcW w:w="1559"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17.</w:t>
            </w:r>
            <w:r w:rsidR="00DB763C">
              <w:rPr>
                <w:rFonts w:asciiTheme="minorHAnsi" w:hAnsiTheme="minorHAnsi"/>
                <w:sz w:val="22"/>
                <w:szCs w:val="22"/>
              </w:rPr>
              <w:t>8</w:t>
            </w:r>
            <w:r w:rsidRPr="00477B2F">
              <w:rPr>
                <w:rFonts w:asciiTheme="minorHAnsi" w:hAnsiTheme="minorHAnsi"/>
                <w:sz w:val="22"/>
                <w:szCs w:val="22"/>
              </w:rPr>
              <w:t>%</w:t>
            </w:r>
          </w:p>
        </w:tc>
        <w:tc>
          <w:tcPr>
            <w:tcW w:w="912" w:type="dxa"/>
          </w:tcPr>
          <w:p w:rsidR="00072449" w:rsidRPr="00477B2F" w:rsidRDefault="00042B28" w:rsidP="00B11DEE">
            <w:pPr>
              <w:spacing w:line="240" w:lineRule="auto"/>
              <w:rPr>
                <w:rFonts w:asciiTheme="minorHAnsi" w:hAnsiTheme="minorHAnsi"/>
                <w:sz w:val="22"/>
                <w:szCs w:val="22"/>
              </w:rPr>
            </w:pPr>
            <w:r>
              <w:rPr>
                <w:rFonts w:asciiTheme="minorHAnsi" w:hAnsiTheme="minorHAnsi"/>
                <w:sz w:val="22"/>
                <w:szCs w:val="22"/>
              </w:rPr>
              <w:t xml:space="preserve">&lt; </w:t>
            </w:r>
            <w:r w:rsidR="00072449" w:rsidRPr="00477B2F">
              <w:rPr>
                <w:rFonts w:asciiTheme="minorHAnsi" w:hAnsiTheme="minorHAnsi"/>
                <w:sz w:val="22"/>
                <w:szCs w:val="22"/>
              </w:rPr>
              <w:t>.001</w:t>
            </w:r>
          </w:p>
        </w:tc>
      </w:tr>
      <w:tr w:rsidR="00042B28" w:rsidRPr="00415291" w:rsidTr="00B11DEE">
        <w:trPr>
          <w:trHeight w:hRule="exact" w:val="851"/>
        </w:trPr>
        <w:tc>
          <w:tcPr>
            <w:tcW w:w="2376"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Held in lock-up or watch-house in past year</w:t>
            </w:r>
          </w:p>
        </w:tc>
        <w:tc>
          <w:tcPr>
            <w:tcW w:w="1560"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14.3%</w:t>
            </w:r>
          </w:p>
        </w:tc>
        <w:tc>
          <w:tcPr>
            <w:tcW w:w="1417"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6.7%</w:t>
            </w:r>
          </w:p>
        </w:tc>
        <w:tc>
          <w:tcPr>
            <w:tcW w:w="1418"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9.4%</w:t>
            </w:r>
          </w:p>
        </w:tc>
        <w:tc>
          <w:tcPr>
            <w:tcW w:w="1559"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28.</w:t>
            </w:r>
            <w:r w:rsidR="003B5EDA">
              <w:rPr>
                <w:rFonts w:asciiTheme="minorHAnsi" w:hAnsiTheme="minorHAnsi"/>
                <w:sz w:val="22"/>
                <w:szCs w:val="22"/>
              </w:rPr>
              <w:t>6</w:t>
            </w:r>
            <w:r w:rsidRPr="00477B2F">
              <w:rPr>
                <w:rFonts w:asciiTheme="minorHAnsi" w:hAnsiTheme="minorHAnsi"/>
                <w:sz w:val="22"/>
                <w:szCs w:val="22"/>
              </w:rPr>
              <w:t>%</w:t>
            </w:r>
          </w:p>
        </w:tc>
        <w:tc>
          <w:tcPr>
            <w:tcW w:w="912" w:type="dxa"/>
          </w:tcPr>
          <w:p w:rsidR="00072449" w:rsidRPr="00477B2F" w:rsidRDefault="00042B28" w:rsidP="00B11DEE">
            <w:pPr>
              <w:spacing w:line="240" w:lineRule="auto"/>
              <w:rPr>
                <w:rFonts w:asciiTheme="minorHAnsi" w:hAnsiTheme="minorHAnsi"/>
                <w:sz w:val="22"/>
                <w:szCs w:val="22"/>
              </w:rPr>
            </w:pPr>
            <w:r>
              <w:rPr>
                <w:rFonts w:asciiTheme="minorHAnsi" w:hAnsiTheme="minorHAnsi"/>
                <w:sz w:val="22"/>
                <w:szCs w:val="22"/>
              </w:rPr>
              <w:t xml:space="preserve">&lt; </w:t>
            </w:r>
            <w:r w:rsidR="00072449" w:rsidRPr="00477B2F">
              <w:rPr>
                <w:rFonts w:asciiTheme="minorHAnsi" w:hAnsiTheme="minorHAnsi"/>
                <w:sz w:val="22"/>
                <w:szCs w:val="22"/>
              </w:rPr>
              <w:t>.001</w:t>
            </w:r>
          </w:p>
        </w:tc>
      </w:tr>
      <w:tr w:rsidR="00042B28" w:rsidRPr="00415291" w:rsidTr="00B11DEE">
        <w:trPr>
          <w:trHeight w:hRule="exact" w:val="567"/>
        </w:trPr>
        <w:tc>
          <w:tcPr>
            <w:tcW w:w="2376"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Remanded in custody in past year</w:t>
            </w:r>
          </w:p>
        </w:tc>
        <w:tc>
          <w:tcPr>
            <w:tcW w:w="1560"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8.5%</w:t>
            </w:r>
          </w:p>
        </w:tc>
        <w:tc>
          <w:tcPr>
            <w:tcW w:w="1417"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3.8%</w:t>
            </w:r>
          </w:p>
        </w:tc>
        <w:tc>
          <w:tcPr>
            <w:tcW w:w="1418"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4.4%</w:t>
            </w:r>
          </w:p>
        </w:tc>
        <w:tc>
          <w:tcPr>
            <w:tcW w:w="1559"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1</w:t>
            </w:r>
            <w:r w:rsidR="003B5EDA">
              <w:rPr>
                <w:rFonts w:asciiTheme="minorHAnsi" w:hAnsiTheme="minorHAnsi"/>
                <w:sz w:val="22"/>
                <w:szCs w:val="22"/>
              </w:rPr>
              <w:t>8</w:t>
            </w:r>
            <w:r w:rsidRPr="00477B2F">
              <w:rPr>
                <w:rFonts w:asciiTheme="minorHAnsi" w:hAnsiTheme="minorHAnsi"/>
                <w:sz w:val="22"/>
                <w:szCs w:val="22"/>
              </w:rPr>
              <w:t>.</w:t>
            </w:r>
            <w:r w:rsidR="003B5EDA">
              <w:rPr>
                <w:rFonts w:asciiTheme="minorHAnsi" w:hAnsiTheme="minorHAnsi"/>
                <w:sz w:val="22"/>
                <w:szCs w:val="22"/>
              </w:rPr>
              <w:t>9</w:t>
            </w:r>
            <w:r w:rsidRPr="00477B2F">
              <w:rPr>
                <w:rFonts w:asciiTheme="minorHAnsi" w:hAnsiTheme="minorHAnsi"/>
                <w:sz w:val="22"/>
                <w:szCs w:val="22"/>
              </w:rPr>
              <w:t>%</w:t>
            </w:r>
          </w:p>
        </w:tc>
        <w:tc>
          <w:tcPr>
            <w:tcW w:w="912" w:type="dxa"/>
          </w:tcPr>
          <w:p w:rsidR="00072449" w:rsidRPr="00477B2F" w:rsidRDefault="00042B28" w:rsidP="00B11DEE">
            <w:pPr>
              <w:spacing w:line="240" w:lineRule="auto"/>
              <w:rPr>
                <w:rFonts w:asciiTheme="minorHAnsi" w:hAnsiTheme="minorHAnsi"/>
                <w:sz w:val="22"/>
                <w:szCs w:val="22"/>
              </w:rPr>
            </w:pPr>
            <w:r>
              <w:rPr>
                <w:rFonts w:asciiTheme="minorHAnsi" w:hAnsiTheme="minorHAnsi"/>
                <w:sz w:val="22"/>
                <w:szCs w:val="22"/>
              </w:rPr>
              <w:t xml:space="preserve">&lt; </w:t>
            </w:r>
            <w:r w:rsidR="00072449" w:rsidRPr="00477B2F">
              <w:rPr>
                <w:rFonts w:asciiTheme="minorHAnsi" w:hAnsiTheme="minorHAnsi"/>
                <w:sz w:val="22"/>
                <w:szCs w:val="22"/>
              </w:rPr>
              <w:t>.001</w:t>
            </w:r>
          </w:p>
        </w:tc>
      </w:tr>
      <w:tr w:rsidR="00042B28" w:rsidRPr="00415291" w:rsidTr="00B11DEE">
        <w:trPr>
          <w:trHeight w:hRule="exact" w:val="567"/>
        </w:trPr>
        <w:tc>
          <w:tcPr>
            <w:tcW w:w="2376"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Current legal problems**</w:t>
            </w:r>
          </w:p>
        </w:tc>
        <w:tc>
          <w:tcPr>
            <w:tcW w:w="1560"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29.9%</w:t>
            </w:r>
          </w:p>
        </w:tc>
        <w:tc>
          <w:tcPr>
            <w:tcW w:w="1417"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29.</w:t>
            </w:r>
            <w:r w:rsidR="003B5EDA">
              <w:rPr>
                <w:rFonts w:asciiTheme="minorHAnsi" w:hAnsiTheme="minorHAnsi"/>
                <w:sz w:val="22"/>
                <w:szCs w:val="22"/>
              </w:rPr>
              <w:t>1</w:t>
            </w:r>
            <w:r w:rsidRPr="00477B2F">
              <w:rPr>
                <w:rFonts w:asciiTheme="minorHAnsi" w:hAnsiTheme="minorHAnsi"/>
                <w:sz w:val="22"/>
                <w:szCs w:val="22"/>
              </w:rPr>
              <w:t>%</w:t>
            </w:r>
          </w:p>
        </w:tc>
        <w:tc>
          <w:tcPr>
            <w:tcW w:w="1418"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23.1%</w:t>
            </w:r>
          </w:p>
        </w:tc>
        <w:tc>
          <w:tcPr>
            <w:tcW w:w="1559" w:type="dxa"/>
          </w:tcPr>
          <w:p w:rsidR="00072449" w:rsidRPr="00477B2F" w:rsidRDefault="00072449" w:rsidP="00B11DEE">
            <w:pPr>
              <w:spacing w:line="240" w:lineRule="auto"/>
              <w:rPr>
                <w:rFonts w:asciiTheme="minorHAnsi" w:hAnsiTheme="minorHAnsi"/>
                <w:sz w:val="22"/>
                <w:szCs w:val="22"/>
              </w:rPr>
            </w:pPr>
            <w:r w:rsidRPr="00477B2F">
              <w:rPr>
                <w:rFonts w:asciiTheme="minorHAnsi" w:hAnsiTheme="minorHAnsi"/>
                <w:sz w:val="22"/>
                <w:szCs w:val="22"/>
              </w:rPr>
              <w:t>40.</w:t>
            </w:r>
            <w:r w:rsidR="003B5EDA">
              <w:rPr>
                <w:rFonts w:asciiTheme="minorHAnsi" w:hAnsiTheme="minorHAnsi"/>
                <w:sz w:val="22"/>
                <w:szCs w:val="22"/>
              </w:rPr>
              <w:t>9</w:t>
            </w:r>
            <w:r w:rsidRPr="00477B2F">
              <w:rPr>
                <w:rFonts w:asciiTheme="minorHAnsi" w:hAnsiTheme="minorHAnsi"/>
                <w:sz w:val="22"/>
                <w:szCs w:val="22"/>
              </w:rPr>
              <w:t>%</w:t>
            </w:r>
          </w:p>
        </w:tc>
        <w:tc>
          <w:tcPr>
            <w:tcW w:w="912" w:type="dxa"/>
          </w:tcPr>
          <w:p w:rsidR="00072449" w:rsidRPr="00477B2F" w:rsidRDefault="00042B28" w:rsidP="00B11DEE">
            <w:pPr>
              <w:spacing w:line="240" w:lineRule="auto"/>
              <w:rPr>
                <w:rFonts w:asciiTheme="minorHAnsi" w:hAnsiTheme="minorHAnsi"/>
                <w:sz w:val="22"/>
                <w:szCs w:val="22"/>
              </w:rPr>
            </w:pPr>
            <w:r>
              <w:rPr>
                <w:rFonts w:asciiTheme="minorHAnsi" w:hAnsiTheme="minorHAnsi"/>
                <w:sz w:val="22"/>
                <w:szCs w:val="22"/>
              </w:rPr>
              <w:t xml:space="preserve">&lt; </w:t>
            </w:r>
            <w:r w:rsidR="00072449" w:rsidRPr="00477B2F">
              <w:rPr>
                <w:rFonts w:asciiTheme="minorHAnsi" w:hAnsiTheme="minorHAnsi"/>
                <w:sz w:val="22"/>
                <w:szCs w:val="22"/>
              </w:rPr>
              <w:t>.001</w:t>
            </w:r>
          </w:p>
        </w:tc>
      </w:tr>
    </w:tbl>
    <w:p w:rsidR="00072449" w:rsidRPr="008E0FD3" w:rsidRDefault="00072449" w:rsidP="008E0FD3">
      <w:pPr>
        <w:spacing w:after="0"/>
        <w:rPr>
          <w:sz w:val="18"/>
        </w:rPr>
      </w:pPr>
      <w:r w:rsidRPr="008E0FD3">
        <w:rPr>
          <w:sz w:val="18"/>
        </w:rPr>
        <w:t>*Amount of missing data differed between analyses presented in this table, thus ranges given for Ns</w:t>
      </w:r>
    </w:p>
    <w:p w:rsidR="00072449" w:rsidRPr="008E0FD3" w:rsidRDefault="00072449" w:rsidP="008E0FD3">
      <w:pPr>
        <w:spacing w:after="0"/>
        <w:rPr>
          <w:sz w:val="18"/>
        </w:rPr>
      </w:pPr>
      <w:r w:rsidRPr="008E0FD3">
        <w:rPr>
          <w:sz w:val="18"/>
        </w:rPr>
        <w:t>** Currently on bail; awaiting charges, trial, or sentencing; warrant; bond; court order; parole; suspended sentence; or probation.</w:t>
      </w:r>
    </w:p>
    <w:p w:rsidR="00072449" w:rsidRDefault="00072449" w:rsidP="00072449">
      <w:pPr>
        <w:spacing w:after="0" w:line="240" w:lineRule="auto"/>
        <w:rPr>
          <w:rFonts w:asciiTheme="minorHAnsi" w:hAnsiTheme="minorHAnsi"/>
          <w:sz w:val="20"/>
          <w:szCs w:val="20"/>
        </w:rPr>
      </w:pPr>
    </w:p>
    <w:p w:rsidR="00072449" w:rsidRPr="00E63703" w:rsidRDefault="00072449" w:rsidP="00072449">
      <w:pPr>
        <w:pStyle w:val="FAREnormaltext"/>
      </w:pPr>
      <w:r>
        <w:t>T</w:t>
      </w:r>
      <w:r w:rsidRPr="00E63703">
        <w:t>able</w:t>
      </w:r>
      <w:r>
        <w:t xml:space="preserve"> 3.7</w:t>
      </w:r>
      <w:r w:rsidRPr="00E63703">
        <w:t xml:space="preserve"> indicates that </w:t>
      </w:r>
      <w:r w:rsidR="006D29AE">
        <w:t>participant</w:t>
      </w:r>
      <w:r w:rsidRPr="00E63703">
        <w:t>s with involvement in the criminal justice system (CJS) were significantly m</w:t>
      </w:r>
      <w:r>
        <w:t>ore likely to have residential rehabilitation</w:t>
      </w:r>
      <w:r w:rsidRPr="00E63703">
        <w:t xml:space="preserve"> as their PIT than other treatment types. </w:t>
      </w:r>
      <w:r>
        <w:t>T</w:t>
      </w:r>
      <w:r w:rsidRPr="00E63703">
        <w:t xml:space="preserve">hese </w:t>
      </w:r>
      <w:r w:rsidR="006D29AE">
        <w:t>participants</w:t>
      </w:r>
      <w:r>
        <w:t xml:space="preserve"> also</w:t>
      </w:r>
      <w:r w:rsidRPr="00E63703">
        <w:t xml:space="preserve"> appeared to have more entrenched problems and greater marginalisation</w:t>
      </w:r>
      <w:r>
        <w:t>: Those with current or past year criminal justice system involvement were</w:t>
      </w:r>
      <w:r w:rsidRPr="00E63703">
        <w:t xml:space="preserve"> less likely to be in a stable relationship</w:t>
      </w:r>
      <w:r>
        <w:t xml:space="preserve"> (p &lt; .01)</w:t>
      </w:r>
      <w:r w:rsidRPr="00E63703">
        <w:t xml:space="preserve">, to have </w:t>
      </w:r>
      <w:r>
        <w:t>completed year 12 and/or TAFE and/or an apprenticeship (p &lt; .001)</w:t>
      </w:r>
      <w:r w:rsidRPr="00E63703">
        <w:t xml:space="preserve"> or be employed in the previous 90 days</w:t>
      </w:r>
      <w:r>
        <w:t xml:space="preserve"> (p &lt; .001)</w:t>
      </w:r>
      <w:r w:rsidRPr="00E63703">
        <w:t>, and were significantly more likely to have been homeless</w:t>
      </w:r>
      <w:r>
        <w:t xml:space="preserve"> (p &lt; .01). They were also significantly more likely to have meth</w:t>
      </w:r>
      <w:r w:rsidR="00E977AF">
        <w:t>/</w:t>
      </w:r>
      <w:r>
        <w:t xml:space="preserve">amphetamine as their </w:t>
      </w:r>
      <w:r w:rsidR="00EE7A8F">
        <w:t>PDOC</w:t>
      </w:r>
      <w:r>
        <w:t xml:space="preserve">, and less likely to have alcohol as their </w:t>
      </w:r>
      <w:r w:rsidR="00EE7A8F">
        <w:t>PDOC</w:t>
      </w:r>
      <w:r>
        <w:t>, than those with no current or past year criminal justice system involvement (p &lt; .001).</w:t>
      </w:r>
    </w:p>
    <w:p w:rsidR="00072449" w:rsidRPr="002461FE" w:rsidRDefault="00072449" w:rsidP="002461FE">
      <w:pPr>
        <w:pStyle w:val="FAREH2Nbr"/>
        <w:numPr>
          <w:ilvl w:val="0"/>
          <w:numId w:val="0"/>
        </w:numPr>
        <w:ind w:left="993" w:hanging="993"/>
        <w:rPr>
          <w:rFonts w:eastAsia="Calibri"/>
          <w:b w:val="0"/>
          <w:bCs w:val="0"/>
          <w:noProof w:val="0"/>
          <w:kern w:val="0"/>
          <w:sz w:val="22"/>
          <w:szCs w:val="22"/>
          <w:lang w:val="en-GB"/>
        </w:rPr>
      </w:pPr>
    </w:p>
    <w:p w:rsidR="00072449" w:rsidRDefault="00072449" w:rsidP="00072449">
      <w:pPr>
        <w:spacing w:after="120" w:line="240" w:lineRule="auto"/>
        <w:ind w:left="1191" w:hanging="1134"/>
        <w:jc w:val="both"/>
        <w:rPr>
          <w:rFonts w:eastAsia="Times New Roman"/>
          <w:b/>
          <w:bCs/>
          <w:noProof/>
          <w:kern w:val="32"/>
          <w:sz w:val="36"/>
          <w:szCs w:val="36"/>
          <w:lang w:val="en-US"/>
        </w:rPr>
      </w:pPr>
      <w:r>
        <w:br w:type="page"/>
      </w:r>
    </w:p>
    <w:p w:rsidR="00072449" w:rsidRPr="00B7032F" w:rsidRDefault="00072449" w:rsidP="00173B16">
      <w:pPr>
        <w:pStyle w:val="FAREH2Nbr"/>
      </w:pPr>
      <w:bookmarkStart w:id="111" w:name="_Toc398105046"/>
      <w:r w:rsidRPr="00B7032F">
        <w:lastRenderedPageBreak/>
        <w:t>Follow-up</w:t>
      </w:r>
      <w:bookmarkEnd w:id="111"/>
      <w:r w:rsidRPr="00B7032F">
        <w:t xml:space="preserve"> </w:t>
      </w:r>
    </w:p>
    <w:p w:rsidR="00072449" w:rsidRPr="00A126E3" w:rsidRDefault="00072449" w:rsidP="00072449">
      <w:pPr>
        <w:keepNext/>
        <w:keepLines/>
        <w:spacing w:before="120" w:after="120" w:line="240" w:lineRule="auto"/>
        <w:outlineLvl w:val="0"/>
        <w:rPr>
          <w:rFonts w:ascii="Cambria" w:eastAsia="SimSun" w:hAnsi="Cambria"/>
          <w:bCs/>
          <w:i/>
          <w:sz w:val="24"/>
          <w:szCs w:val="24"/>
        </w:rPr>
      </w:pPr>
      <w:r w:rsidRPr="00A126E3">
        <w:rPr>
          <w:rFonts w:ascii="Cambria" w:eastAsia="SimSun" w:hAnsi="Cambria"/>
          <w:bCs/>
          <w:i/>
          <w:sz w:val="24"/>
          <w:szCs w:val="24"/>
        </w:rPr>
        <w:t xml:space="preserve">Overview </w:t>
      </w:r>
    </w:p>
    <w:p w:rsidR="00072449" w:rsidRDefault="00072449" w:rsidP="00072449">
      <w:pPr>
        <w:pStyle w:val="FAREnormaltext"/>
      </w:pPr>
      <w:r w:rsidRPr="00B7032F">
        <w:t>The outcome</w:t>
      </w:r>
      <w:r>
        <w:t>s</w:t>
      </w:r>
      <w:r w:rsidRPr="00B7032F">
        <w:t xml:space="preserve"> </w:t>
      </w:r>
      <w:r>
        <w:t xml:space="preserve">for </w:t>
      </w:r>
      <w:r w:rsidRPr="00B7032F">
        <w:t>73%</w:t>
      </w:r>
      <w:r>
        <w:t xml:space="preserve"> (</w:t>
      </w:r>
      <w:r w:rsidRPr="00B7032F">
        <w:t>585/796) of the sample w</w:t>
      </w:r>
      <w:r>
        <w:t>ere</w:t>
      </w:r>
      <w:r w:rsidRPr="00B7032F">
        <w:t xml:space="preserve"> ascertained, with 555 (</w:t>
      </w:r>
      <w:r>
        <w:t>70%</w:t>
      </w:r>
      <w:r w:rsidRPr="00B7032F">
        <w:t xml:space="preserve">) </w:t>
      </w:r>
      <w:r>
        <w:t xml:space="preserve">of </w:t>
      </w:r>
      <w:r w:rsidRPr="00B7032F">
        <w:t xml:space="preserve">participants successfully </w:t>
      </w:r>
      <w:r>
        <w:t>re-</w:t>
      </w:r>
      <w:r w:rsidRPr="00B7032F">
        <w:t>interviewed, 11 deceased and 19 incarcerated. Sixty-six participants (8%) withdrew from the study and 145 (18%) could not be contacted and were lost to follow-up. The participants who completed follow-up interviews were compared to those who did not on several baseline demographic, substance use, and treatment variables to detect potential sources of bias in follow-up data. Follow-up completers did not differ significantl</w:t>
      </w:r>
      <w:r>
        <w:t xml:space="preserve">y from non-completers in gender, marital status, </w:t>
      </w:r>
      <w:r w:rsidRPr="00B7032F">
        <w:t>whether or n</w:t>
      </w:r>
      <w:r>
        <w:t xml:space="preserve">ot they were born in Australia, having English as a first language or not, </w:t>
      </w:r>
      <w:r w:rsidRPr="00B7032F">
        <w:t>completion of either year 12 and/or TAFE and/or an apprenticeship</w:t>
      </w:r>
      <w:r>
        <w:t>,</w:t>
      </w:r>
      <w:r w:rsidRPr="00B7032F">
        <w:t xml:space="preserve"> usual employment pattern in the past 12 months</w:t>
      </w:r>
      <w:r>
        <w:t>,</w:t>
      </w:r>
      <w:r w:rsidRPr="00B7032F">
        <w:t xml:space="preserve"> current</w:t>
      </w:r>
      <w:r>
        <w:t xml:space="preserve"> receipt of government benefits, SDS score for their </w:t>
      </w:r>
      <w:r w:rsidR="00EE7A8F">
        <w:t>PDOC</w:t>
      </w:r>
      <w:r>
        <w:t xml:space="preserve">, </w:t>
      </w:r>
      <w:r w:rsidRPr="00B7032F">
        <w:t xml:space="preserve">overall </w:t>
      </w:r>
      <w:r w:rsidR="00EE7A8F">
        <w:t>QOL</w:t>
      </w:r>
      <w:r w:rsidRPr="00B7032F">
        <w:t xml:space="preserve">, overall health satisfaction, physical </w:t>
      </w:r>
      <w:r w:rsidR="00EE7A8F">
        <w:t>QOL</w:t>
      </w:r>
      <w:r w:rsidRPr="00B7032F">
        <w:t xml:space="preserve">, psychological </w:t>
      </w:r>
      <w:r w:rsidR="00EE7A8F">
        <w:t>QOL</w:t>
      </w:r>
      <w:r w:rsidRPr="00B7032F">
        <w:t xml:space="preserve">, social </w:t>
      </w:r>
      <w:r w:rsidR="00EE7A8F">
        <w:t>QOL</w:t>
      </w:r>
      <w:r>
        <w:t xml:space="preserve">, or environmental </w:t>
      </w:r>
      <w:r w:rsidR="00EE7A8F">
        <w:t>QOL</w:t>
      </w:r>
      <w:r>
        <w:t xml:space="preserve"> ratings, nor </w:t>
      </w:r>
      <w:r w:rsidRPr="00B7032F">
        <w:t>current receipt of government benefits (</w:t>
      </w:r>
      <w:r>
        <w:t xml:space="preserve">all </w:t>
      </w:r>
      <w:proofErr w:type="spellStart"/>
      <w:r>
        <w:t>p</w:t>
      </w:r>
      <w:r w:rsidR="007B41BB">
        <w:t>s</w:t>
      </w:r>
      <w:proofErr w:type="spellEnd"/>
      <w:r>
        <w:t xml:space="preserve"> &gt;. 05).</w:t>
      </w:r>
    </w:p>
    <w:p w:rsidR="00072449" w:rsidRPr="00B7032F" w:rsidRDefault="00072449" w:rsidP="00072449">
      <w:pPr>
        <w:pStyle w:val="FAREnormaltext"/>
      </w:pPr>
      <w:r>
        <w:t>Those who completed a f</w:t>
      </w:r>
      <w:r w:rsidRPr="00B7032F">
        <w:t xml:space="preserve">ollow-up </w:t>
      </w:r>
      <w:r>
        <w:t xml:space="preserve">interview </w:t>
      </w:r>
      <w:r w:rsidRPr="00B7032F">
        <w:t>were significantly older at baseline than non-completers (p &lt; .001). Participants from Western Australia were significantly less likely to complete the follow-up interview than</w:t>
      </w:r>
      <w:r>
        <w:t xml:space="preserve"> participants from Victoria (64</w:t>
      </w:r>
      <w:r w:rsidRPr="00B7032F">
        <w:t>% vs. 75</w:t>
      </w:r>
      <w:r>
        <w:t xml:space="preserve">%, </w:t>
      </w:r>
      <w:r w:rsidRPr="00B7032F">
        <w:t>p</w:t>
      </w:r>
      <w:r>
        <w:t xml:space="preserve"> </w:t>
      </w:r>
      <w:r w:rsidRPr="00B7032F">
        <w:t>&lt;.</w:t>
      </w:r>
      <w:r>
        <w:t xml:space="preserve"> </w:t>
      </w:r>
      <w:r w:rsidRPr="00B7032F">
        <w:t>001)</w:t>
      </w:r>
      <w:r>
        <w:t xml:space="preserve"> and those</w:t>
      </w:r>
      <w:r w:rsidRPr="00B7032F">
        <w:t xml:space="preserve"> who had experienced homelessness in the 90 days prior to baseline were less likely to complete the follow-up inte</w:t>
      </w:r>
      <w:r>
        <w:t>rview than those who did not (61</w:t>
      </w:r>
      <w:r w:rsidRPr="00B7032F">
        <w:t>% vs. 7</w:t>
      </w:r>
      <w:r>
        <w:t>3</w:t>
      </w:r>
      <w:r w:rsidRPr="00B7032F">
        <w:t>%; p</w:t>
      </w:r>
      <w:r>
        <w:t xml:space="preserve"> </w:t>
      </w:r>
      <w:r w:rsidRPr="00B7032F">
        <w:t>&lt;</w:t>
      </w:r>
      <w:r>
        <w:t xml:space="preserve"> </w:t>
      </w:r>
      <w:r w:rsidRPr="00B7032F">
        <w:t>.01). Participants who reported suffering a chronic medical condition at baseline were more likely to be followe</w:t>
      </w:r>
      <w:r>
        <w:t>d up than those who did not (73</w:t>
      </w:r>
      <w:r w:rsidRPr="00B7032F">
        <w:t>%</w:t>
      </w:r>
      <w:r>
        <w:t xml:space="preserve"> vs. 67</w:t>
      </w:r>
      <w:r w:rsidRPr="00B7032F">
        <w:t xml:space="preserve">%; p &lt; .05). Participants who were involved in the criminal justice system at baseline were </w:t>
      </w:r>
      <w:r>
        <w:t xml:space="preserve">also </w:t>
      </w:r>
      <w:r w:rsidRPr="00B7032F">
        <w:t xml:space="preserve">significantly less likely to complete the follow-up interview than those with no criminal justice system </w:t>
      </w:r>
      <w:r>
        <w:t>involvement (60% vs. 74%</w:t>
      </w:r>
      <w:r w:rsidRPr="00B7032F">
        <w:t>, p &lt; .001). Participants whose PIT was outpatient treatment were most likely to complete the follow-up interview, while</w:t>
      </w:r>
      <w:r>
        <w:t xml:space="preserve"> those in </w:t>
      </w:r>
      <w:r w:rsidR="00225DFE">
        <w:t>long-term</w:t>
      </w:r>
      <w:r w:rsidRPr="00B7032F">
        <w:t xml:space="preserve"> residential treatment were least likely (outpatient: 8</w:t>
      </w:r>
      <w:r>
        <w:t>2</w:t>
      </w:r>
      <w:r w:rsidRPr="00B7032F">
        <w:t>%, acute withdrawal: 6</w:t>
      </w:r>
      <w:r>
        <w:t>9</w:t>
      </w:r>
      <w:r w:rsidRPr="00B7032F">
        <w:t xml:space="preserve">%, long-term residential: </w:t>
      </w:r>
      <w:r w:rsidR="007B41BB">
        <w:t>59</w:t>
      </w:r>
      <w:r w:rsidRPr="00B7032F">
        <w:t>%; p &lt; .001). Having meth</w:t>
      </w:r>
      <w:r w:rsidR="00E977AF">
        <w:t>/</w:t>
      </w:r>
      <w:r w:rsidRPr="00B7032F">
        <w:t xml:space="preserve">amphetamine as the </w:t>
      </w:r>
      <w:r w:rsidR="00EE7A8F">
        <w:t>PDOC</w:t>
      </w:r>
      <w:r w:rsidRPr="00B7032F">
        <w:t xml:space="preserve"> was associated with a significantly lower likelihood of completing the follow-up interview than other </w:t>
      </w:r>
      <w:r w:rsidR="00EE7A8F">
        <w:t>PDOC</w:t>
      </w:r>
      <w:r w:rsidRPr="00B7032F">
        <w:t xml:space="preserve"> categories (alcohol: 73%, cannabis: 7</w:t>
      </w:r>
      <w:r>
        <w:t>3</w:t>
      </w:r>
      <w:r w:rsidRPr="00B7032F">
        <w:t>%, opioids: 73%, meth</w:t>
      </w:r>
      <w:r w:rsidR="00E977AF">
        <w:t>/</w:t>
      </w:r>
      <w:r w:rsidRPr="00B7032F">
        <w:t>amphetamine: 5</w:t>
      </w:r>
      <w:r>
        <w:t>9%, other: 64</w:t>
      </w:r>
      <w:r w:rsidRPr="00B7032F">
        <w:t>%; p &lt; .0</w:t>
      </w:r>
      <w:r w:rsidR="00F958C0">
        <w:t>1</w:t>
      </w:r>
      <w:r w:rsidRPr="00B7032F">
        <w:t>)</w:t>
      </w:r>
      <w:r>
        <w:t>.</w:t>
      </w:r>
    </w:p>
    <w:p w:rsidR="00072449" w:rsidRPr="00B7032F" w:rsidRDefault="00072449" w:rsidP="00072449">
      <w:pPr>
        <w:pStyle w:val="FAREnormaltext"/>
      </w:pPr>
      <w:r w:rsidRPr="00B7032F">
        <w:t>The time between baseline and follow-up interviews ranged from 232</w:t>
      </w:r>
      <w:r>
        <w:t xml:space="preserve"> to </w:t>
      </w:r>
      <w:r w:rsidRPr="00B7032F">
        <w:t xml:space="preserve">644 days (mean = 380.3, SD = 71.8). This follow-up interval differed significantly between PIT types (p &lt; .001). </w:t>
      </w:r>
      <w:r>
        <w:t>O</w:t>
      </w:r>
      <w:r w:rsidRPr="00B7032F">
        <w:t>utpatient</w:t>
      </w:r>
      <w:r>
        <w:t xml:space="preserve"> participants</w:t>
      </w:r>
      <w:r w:rsidRPr="00B7032F">
        <w:t>’</w:t>
      </w:r>
      <w:r>
        <w:t xml:space="preserve"> mean follow-up interval (</w:t>
      </w:r>
      <w:r w:rsidR="00F958C0">
        <w:t>400.2</w:t>
      </w:r>
      <w:r w:rsidRPr="00B7032F">
        <w:t xml:space="preserve"> days) was significantly longer than the follow-up intervals for those whose</w:t>
      </w:r>
      <w:r>
        <w:t xml:space="preserve"> PIT was acute withdrawal (375.2</w:t>
      </w:r>
      <w:r w:rsidRPr="00B7032F">
        <w:t xml:space="preserve"> days) or long-term residential treatment (36</w:t>
      </w:r>
      <w:r w:rsidR="00F958C0">
        <w:t>3</w:t>
      </w:r>
      <w:r w:rsidRPr="00B7032F">
        <w:t>.</w:t>
      </w:r>
      <w:r w:rsidR="00F958C0">
        <w:t>9</w:t>
      </w:r>
      <w:r w:rsidRPr="00B7032F">
        <w:t xml:space="preserve"> days).</w:t>
      </w:r>
    </w:p>
    <w:p w:rsidR="00072449" w:rsidRPr="00B7032F" w:rsidRDefault="00072449" w:rsidP="00072449">
      <w:pPr>
        <w:pStyle w:val="FAREnormaltext"/>
      </w:pPr>
      <w:r w:rsidRPr="00B7032F">
        <w:rPr>
          <w:b/>
        </w:rPr>
        <w:t>PIT completed:</w:t>
      </w:r>
      <w:r>
        <w:t xml:space="preserve"> 36</w:t>
      </w:r>
      <w:r w:rsidR="00BE3D5D">
        <w:t>4</w:t>
      </w:r>
      <w:r>
        <w:t>/553 (66</w:t>
      </w:r>
      <w:r w:rsidRPr="00B7032F">
        <w:t>%) reported comp</w:t>
      </w:r>
      <w:r>
        <w:t>leting their PIT and 33 (6</w:t>
      </w:r>
      <w:r w:rsidRPr="00B7032F">
        <w:t xml:space="preserve">%; 28 outpatients, 5 </w:t>
      </w:r>
      <w:r w:rsidR="00225DFE">
        <w:t>long-term</w:t>
      </w:r>
      <w:r>
        <w:t xml:space="preserve"> rehabilitation participants</w:t>
      </w:r>
      <w:r w:rsidRPr="00B7032F">
        <w:t xml:space="preserve">) were still in the same programme </w:t>
      </w:r>
      <w:r>
        <w:t xml:space="preserve">as </w:t>
      </w:r>
      <w:r w:rsidRPr="00B7032F">
        <w:t xml:space="preserve">when recruited. </w:t>
      </w:r>
      <w:r w:rsidR="00BE3D5D">
        <w:t>The proportion of participants who had either completed their PIT or were still engaged in it</w:t>
      </w:r>
      <w:r w:rsidRPr="00B7032F">
        <w:t xml:space="preserve"> w</w:t>
      </w:r>
      <w:r w:rsidR="00BE3D5D">
        <w:t>as</w:t>
      </w:r>
      <w:r w:rsidRPr="00B7032F">
        <w:t xml:space="preserve"> significantly higher for </w:t>
      </w:r>
      <w:r>
        <w:t xml:space="preserve">acute withdrawal (86%), followed by </w:t>
      </w:r>
      <w:r w:rsidR="00225DFE">
        <w:t>long-term</w:t>
      </w:r>
      <w:r>
        <w:t xml:space="preserve"> residential rehabilitation</w:t>
      </w:r>
      <w:r w:rsidRPr="00B7032F">
        <w:t xml:space="preserve"> (6</w:t>
      </w:r>
      <w:r w:rsidR="00885902">
        <w:t>4</w:t>
      </w:r>
      <w:r w:rsidRPr="00B7032F">
        <w:t>%) and lowest among outpatient</w:t>
      </w:r>
      <w:r>
        <w:t xml:space="preserve"> participant</w:t>
      </w:r>
      <w:r w:rsidRPr="00B7032F">
        <w:t>s, (59</w:t>
      </w:r>
      <w:r>
        <w:t>%), p</w:t>
      </w:r>
      <w:r w:rsidR="00F958C0">
        <w:t xml:space="preserve"> </w:t>
      </w:r>
      <w:r>
        <w:t>&lt;</w:t>
      </w:r>
      <w:r w:rsidR="00F958C0">
        <w:t xml:space="preserve"> </w:t>
      </w:r>
      <w:r>
        <w:t>.001.</w:t>
      </w:r>
    </w:p>
    <w:p w:rsidR="00072449" w:rsidRDefault="00072449" w:rsidP="00072449">
      <w:pPr>
        <w:pStyle w:val="FAREnormaltext"/>
      </w:pPr>
      <w:r w:rsidRPr="00A27AFA">
        <w:rPr>
          <w:b/>
        </w:rPr>
        <w:t>Treatment satisfaction</w:t>
      </w:r>
      <w:r w:rsidRPr="00A27AFA">
        <w:t>:</w:t>
      </w:r>
      <w:r>
        <w:t xml:space="preserve"> </w:t>
      </w:r>
      <w:r w:rsidRPr="00B7032F">
        <w:t>Those who were no longer in their PIT (completed or ceased before completion; N = 513) were asked “Did you feel you successfully achieved what you wanted from treatment?</w:t>
      </w:r>
      <w:r w:rsidR="00885902">
        <w:t>”</w:t>
      </w:r>
      <w:r w:rsidRPr="00B7032F">
        <w:t xml:space="preserve"> Positive endorsement of this item was significantly higher among </w:t>
      </w:r>
      <w:r>
        <w:t>acute withdrawal</w:t>
      </w:r>
      <w:r w:rsidRPr="00B7032F">
        <w:t xml:space="preserve"> </w:t>
      </w:r>
      <w:r w:rsidR="006D29AE">
        <w:t>participant</w:t>
      </w:r>
      <w:r w:rsidRPr="00B7032F">
        <w:t xml:space="preserve">s (77%) and </w:t>
      </w:r>
      <w:r w:rsidR="00225DFE">
        <w:t>long-term</w:t>
      </w:r>
      <w:r>
        <w:t xml:space="preserve"> residential participants (70</w:t>
      </w:r>
      <w:r w:rsidRPr="00B7032F">
        <w:t>%) relati</w:t>
      </w:r>
      <w:r>
        <w:t>ve to outpatients (</w:t>
      </w:r>
      <w:r w:rsidR="004B0D23">
        <w:t>62</w:t>
      </w:r>
      <w:r>
        <w:t>%</w:t>
      </w:r>
      <w:r w:rsidRPr="00B7032F">
        <w:t xml:space="preserve">) </w:t>
      </w:r>
      <w:r w:rsidR="004B0D23">
        <w:t>(</w:t>
      </w:r>
      <w:proofErr w:type="gramStart"/>
      <w:r w:rsidRPr="00B7032F">
        <w:t>p</w:t>
      </w:r>
      <w:proofErr w:type="gramEnd"/>
      <w:r>
        <w:t xml:space="preserve"> </w:t>
      </w:r>
      <w:r w:rsidRPr="00B7032F">
        <w:t>&lt;</w:t>
      </w:r>
      <w:r>
        <w:t xml:space="preserve"> </w:t>
      </w:r>
      <w:r w:rsidRPr="00B7032F">
        <w:lastRenderedPageBreak/>
        <w:t>.01</w:t>
      </w:r>
      <w:r w:rsidR="004B0D23">
        <w:t>)</w:t>
      </w:r>
      <w:r w:rsidRPr="00B7032F">
        <w:t>.</w:t>
      </w:r>
      <w:r>
        <w:t xml:space="preserve"> Median scores on the CSQ-8, a standardised measure of treatment satisfaction, were significantly higher among those who completed their PIT than those did not (p</w:t>
      </w:r>
      <w:r w:rsidR="004B0D23">
        <w:t xml:space="preserve"> </w:t>
      </w:r>
      <w:r>
        <w:t>&lt;</w:t>
      </w:r>
      <w:r w:rsidR="004B0D23">
        <w:t xml:space="preserve"> </w:t>
      </w:r>
      <w:r>
        <w:t>.001).</w:t>
      </w:r>
    </w:p>
    <w:p w:rsidR="000A3C41" w:rsidRDefault="000A3C41" w:rsidP="000A3C41">
      <w:pPr>
        <w:pStyle w:val="FAREnormaltext"/>
      </w:pPr>
      <w:r w:rsidRPr="007D7F67">
        <w:rPr>
          <w:noProof/>
          <w:lang w:val="en-AU" w:eastAsia="en-AU"/>
        </w:rPr>
        <w:drawing>
          <wp:inline distT="0" distB="0" distL="0" distR="0">
            <wp:extent cx="5731510" cy="6751284"/>
            <wp:effectExtent l="0" t="0" r="2540" b="0"/>
            <wp:docPr id="29" name="Diagram 6" descr="Figure 3.4  Overview of cohort recruitment, participation and outcome rates" title="Figure 3.4  Overview of cohort recruitment, participation and outcome rates"/>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5958CF" w:rsidRPr="00E41BCC" w:rsidRDefault="005958CF" w:rsidP="00E41BCC">
      <w:pPr>
        <w:pStyle w:val="FARETableStyle1"/>
      </w:pPr>
      <w:bookmarkStart w:id="112" w:name="_Toc398105113"/>
      <w:proofErr w:type="gramStart"/>
      <w:r w:rsidRPr="00E41BCC">
        <w:t xml:space="preserve">Figure </w:t>
      </w:r>
      <w:r w:rsidR="00BE3D19" w:rsidRPr="00E41BCC">
        <w:fldChar w:fldCharType="begin"/>
      </w:r>
      <w:r w:rsidRPr="00E41BCC">
        <w:instrText xml:space="preserve"> STYLEREF 1 \s </w:instrText>
      </w:r>
      <w:r w:rsidR="00BE3D19" w:rsidRPr="00E41BCC">
        <w:fldChar w:fldCharType="separate"/>
      </w:r>
      <w:r w:rsidR="00E150CA">
        <w:rPr>
          <w:noProof/>
        </w:rPr>
        <w:t>3</w:t>
      </w:r>
      <w:r w:rsidR="00BE3D19" w:rsidRPr="00E41BCC">
        <w:fldChar w:fldCharType="end"/>
      </w:r>
      <w:r w:rsidRPr="00E41BCC">
        <w:t>.</w:t>
      </w:r>
      <w:proofErr w:type="gramEnd"/>
      <w:r w:rsidR="00BE3D19" w:rsidRPr="00E41BCC">
        <w:fldChar w:fldCharType="begin"/>
      </w:r>
      <w:r w:rsidRPr="00E41BCC">
        <w:instrText xml:space="preserve"> SEQ Figure \* ARABIC \s 1 </w:instrText>
      </w:r>
      <w:r w:rsidR="00BE3D19" w:rsidRPr="00E41BCC">
        <w:fldChar w:fldCharType="separate"/>
      </w:r>
      <w:r w:rsidR="00E150CA">
        <w:rPr>
          <w:noProof/>
        </w:rPr>
        <w:t>4</w:t>
      </w:r>
      <w:r w:rsidR="00BE3D19" w:rsidRPr="00E41BCC">
        <w:fldChar w:fldCharType="end"/>
      </w:r>
      <w:r w:rsidR="00E41BCC">
        <w:t xml:space="preserve">  </w:t>
      </w:r>
      <w:r w:rsidRPr="00E41BCC">
        <w:t>Overview of cohort recruitment, participation and outcome rates</w:t>
      </w:r>
      <w:bookmarkEnd w:id="112"/>
    </w:p>
    <w:p w:rsidR="005958CF" w:rsidRDefault="005958CF" w:rsidP="000A3C41">
      <w:pPr>
        <w:pStyle w:val="FAREnormaltext"/>
      </w:pPr>
    </w:p>
    <w:p w:rsidR="000A3C41" w:rsidRDefault="000A3C41" w:rsidP="000A3C41">
      <w:pPr>
        <w:pStyle w:val="FAREnormaltext"/>
      </w:pPr>
      <w:r>
        <w:br w:type="page"/>
      </w:r>
    </w:p>
    <w:p w:rsidR="00072449" w:rsidRPr="00415291" w:rsidRDefault="00072449" w:rsidP="0034684A">
      <w:pPr>
        <w:pStyle w:val="FAREH3"/>
      </w:pPr>
      <w:r>
        <w:lastRenderedPageBreak/>
        <w:t>Duration of PIT</w:t>
      </w:r>
    </w:p>
    <w:p w:rsidR="00072449" w:rsidRPr="00B7032F" w:rsidRDefault="00072449" w:rsidP="00072449">
      <w:pPr>
        <w:pStyle w:val="FAREnormaltext"/>
      </w:pPr>
      <w:r>
        <w:t xml:space="preserve">Participants </w:t>
      </w:r>
      <w:r w:rsidR="004B0D23">
        <w:t>who were not still engaged in their PIT at follow-up</w:t>
      </w:r>
      <w:r w:rsidR="004F6913">
        <w:t xml:space="preserve"> (i.e. whose PIT was either completed or ended prematurely)</w:t>
      </w:r>
      <w:r w:rsidR="004B0D23">
        <w:t xml:space="preserve"> were asked about the duration spent engaged in the PIT</w:t>
      </w:r>
      <w:r>
        <w:t xml:space="preserve">. </w:t>
      </w:r>
      <w:r w:rsidRPr="00B7032F">
        <w:t>Among outpatient</w:t>
      </w:r>
      <w:r>
        <w:t xml:space="preserve"> participants</w:t>
      </w:r>
      <w:r w:rsidRPr="00B7032F">
        <w:t xml:space="preserve"> whose PIT </w:t>
      </w:r>
      <w:r>
        <w:t xml:space="preserve">had ended prior to </w:t>
      </w:r>
      <w:r w:rsidRPr="00B7032F">
        <w:t xml:space="preserve">follow-up (n = 123), duration of engagement in PIT ranged from 1-483 days (median = 70; </w:t>
      </w:r>
      <w:r>
        <w:t xml:space="preserve">IQR = </w:t>
      </w:r>
      <w:r w:rsidRPr="00B7032F">
        <w:t>28</w:t>
      </w:r>
      <w:r>
        <w:t>-</w:t>
      </w:r>
      <w:r w:rsidRPr="00B7032F">
        <w:t xml:space="preserve">168). No acute withdrawal participants (n = 234) were still engaged in their PIT at follow-up, and PIT duration ranged from 1-22 days. A seven-day course of treatment was the norm for this group, with 62% reporting this as their duration, </w:t>
      </w:r>
      <w:r>
        <w:t>10</w:t>
      </w:r>
      <w:r w:rsidRPr="00B7032F">
        <w:t>% rep</w:t>
      </w:r>
      <w:r>
        <w:t>orting shorter durations, and 28</w:t>
      </w:r>
      <w:r w:rsidRPr="00B7032F">
        <w:t>% reporting durations of 8 or more days. Long-term residential treatment duration in those not still engaged in their PIT at fo</w:t>
      </w:r>
      <w:r>
        <w:t xml:space="preserve">llow-up (n = 129) ranged from 4 to </w:t>
      </w:r>
      <w:r w:rsidRPr="00B7032F">
        <w:t xml:space="preserve">392 days (median = 63, </w:t>
      </w:r>
      <w:r>
        <w:t>IQR = 28-143.5).</w:t>
      </w:r>
    </w:p>
    <w:p w:rsidR="00072449" w:rsidRPr="0034684A" w:rsidRDefault="00072449" w:rsidP="0034684A">
      <w:pPr>
        <w:pStyle w:val="FAREH3"/>
      </w:pPr>
      <w:r w:rsidRPr="0034684A">
        <w:t>Changes in personal circumstances between baseline and follow-up</w:t>
      </w:r>
    </w:p>
    <w:p w:rsidR="00072449" w:rsidRDefault="00072449" w:rsidP="00072449">
      <w:pPr>
        <w:pStyle w:val="FAREnormaltext"/>
      </w:pPr>
      <w:r>
        <w:t>Table 3.</w:t>
      </w:r>
      <w:r w:rsidR="00E95023">
        <w:t>8</w:t>
      </w:r>
      <w:r w:rsidRPr="00415291">
        <w:t xml:space="preserve"> </w:t>
      </w:r>
      <w:r>
        <w:t>shows</w:t>
      </w:r>
      <w:r w:rsidRPr="00415291">
        <w:t xml:space="preserve"> that there were some markers of increase</w:t>
      </w:r>
      <w:r>
        <w:t xml:space="preserve">d stability and functioning one </w:t>
      </w:r>
      <w:r w:rsidRPr="00415291">
        <w:t xml:space="preserve">year after the PIT. Whilst unemployment rates </w:t>
      </w:r>
      <w:r>
        <w:t>were unchanged</w:t>
      </w:r>
      <w:r w:rsidRPr="00415291">
        <w:t xml:space="preserve">, the proportion of </w:t>
      </w:r>
      <w:r w:rsidR="006D29AE">
        <w:t>participant</w:t>
      </w:r>
      <w:r w:rsidRPr="00415291">
        <w:t xml:space="preserve">s receiving unemployment benefits at the time of follow-up had </w:t>
      </w:r>
      <w:r>
        <w:t>fallen</w:t>
      </w:r>
      <w:r w:rsidRPr="00415291">
        <w:t xml:space="preserve"> significantly. In addition, a signi</w:t>
      </w:r>
      <w:r>
        <w:t>ficantly lower proportion had experienced recent homelessness</w:t>
      </w:r>
      <w:r w:rsidRPr="00415291">
        <w:t xml:space="preserve"> at follow-up. There were non-significant trends in </w:t>
      </w:r>
      <w:r>
        <w:t>a positive</w:t>
      </w:r>
      <w:r w:rsidRPr="00415291">
        <w:t xml:space="preserve"> direction for both stable relationships and criminal justice involvemen</w:t>
      </w:r>
      <w:r>
        <w:t>t.</w:t>
      </w:r>
    </w:p>
    <w:p w:rsidR="00072449" w:rsidRPr="00A126E3" w:rsidRDefault="00072449" w:rsidP="00072449">
      <w:pPr>
        <w:pStyle w:val="FAREtableheading"/>
      </w:pPr>
      <w:bookmarkStart w:id="113" w:name="_Toc398105070"/>
      <w:proofErr w:type="gramStart"/>
      <w:r w:rsidRPr="00A126E3">
        <w:t xml:space="preserve">Table </w:t>
      </w:r>
      <w:r w:rsidR="00BE3D19">
        <w:fldChar w:fldCharType="begin"/>
      </w:r>
      <w:r>
        <w:instrText xml:space="preserve"> STYLEREF 1 \s </w:instrText>
      </w:r>
      <w:r w:rsidR="00BE3D19">
        <w:fldChar w:fldCharType="separate"/>
      </w:r>
      <w:r w:rsidR="00E150CA">
        <w:rPr>
          <w:noProof/>
        </w:rPr>
        <w:t>3</w:t>
      </w:r>
      <w:r w:rsidR="00BE3D19">
        <w:rPr>
          <w:noProof/>
        </w:rPr>
        <w:fldChar w:fldCharType="end"/>
      </w:r>
      <w:r w:rsidRPr="00A126E3">
        <w:t>.</w:t>
      </w:r>
      <w:proofErr w:type="gramEnd"/>
      <w:r w:rsidR="00BE3D19" w:rsidRPr="00A126E3">
        <w:fldChar w:fldCharType="begin"/>
      </w:r>
      <w:r w:rsidRPr="00A126E3">
        <w:instrText xml:space="preserve"> SEQ Table \* ARABIC \s 1 </w:instrText>
      </w:r>
      <w:r w:rsidR="00BE3D19" w:rsidRPr="00A126E3">
        <w:fldChar w:fldCharType="separate"/>
      </w:r>
      <w:r w:rsidR="00E150CA">
        <w:rPr>
          <w:noProof/>
        </w:rPr>
        <w:t>8</w:t>
      </w:r>
      <w:r w:rsidR="00BE3D19" w:rsidRPr="00A126E3">
        <w:fldChar w:fldCharType="end"/>
      </w:r>
      <w:r w:rsidR="006244F5">
        <w:t xml:space="preserve"> </w:t>
      </w:r>
      <w:r w:rsidRPr="00A126E3">
        <w:t xml:space="preserve"> Changes in personal circumstances at baseline and follow-up (post-PIT) (n</w:t>
      </w:r>
      <w:r w:rsidR="008E0DB9">
        <w:t xml:space="preserve">s </w:t>
      </w:r>
      <w:r w:rsidRPr="00A126E3">
        <w:t>=5</w:t>
      </w:r>
      <w:r w:rsidR="008E0DB9">
        <w:t>49-554</w:t>
      </w:r>
      <w:r w:rsidRPr="00A126E3">
        <w:t>)</w:t>
      </w:r>
      <w:bookmarkEnd w:id="113"/>
      <w:r w:rsidRPr="00A126E3">
        <w:t xml:space="preserve"> </w:t>
      </w:r>
    </w:p>
    <w:tbl>
      <w:tblPr>
        <w:tblStyle w:val="TableGrid"/>
        <w:tblW w:w="0" w:type="auto"/>
        <w:tblBorders>
          <w:top w:val="single" w:sz="12" w:space="0" w:color="auto"/>
          <w:left w:val="none" w:sz="0" w:space="0" w:color="auto"/>
          <w:bottom w:val="single" w:sz="12" w:space="0" w:color="auto"/>
          <w:right w:val="none" w:sz="0" w:space="0" w:color="auto"/>
          <w:insideH w:val="single" w:sz="12" w:space="0" w:color="auto"/>
          <w:insideV w:val="none" w:sz="0" w:space="0" w:color="auto"/>
        </w:tblBorders>
        <w:tblLook w:val="04A0" w:firstRow="1" w:lastRow="0" w:firstColumn="1" w:lastColumn="0" w:noHBand="0" w:noVBand="1"/>
        <w:tblCaption w:val="Table 3.8  Changes in personal circumstances at baseline and follow-up (post-PIT) (ns =549-554) "/>
        <w:tblDescription w:val="Table 3.8  Changes in personal circumstances at baseline and follow-up (post-PIT) (ns =549-554) "/>
      </w:tblPr>
      <w:tblGrid>
        <w:gridCol w:w="4361"/>
        <w:gridCol w:w="1843"/>
        <w:gridCol w:w="1701"/>
        <w:gridCol w:w="992"/>
      </w:tblGrid>
      <w:tr w:rsidR="00072449" w:rsidRPr="00415291" w:rsidTr="00046CCA">
        <w:trPr>
          <w:trHeight w:hRule="exact" w:val="340"/>
          <w:tblHeader/>
        </w:trPr>
        <w:tc>
          <w:tcPr>
            <w:tcW w:w="4361" w:type="dxa"/>
            <w:tcBorders>
              <w:bottom w:val="single" w:sz="12" w:space="0" w:color="auto"/>
            </w:tcBorders>
          </w:tcPr>
          <w:p w:rsidR="00072449" w:rsidRPr="00A126E3" w:rsidRDefault="00072449" w:rsidP="002461FE">
            <w:pPr>
              <w:spacing w:line="240" w:lineRule="auto"/>
              <w:jc w:val="center"/>
              <w:rPr>
                <w:rFonts w:asciiTheme="minorHAnsi" w:hAnsiTheme="minorHAnsi"/>
                <w:sz w:val="22"/>
                <w:szCs w:val="22"/>
              </w:rPr>
            </w:pPr>
          </w:p>
        </w:tc>
        <w:tc>
          <w:tcPr>
            <w:tcW w:w="1843" w:type="dxa"/>
            <w:tcBorders>
              <w:bottom w:val="single" w:sz="12" w:space="0" w:color="auto"/>
            </w:tcBorders>
          </w:tcPr>
          <w:p w:rsidR="00072449" w:rsidRPr="00E95023" w:rsidRDefault="00072449" w:rsidP="00B11DEE">
            <w:pPr>
              <w:spacing w:line="240" w:lineRule="auto"/>
              <w:jc w:val="center"/>
              <w:rPr>
                <w:rFonts w:asciiTheme="minorHAnsi" w:hAnsiTheme="minorHAnsi"/>
                <w:b/>
                <w:sz w:val="22"/>
                <w:szCs w:val="22"/>
              </w:rPr>
            </w:pPr>
            <w:r w:rsidRPr="00E95023">
              <w:rPr>
                <w:rFonts w:asciiTheme="minorHAnsi" w:hAnsiTheme="minorHAnsi"/>
                <w:b/>
                <w:sz w:val="22"/>
                <w:szCs w:val="22"/>
              </w:rPr>
              <w:t>Baseline n (%)</w:t>
            </w:r>
          </w:p>
        </w:tc>
        <w:tc>
          <w:tcPr>
            <w:tcW w:w="1701" w:type="dxa"/>
            <w:tcBorders>
              <w:bottom w:val="single" w:sz="12" w:space="0" w:color="auto"/>
            </w:tcBorders>
          </w:tcPr>
          <w:p w:rsidR="00072449" w:rsidRPr="00E95023" w:rsidRDefault="00072449" w:rsidP="00B11DEE">
            <w:pPr>
              <w:spacing w:line="240" w:lineRule="auto"/>
              <w:jc w:val="center"/>
              <w:rPr>
                <w:rFonts w:asciiTheme="minorHAnsi" w:hAnsiTheme="minorHAnsi"/>
                <w:b/>
                <w:sz w:val="22"/>
                <w:szCs w:val="22"/>
              </w:rPr>
            </w:pPr>
            <w:r w:rsidRPr="00E95023">
              <w:rPr>
                <w:rFonts w:asciiTheme="minorHAnsi" w:hAnsiTheme="minorHAnsi"/>
                <w:b/>
                <w:sz w:val="22"/>
                <w:szCs w:val="22"/>
              </w:rPr>
              <w:t>Follow-up n (%)</w:t>
            </w:r>
          </w:p>
        </w:tc>
        <w:tc>
          <w:tcPr>
            <w:tcW w:w="992" w:type="dxa"/>
            <w:tcBorders>
              <w:bottom w:val="single" w:sz="12" w:space="0" w:color="auto"/>
            </w:tcBorders>
          </w:tcPr>
          <w:p w:rsidR="00072449" w:rsidRPr="00E95023" w:rsidRDefault="002461FE" w:rsidP="00B11DEE">
            <w:pPr>
              <w:spacing w:line="240" w:lineRule="auto"/>
              <w:jc w:val="center"/>
              <w:rPr>
                <w:rFonts w:asciiTheme="minorHAnsi" w:hAnsiTheme="minorHAnsi"/>
                <w:b/>
                <w:sz w:val="22"/>
                <w:szCs w:val="22"/>
              </w:rPr>
            </w:pPr>
            <w:r w:rsidRPr="00E95023">
              <w:rPr>
                <w:rFonts w:asciiTheme="minorHAnsi" w:hAnsiTheme="minorHAnsi"/>
                <w:b/>
                <w:sz w:val="22"/>
                <w:szCs w:val="22"/>
              </w:rPr>
              <w:t>p</w:t>
            </w:r>
          </w:p>
        </w:tc>
      </w:tr>
      <w:tr w:rsidR="00072449" w:rsidRPr="00415291" w:rsidTr="00B11DEE">
        <w:trPr>
          <w:trHeight w:hRule="exact" w:val="567"/>
        </w:trPr>
        <w:tc>
          <w:tcPr>
            <w:tcW w:w="4361" w:type="dxa"/>
            <w:tcBorders>
              <w:bottom w:val="nil"/>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Unemployment (</w:t>
            </w:r>
            <w:r>
              <w:rPr>
                <w:rFonts w:asciiTheme="minorHAnsi" w:hAnsiTheme="minorHAnsi"/>
                <w:sz w:val="22"/>
                <w:szCs w:val="22"/>
              </w:rPr>
              <w:t>no paid employment in past 90 days</w:t>
            </w:r>
            <w:r w:rsidRPr="00A126E3">
              <w:rPr>
                <w:rFonts w:asciiTheme="minorHAnsi" w:hAnsiTheme="minorHAnsi"/>
                <w:sz w:val="22"/>
                <w:szCs w:val="22"/>
              </w:rPr>
              <w:t>)</w:t>
            </w:r>
          </w:p>
        </w:tc>
        <w:tc>
          <w:tcPr>
            <w:tcW w:w="1843" w:type="dxa"/>
            <w:tcBorders>
              <w:bottom w:val="nil"/>
            </w:tcBorders>
          </w:tcPr>
          <w:p w:rsidR="00072449" w:rsidRPr="00A126E3" w:rsidRDefault="00072449" w:rsidP="00072449">
            <w:pPr>
              <w:spacing w:line="240" w:lineRule="auto"/>
              <w:rPr>
                <w:rFonts w:asciiTheme="minorHAnsi" w:hAnsiTheme="minorHAnsi"/>
                <w:sz w:val="22"/>
                <w:szCs w:val="22"/>
              </w:rPr>
            </w:pPr>
            <w:r>
              <w:rPr>
                <w:rFonts w:asciiTheme="minorHAnsi" w:hAnsiTheme="minorHAnsi"/>
                <w:sz w:val="22"/>
                <w:szCs w:val="22"/>
              </w:rPr>
              <w:t>368</w:t>
            </w:r>
            <w:r w:rsidRPr="00A126E3">
              <w:rPr>
                <w:rFonts w:asciiTheme="minorHAnsi" w:hAnsiTheme="minorHAnsi"/>
                <w:sz w:val="22"/>
                <w:szCs w:val="22"/>
              </w:rPr>
              <w:t xml:space="preserve"> (</w:t>
            </w:r>
            <w:r>
              <w:rPr>
                <w:rFonts w:asciiTheme="minorHAnsi" w:hAnsiTheme="minorHAnsi"/>
                <w:sz w:val="22"/>
                <w:szCs w:val="22"/>
              </w:rPr>
              <w:t>67.0</w:t>
            </w:r>
            <w:r w:rsidRPr="00A126E3">
              <w:rPr>
                <w:rFonts w:asciiTheme="minorHAnsi" w:hAnsiTheme="minorHAnsi"/>
                <w:sz w:val="22"/>
                <w:szCs w:val="22"/>
              </w:rPr>
              <w:t>)</w:t>
            </w:r>
          </w:p>
        </w:tc>
        <w:tc>
          <w:tcPr>
            <w:tcW w:w="1701" w:type="dxa"/>
            <w:tcBorders>
              <w:bottom w:val="nil"/>
            </w:tcBorders>
          </w:tcPr>
          <w:p w:rsidR="00072449" w:rsidRPr="00A126E3" w:rsidRDefault="00072449" w:rsidP="00072449">
            <w:pPr>
              <w:spacing w:line="240" w:lineRule="auto"/>
              <w:rPr>
                <w:rFonts w:asciiTheme="minorHAnsi" w:hAnsiTheme="minorHAnsi"/>
                <w:sz w:val="22"/>
                <w:szCs w:val="22"/>
              </w:rPr>
            </w:pPr>
            <w:r>
              <w:rPr>
                <w:rFonts w:asciiTheme="minorHAnsi" w:hAnsiTheme="minorHAnsi"/>
                <w:sz w:val="22"/>
                <w:szCs w:val="22"/>
              </w:rPr>
              <w:t>367</w:t>
            </w:r>
            <w:r w:rsidRPr="00A126E3">
              <w:rPr>
                <w:rFonts w:asciiTheme="minorHAnsi" w:hAnsiTheme="minorHAnsi"/>
                <w:sz w:val="22"/>
                <w:szCs w:val="22"/>
              </w:rPr>
              <w:t xml:space="preserve"> (</w:t>
            </w:r>
            <w:r>
              <w:rPr>
                <w:rFonts w:asciiTheme="minorHAnsi" w:hAnsiTheme="minorHAnsi"/>
                <w:sz w:val="22"/>
                <w:szCs w:val="22"/>
              </w:rPr>
              <w:t>66.8</w:t>
            </w:r>
            <w:r w:rsidRPr="00A126E3">
              <w:rPr>
                <w:rFonts w:asciiTheme="minorHAnsi" w:hAnsiTheme="minorHAnsi"/>
                <w:sz w:val="22"/>
                <w:szCs w:val="22"/>
              </w:rPr>
              <w:t>)</w:t>
            </w:r>
          </w:p>
        </w:tc>
        <w:tc>
          <w:tcPr>
            <w:tcW w:w="992" w:type="dxa"/>
            <w:tcBorders>
              <w:bottom w:val="nil"/>
            </w:tcBorders>
          </w:tcPr>
          <w:p w:rsidR="00072449" w:rsidRPr="00A126E3" w:rsidRDefault="00072449" w:rsidP="00072449">
            <w:pPr>
              <w:spacing w:line="240" w:lineRule="auto"/>
              <w:rPr>
                <w:rFonts w:asciiTheme="minorHAnsi" w:hAnsiTheme="minorHAnsi"/>
                <w:sz w:val="22"/>
                <w:szCs w:val="22"/>
              </w:rPr>
            </w:pPr>
            <w:r>
              <w:rPr>
                <w:rFonts w:asciiTheme="minorHAnsi" w:hAnsiTheme="minorHAnsi"/>
                <w:sz w:val="22"/>
                <w:szCs w:val="22"/>
              </w:rPr>
              <w:t>1.0</w:t>
            </w:r>
          </w:p>
        </w:tc>
      </w:tr>
      <w:tr w:rsidR="00072449" w:rsidRPr="00415291" w:rsidTr="00B11DEE">
        <w:trPr>
          <w:trHeight w:hRule="exact" w:val="340"/>
        </w:trPr>
        <w:tc>
          <w:tcPr>
            <w:tcW w:w="4361" w:type="dxa"/>
            <w:tcBorders>
              <w:top w:val="nil"/>
              <w:bottom w:val="nil"/>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Current receipt of unemployment benefits</w:t>
            </w:r>
          </w:p>
        </w:tc>
        <w:tc>
          <w:tcPr>
            <w:tcW w:w="1843" w:type="dxa"/>
            <w:tcBorders>
              <w:top w:val="nil"/>
              <w:bottom w:val="nil"/>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248 (44.8)</w:t>
            </w:r>
          </w:p>
        </w:tc>
        <w:tc>
          <w:tcPr>
            <w:tcW w:w="1701" w:type="dxa"/>
            <w:tcBorders>
              <w:top w:val="nil"/>
              <w:bottom w:val="nil"/>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211 (38.1)</w:t>
            </w:r>
          </w:p>
        </w:tc>
        <w:tc>
          <w:tcPr>
            <w:tcW w:w="992" w:type="dxa"/>
            <w:tcBorders>
              <w:top w:val="nil"/>
              <w:bottom w:val="nil"/>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&lt;</w:t>
            </w:r>
            <w:r w:rsidR="008E0DB9">
              <w:rPr>
                <w:rFonts w:asciiTheme="minorHAnsi" w:hAnsiTheme="minorHAnsi"/>
                <w:sz w:val="22"/>
                <w:szCs w:val="22"/>
              </w:rPr>
              <w:t xml:space="preserve"> </w:t>
            </w:r>
            <w:r w:rsidRPr="00A126E3">
              <w:rPr>
                <w:rFonts w:asciiTheme="minorHAnsi" w:hAnsiTheme="minorHAnsi"/>
                <w:sz w:val="22"/>
                <w:szCs w:val="22"/>
              </w:rPr>
              <w:t>.01</w:t>
            </w:r>
          </w:p>
        </w:tc>
      </w:tr>
      <w:tr w:rsidR="00072449" w:rsidRPr="00415291" w:rsidTr="00B11DEE">
        <w:trPr>
          <w:trHeight w:hRule="exact" w:val="340"/>
        </w:trPr>
        <w:tc>
          <w:tcPr>
            <w:tcW w:w="4361" w:type="dxa"/>
            <w:tcBorders>
              <w:top w:val="nil"/>
              <w:bottom w:val="nil"/>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Homeless/housing issues</w:t>
            </w:r>
          </w:p>
        </w:tc>
        <w:tc>
          <w:tcPr>
            <w:tcW w:w="1843" w:type="dxa"/>
            <w:tcBorders>
              <w:top w:val="nil"/>
              <w:bottom w:val="nil"/>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126 (22.8)</w:t>
            </w:r>
          </w:p>
        </w:tc>
        <w:tc>
          <w:tcPr>
            <w:tcW w:w="1701" w:type="dxa"/>
            <w:tcBorders>
              <w:top w:val="nil"/>
              <w:bottom w:val="nil"/>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 xml:space="preserve"> 99 (17.9)</w:t>
            </w:r>
          </w:p>
        </w:tc>
        <w:tc>
          <w:tcPr>
            <w:tcW w:w="992" w:type="dxa"/>
            <w:tcBorders>
              <w:top w:val="nil"/>
              <w:bottom w:val="nil"/>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&lt;</w:t>
            </w:r>
            <w:r w:rsidR="008E0DB9">
              <w:rPr>
                <w:rFonts w:asciiTheme="minorHAnsi" w:hAnsiTheme="minorHAnsi"/>
                <w:sz w:val="22"/>
                <w:szCs w:val="22"/>
              </w:rPr>
              <w:t xml:space="preserve"> </w:t>
            </w:r>
            <w:r w:rsidRPr="00A126E3">
              <w:rPr>
                <w:rFonts w:asciiTheme="minorHAnsi" w:hAnsiTheme="minorHAnsi"/>
                <w:sz w:val="22"/>
                <w:szCs w:val="22"/>
              </w:rPr>
              <w:t>.05</w:t>
            </w:r>
          </w:p>
        </w:tc>
      </w:tr>
      <w:tr w:rsidR="00072449" w:rsidRPr="00415291" w:rsidTr="00B11DEE">
        <w:trPr>
          <w:trHeight w:hRule="exact" w:val="340"/>
        </w:trPr>
        <w:tc>
          <w:tcPr>
            <w:tcW w:w="4361" w:type="dxa"/>
            <w:tcBorders>
              <w:top w:val="nil"/>
              <w:bottom w:val="nil"/>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 xml:space="preserve">Criminal </w:t>
            </w:r>
            <w:r>
              <w:rPr>
                <w:rFonts w:asciiTheme="minorHAnsi" w:hAnsiTheme="minorHAnsi"/>
                <w:sz w:val="22"/>
                <w:szCs w:val="22"/>
              </w:rPr>
              <w:t>j</w:t>
            </w:r>
            <w:r w:rsidRPr="00A126E3">
              <w:rPr>
                <w:rFonts w:asciiTheme="minorHAnsi" w:hAnsiTheme="minorHAnsi"/>
                <w:sz w:val="22"/>
                <w:szCs w:val="22"/>
              </w:rPr>
              <w:t xml:space="preserve">ustice </w:t>
            </w:r>
            <w:r>
              <w:rPr>
                <w:rFonts w:asciiTheme="minorHAnsi" w:hAnsiTheme="minorHAnsi"/>
                <w:sz w:val="22"/>
                <w:szCs w:val="22"/>
              </w:rPr>
              <w:t>i</w:t>
            </w:r>
            <w:r w:rsidRPr="00A126E3">
              <w:rPr>
                <w:rFonts w:asciiTheme="minorHAnsi" w:hAnsiTheme="minorHAnsi"/>
                <w:sz w:val="22"/>
                <w:szCs w:val="22"/>
              </w:rPr>
              <w:t>nvolvement</w:t>
            </w:r>
          </w:p>
        </w:tc>
        <w:tc>
          <w:tcPr>
            <w:tcW w:w="1843" w:type="dxa"/>
            <w:tcBorders>
              <w:top w:val="nil"/>
              <w:bottom w:val="nil"/>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142 (25.8)</w:t>
            </w:r>
          </w:p>
        </w:tc>
        <w:tc>
          <w:tcPr>
            <w:tcW w:w="1701" w:type="dxa"/>
            <w:tcBorders>
              <w:top w:val="nil"/>
              <w:bottom w:val="nil"/>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122 (22.1)</w:t>
            </w:r>
          </w:p>
        </w:tc>
        <w:tc>
          <w:tcPr>
            <w:tcW w:w="992" w:type="dxa"/>
            <w:tcBorders>
              <w:top w:val="nil"/>
              <w:bottom w:val="nil"/>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.09</w:t>
            </w:r>
          </w:p>
        </w:tc>
      </w:tr>
      <w:tr w:rsidR="00072449" w:rsidRPr="00415291" w:rsidTr="00B11DEE">
        <w:trPr>
          <w:trHeight w:hRule="exact" w:val="340"/>
        </w:trPr>
        <w:tc>
          <w:tcPr>
            <w:tcW w:w="4361" w:type="dxa"/>
            <w:tcBorders>
              <w:top w:val="nil"/>
              <w:bottom w:val="single" w:sz="4" w:space="0" w:color="auto"/>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Stable relationship (married/de facto)</w:t>
            </w:r>
          </w:p>
        </w:tc>
        <w:tc>
          <w:tcPr>
            <w:tcW w:w="1843" w:type="dxa"/>
            <w:tcBorders>
              <w:top w:val="nil"/>
              <w:bottom w:val="single" w:sz="4" w:space="0" w:color="auto"/>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109 (19.7)</w:t>
            </w:r>
          </w:p>
        </w:tc>
        <w:tc>
          <w:tcPr>
            <w:tcW w:w="1701" w:type="dxa"/>
            <w:tcBorders>
              <w:top w:val="nil"/>
              <w:bottom w:val="single" w:sz="4" w:space="0" w:color="auto"/>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119 (2</w:t>
            </w:r>
            <w:r w:rsidR="008F4E87">
              <w:rPr>
                <w:rFonts w:asciiTheme="minorHAnsi" w:hAnsiTheme="minorHAnsi"/>
                <w:sz w:val="22"/>
                <w:szCs w:val="22"/>
              </w:rPr>
              <w:t>1</w:t>
            </w:r>
            <w:r w:rsidRPr="00A126E3">
              <w:rPr>
                <w:rFonts w:asciiTheme="minorHAnsi" w:hAnsiTheme="minorHAnsi"/>
                <w:sz w:val="22"/>
                <w:szCs w:val="22"/>
              </w:rPr>
              <w:t>.5)</w:t>
            </w:r>
          </w:p>
        </w:tc>
        <w:tc>
          <w:tcPr>
            <w:tcW w:w="992" w:type="dxa"/>
            <w:tcBorders>
              <w:top w:val="nil"/>
              <w:bottom w:val="single" w:sz="4" w:space="0" w:color="auto"/>
            </w:tcBorders>
          </w:tcPr>
          <w:p w:rsidR="00072449" w:rsidRPr="00A126E3" w:rsidRDefault="00072449" w:rsidP="00072449">
            <w:pPr>
              <w:spacing w:line="240" w:lineRule="auto"/>
              <w:rPr>
                <w:rFonts w:asciiTheme="minorHAnsi" w:hAnsiTheme="minorHAnsi"/>
                <w:sz w:val="22"/>
                <w:szCs w:val="22"/>
              </w:rPr>
            </w:pPr>
            <w:r w:rsidRPr="00A126E3">
              <w:rPr>
                <w:rFonts w:asciiTheme="minorHAnsi" w:hAnsiTheme="minorHAnsi"/>
                <w:sz w:val="22"/>
                <w:szCs w:val="22"/>
              </w:rPr>
              <w:t>.29</w:t>
            </w:r>
          </w:p>
        </w:tc>
      </w:tr>
    </w:tbl>
    <w:p w:rsidR="00072449" w:rsidRPr="00415291" w:rsidRDefault="00072449" w:rsidP="00072449">
      <w:pPr>
        <w:pStyle w:val="ListParagraph"/>
        <w:spacing w:line="240" w:lineRule="auto"/>
        <w:ind w:left="-142"/>
        <w:rPr>
          <w:sz w:val="22"/>
        </w:rPr>
      </w:pPr>
    </w:p>
    <w:p w:rsidR="00072449" w:rsidRPr="00415291" w:rsidRDefault="00072449" w:rsidP="0034684A">
      <w:pPr>
        <w:pStyle w:val="FAREH3"/>
      </w:pPr>
      <w:r w:rsidRPr="00415291">
        <w:t xml:space="preserve">Service use post-PIT  </w:t>
      </w:r>
    </w:p>
    <w:p w:rsidR="00072449" w:rsidRDefault="00072449" w:rsidP="00072449">
      <w:pPr>
        <w:pStyle w:val="FAREnormaltext"/>
      </w:pPr>
      <w:r w:rsidRPr="00A126E3">
        <w:t>There were few changes in the proportion using AOD specialist, community and acute services between baseline and follow-</w:t>
      </w:r>
      <w:proofErr w:type="gramStart"/>
      <w:r w:rsidRPr="00A126E3">
        <w:t>up</w:t>
      </w:r>
      <w:r>
        <w:t>,</w:t>
      </w:r>
      <w:proofErr w:type="gramEnd"/>
      <w:r w:rsidRPr="00A126E3">
        <w:t xml:space="preserve"> with almost all (94%) visiting </w:t>
      </w:r>
      <w:r w:rsidR="008F4E87">
        <w:t>a</w:t>
      </w:r>
      <w:r w:rsidR="008F4E87" w:rsidRPr="00A126E3">
        <w:t xml:space="preserve"> </w:t>
      </w:r>
      <w:r w:rsidRPr="00A126E3">
        <w:t xml:space="preserve">GP and </w:t>
      </w:r>
      <w:r w:rsidR="007F2301">
        <w:t>more than two thirds</w:t>
      </w:r>
      <w:r w:rsidRPr="00A126E3">
        <w:t xml:space="preserve"> attending further AOD-sp</w:t>
      </w:r>
      <w:r>
        <w:t>ecialist treatment (see Table 3.</w:t>
      </w:r>
      <w:r w:rsidR="00E95023">
        <w:t>9</w:t>
      </w:r>
      <w:r w:rsidRPr="00A126E3">
        <w:t>). In contrast</w:t>
      </w:r>
      <w:r>
        <w:t>,</w:t>
      </w:r>
      <w:r w:rsidRPr="00A126E3">
        <w:t xml:space="preserve"> the proportion engaging with financial counselling services (12%) and family/relationship counselling services (</w:t>
      </w:r>
      <w:r>
        <w:t>8</w:t>
      </w:r>
      <w:r w:rsidRPr="00A126E3">
        <w:t xml:space="preserve">%) remained </w:t>
      </w:r>
      <w:r>
        <w:t>similarly</w:t>
      </w:r>
      <w:r w:rsidRPr="00A126E3">
        <w:t xml:space="preserve"> low</w:t>
      </w:r>
      <w:r>
        <w:t>,</w:t>
      </w:r>
      <w:r w:rsidRPr="00A126E3">
        <w:t xml:space="preserve"> and significantly dropped for legal aid</w:t>
      </w:r>
      <w:r>
        <w:t xml:space="preserve"> (from 26% to 20%)</w:t>
      </w:r>
      <w:r w:rsidRPr="00A126E3">
        <w:t xml:space="preserve">. </w:t>
      </w:r>
      <w:r>
        <w:t>T</w:t>
      </w:r>
      <w:r w:rsidRPr="00A126E3">
        <w:t xml:space="preserve">he proportion engaging with </w:t>
      </w:r>
      <w:r>
        <w:t>acute withdrawal</w:t>
      </w:r>
      <w:r w:rsidRPr="00A126E3">
        <w:t xml:space="preserve"> decreased significantly whilst the proportion who engaged with </w:t>
      </w:r>
      <w:r>
        <w:t>residential rehabilitation</w:t>
      </w:r>
      <w:r w:rsidRPr="00A126E3">
        <w:t xml:space="preserve"> increased significantly. There was a significant increase in the proportion who engaged with mutual aid groups (</w:t>
      </w:r>
      <w:r w:rsidR="00A56745">
        <w:t>e.g.</w:t>
      </w:r>
      <w:r w:rsidR="00A56745" w:rsidRPr="00A126E3">
        <w:t xml:space="preserve"> </w:t>
      </w:r>
      <w:r w:rsidRPr="00A126E3">
        <w:t xml:space="preserve">AA, NA, </w:t>
      </w:r>
      <w:r w:rsidR="00A56745">
        <w:t xml:space="preserve">other 12-step, </w:t>
      </w:r>
      <w:r w:rsidR="00A56745" w:rsidRPr="00A126E3">
        <w:t>SMART Recovery</w:t>
      </w:r>
      <w:r w:rsidR="00A56745">
        <w:t xml:space="preserve"> or other recovery groups such as Gamblers Anonymous,</w:t>
      </w:r>
      <w:r w:rsidR="00A56745" w:rsidRPr="00A126E3">
        <w:t xml:space="preserve"> etc</w:t>
      </w:r>
      <w:r w:rsidR="00A56745">
        <w:t>.,</w:t>
      </w:r>
      <w:r w:rsidR="00A56745" w:rsidRPr="00A126E3">
        <w:t xml:space="preserve">) </w:t>
      </w:r>
      <w:r w:rsidRPr="00A126E3">
        <w:t xml:space="preserve">which were attended by </w:t>
      </w:r>
      <w:r w:rsidR="00896EA0">
        <w:t>33%</w:t>
      </w:r>
      <w:r w:rsidRPr="00A126E3">
        <w:t xml:space="preserve"> at baseline and </w:t>
      </w:r>
      <w:r w:rsidR="00896EA0">
        <w:t>49%</w:t>
      </w:r>
      <w:r w:rsidRPr="00A126E3">
        <w:t xml:space="preserve"> at follow-up. Although more than half of participants had </w:t>
      </w:r>
      <w:r>
        <w:t xml:space="preserve">used </w:t>
      </w:r>
      <w:r w:rsidRPr="00A126E3">
        <w:t>at least one type of acute health service (ambulance, ED, hospital inpatient</w:t>
      </w:r>
      <w:r>
        <w:t xml:space="preserve"> admission</w:t>
      </w:r>
      <w:r w:rsidRPr="00A126E3">
        <w:t xml:space="preserve">) at follow-up, there was a statistically significant decrease in rates of acute service use relative to rates of use before baseline. There was a 16% </w:t>
      </w:r>
      <w:r w:rsidRPr="00A126E3">
        <w:lastRenderedPageBreak/>
        <w:t>reduction in the proportion of participants accessing at least one of these service types, which is likely to reflect a substantial reduction in health care costs.</w:t>
      </w:r>
    </w:p>
    <w:p w:rsidR="00072449" w:rsidRPr="00A126E3" w:rsidRDefault="00072449" w:rsidP="00072449">
      <w:pPr>
        <w:pStyle w:val="FAREtableheading"/>
      </w:pPr>
      <w:bookmarkStart w:id="114" w:name="_Toc398105071"/>
      <w:proofErr w:type="gramStart"/>
      <w:r w:rsidRPr="00A126E3">
        <w:t xml:space="preserve">Table </w:t>
      </w:r>
      <w:r w:rsidR="00BE3D19" w:rsidRPr="00A126E3">
        <w:fldChar w:fldCharType="begin"/>
      </w:r>
      <w:r w:rsidRPr="00A126E3">
        <w:instrText xml:space="preserve"> STYLEREF 1 \s </w:instrText>
      </w:r>
      <w:r w:rsidR="00BE3D19" w:rsidRPr="00A126E3">
        <w:fldChar w:fldCharType="separate"/>
      </w:r>
      <w:r w:rsidR="00E150CA">
        <w:rPr>
          <w:noProof/>
        </w:rPr>
        <w:t>3</w:t>
      </w:r>
      <w:r w:rsidR="00BE3D19" w:rsidRPr="00A126E3">
        <w:fldChar w:fldCharType="end"/>
      </w:r>
      <w:r w:rsidRPr="00A126E3">
        <w:t>.</w:t>
      </w:r>
      <w:proofErr w:type="gramEnd"/>
      <w:r w:rsidR="00BE3D19" w:rsidRPr="00A126E3">
        <w:fldChar w:fldCharType="begin"/>
      </w:r>
      <w:r w:rsidRPr="00A126E3">
        <w:instrText xml:space="preserve"> SEQ Table \* ARABIC \s 1 </w:instrText>
      </w:r>
      <w:r w:rsidR="00BE3D19" w:rsidRPr="00A126E3">
        <w:fldChar w:fldCharType="separate"/>
      </w:r>
      <w:r w:rsidR="00E150CA">
        <w:rPr>
          <w:noProof/>
        </w:rPr>
        <w:t>9</w:t>
      </w:r>
      <w:r w:rsidR="00BE3D19" w:rsidRPr="00A126E3">
        <w:fldChar w:fldCharType="end"/>
      </w:r>
      <w:r w:rsidR="006244F5">
        <w:t xml:space="preserve"> </w:t>
      </w:r>
      <w:r w:rsidR="005958CF">
        <w:t xml:space="preserve"> </w:t>
      </w:r>
      <w:r>
        <w:t xml:space="preserve">Use in the years </w:t>
      </w:r>
      <w:r w:rsidRPr="00A126E3">
        <w:t>before and after PIT</w:t>
      </w:r>
      <w:r>
        <w:t xml:space="preserve"> of </w:t>
      </w:r>
      <w:r w:rsidRPr="00A126E3">
        <w:t>AOD specialist, community and acute medical service</w:t>
      </w:r>
      <w:bookmarkEnd w:id="114"/>
      <w:r w:rsidRPr="00A126E3">
        <w:t xml:space="preserve"> </w:t>
      </w:r>
    </w:p>
    <w:tbl>
      <w:tblPr>
        <w:tblStyle w:val="TableGrid"/>
        <w:tblW w:w="5000" w:type="pct"/>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Caption w:val="Table 3.9  Use in the years before and after PIT of AOD specialist, community and acute medical service "/>
        <w:tblDescription w:val="Table 3.9  Use in the years before and after PIT of AOD specialist, community and acute medical service "/>
      </w:tblPr>
      <w:tblGrid>
        <w:gridCol w:w="3510"/>
        <w:gridCol w:w="1131"/>
        <w:gridCol w:w="1634"/>
        <w:gridCol w:w="1632"/>
        <w:gridCol w:w="1335"/>
      </w:tblGrid>
      <w:tr w:rsidR="00072449" w:rsidRPr="00415291" w:rsidTr="00072449">
        <w:trPr>
          <w:trHeight w:hRule="exact" w:val="340"/>
          <w:tblHeader/>
        </w:trPr>
        <w:tc>
          <w:tcPr>
            <w:tcW w:w="1899" w:type="pct"/>
            <w:tcBorders>
              <w:top w:val="single" w:sz="4" w:space="0" w:color="auto"/>
              <w:bottom w:val="single" w:sz="4" w:space="0" w:color="auto"/>
            </w:tcBorders>
            <w:vAlign w:val="center"/>
          </w:tcPr>
          <w:p w:rsidR="00072449" w:rsidRPr="00A126E3" w:rsidRDefault="00072449" w:rsidP="00072449">
            <w:pPr>
              <w:spacing w:line="240" w:lineRule="auto"/>
              <w:rPr>
                <w:rFonts w:asciiTheme="minorHAnsi" w:hAnsiTheme="minorHAnsi"/>
                <w:b/>
                <w:sz w:val="22"/>
                <w:szCs w:val="22"/>
              </w:rPr>
            </w:pPr>
            <w:r w:rsidRPr="00415291">
              <w:rPr>
                <w:rFonts w:ascii="Times New Roman" w:hAnsi="Times New Roman"/>
                <w:b/>
              </w:rPr>
              <w:t xml:space="preserve"> </w:t>
            </w:r>
            <w:r w:rsidRPr="00A126E3">
              <w:rPr>
                <w:rFonts w:asciiTheme="minorHAnsi" w:hAnsiTheme="minorHAnsi"/>
                <w:b/>
                <w:sz w:val="22"/>
                <w:szCs w:val="22"/>
              </w:rPr>
              <w:t xml:space="preserve">Health / social service </w:t>
            </w:r>
          </w:p>
        </w:tc>
        <w:tc>
          <w:tcPr>
            <w:tcW w:w="612" w:type="pct"/>
            <w:tcBorders>
              <w:top w:val="single" w:sz="4" w:space="0" w:color="auto"/>
              <w:bottom w:val="single" w:sz="4" w:space="0" w:color="auto"/>
            </w:tcBorders>
            <w:vAlign w:val="center"/>
          </w:tcPr>
          <w:p w:rsidR="00072449" w:rsidRPr="00A126E3" w:rsidRDefault="00072449" w:rsidP="00072449">
            <w:pPr>
              <w:spacing w:line="240" w:lineRule="auto"/>
              <w:jc w:val="center"/>
              <w:rPr>
                <w:rFonts w:asciiTheme="minorHAnsi" w:hAnsiTheme="minorHAnsi"/>
                <w:b/>
                <w:sz w:val="22"/>
                <w:szCs w:val="22"/>
              </w:rPr>
            </w:pPr>
            <w:r w:rsidRPr="00A126E3">
              <w:rPr>
                <w:rFonts w:asciiTheme="minorHAnsi" w:hAnsiTheme="minorHAnsi"/>
                <w:b/>
                <w:sz w:val="22"/>
                <w:szCs w:val="22"/>
              </w:rPr>
              <w:t>n</w:t>
            </w:r>
          </w:p>
        </w:tc>
        <w:tc>
          <w:tcPr>
            <w:tcW w:w="884" w:type="pct"/>
            <w:tcBorders>
              <w:top w:val="single" w:sz="4" w:space="0" w:color="auto"/>
              <w:bottom w:val="single" w:sz="4" w:space="0" w:color="auto"/>
            </w:tcBorders>
            <w:vAlign w:val="center"/>
          </w:tcPr>
          <w:p w:rsidR="00072449" w:rsidRPr="00A126E3" w:rsidRDefault="00072449" w:rsidP="00072449">
            <w:pPr>
              <w:spacing w:line="240" w:lineRule="auto"/>
              <w:jc w:val="center"/>
              <w:rPr>
                <w:rFonts w:asciiTheme="minorHAnsi" w:hAnsiTheme="minorHAnsi"/>
                <w:b/>
                <w:sz w:val="22"/>
                <w:szCs w:val="22"/>
              </w:rPr>
            </w:pPr>
            <w:r w:rsidRPr="00A126E3">
              <w:rPr>
                <w:rFonts w:asciiTheme="minorHAnsi" w:hAnsiTheme="minorHAnsi"/>
                <w:b/>
                <w:sz w:val="22"/>
                <w:szCs w:val="22"/>
              </w:rPr>
              <w:t>Pre-PIT</w:t>
            </w:r>
          </w:p>
        </w:tc>
        <w:tc>
          <w:tcPr>
            <w:tcW w:w="883" w:type="pct"/>
            <w:tcBorders>
              <w:top w:val="single" w:sz="4" w:space="0" w:color="auto"/>
              <w:bottom w:val="single" w:sz="4" w:space="0" w:color="auto"/>
            </w:tcBorders>
            <w:vAlign w:val="center"/>
          </w:tcPr>
          <w:p w:rsidR="00072449" w:rsidRPr="00A126E3" w:rsidRDefault="00072449" w:rsidP="00072449">
            <w:pPr>
              <w:spacing w:line="240" w:lineRule="auto"/>
              <w:jc w:val="center"/>
              <w:rPr>
                <w:rFonts w:asciiTheme="minorHAnsi" w:hAnsiTheme="minorHAnsi"/>
                <w:b/>
                <w:sz w:val="22"/>
                <w:szCs w:val="22"/>
              </w:rPr>
            </w:pPr>
            <w:r w:rsidRPr="00A126E3">
              <w:rPr>
                <w:rFonts w:asciiTheme="minorHAnsi" w:hAnsiTheme="minorHAnsi"/>
                <w:b/>
                <w:sz w:val="22"/>
                <w:szCs w:val="22"/>
              </w:rPr>
              <w:t>Post-PIT</w:t>
            </w:r>
          </w:p>
        </w:tc>
        <w:tc>
          <w:tcPr>
            <w:tcW w:w="722" w:type="pct"/>
            <w:tcBorders>
              <w:top w:val="single" w:sz="4" w:space="0" w:color="auto"/>
              <w:bottom w:val="single" w:sz="4" w:space="0" w:color="auto"/>
            </w:tcBorders>
            <w:vAlign w:val="center"/>
          </w:tcPr>
          <w:p w:rsidR="00072449" w:rsidRPr="00A126E3" w:rsidRDefault="00072449" w:rsidP="00072449">
            <w:pPr>
              <w:spacing w:line="240" w:lineRule="auto"/>
              <w:jc w:val="center"/>
              <w:rPr>
                <w:rFonts w:asciiTheme="minorHAnsi" w:hAnsiTheme="minorHAnsi"/>
                <w:b/>
                <w:sz w:val="22"/>
                <w:szCs w:val="22"/>
              </w:rPr>
            </w:pPr>
            <w:r>
              <w:rPr>
                <w:rFonts w:asciiTheme="minorHAnsi" w:hAnsiTheme="minorHAnsi"/>
                <w:b/>
                <w:sz w:val="22"/>
                <w:szCs w:val="22"/>
              </w:rPr>
              <w:t>p</w:t>
            </w:r>
          </w:p>
        </w:tc>
      </w:tr>
      <w:tr w:rsidR="00072449" w:rsidRPr="00415291" w:rsidTr="007B1190">
        <w:trPr>
          <w:trHeight w:hRule="exact" w:val="340"/>
          <w:tblHeader/>
        </w:trPr>
        <w:tc>
          <w:tcPr>
            <w:tcW w:w="1899" w:type="pct"/>
            <w:tcBorders>
              <w:top w:val="nil"/>
              <w:bottom w:val="nil"/>
            </w:tcBorders>
            <w:vAlign w:val="center"/>
          </w:tcPr>
          <w:p w:rsidR="00072449" w:rsidRPr="00A126E3" w:rsidRDefault="00072449" w:rsidP="007B1190">
            <w:pPr>
              <w:spacing w:line="240" w:lineRule="auto"/>
              <w:ind w:left="142"/>
              <w:rPr>
                <w:rFonts w:asciiTheme="minorHAnsi" w:hAnsiTheme="minorHAnsi"/>
                <w:sz w:val="22"/>
                <w:szCs w:val="22"/>
              </w:rPr>
            </w:pPr>
            <w:r w:rsidRPr="00A126E3">
              <w:rPr>
                <w:rFonts w:asciiTheme="minorHAnsi" w:hAnsiTheme="minorHAnsi"/>
                <w:sz w:val="22"/>
                <w:szCs w:val="22"/>
              </w:rPr>
              <w:t xml:space="preserve">Any AOD </w:t>
            </w:r>
            <w:proofErr w:type="spellStart"/>
            <w:r w:rsidRPr="00A126E3">
              <w:rPr>
                <w:rFonts w:asciiTheme="minorHAnsi" w:hAnsiTheme="minorHAnsi"/>
                <w:sz w:val="22"/>
                <w:szCs w:val="22"/>
              </w:rPr>
              <w:t>Tx</w:t>
            </w:r>
            <w:proofErr w:type="spellEnd"/>
            <w:r w:rsidRPr="00A126E3">
              <w:rPr>
                <w:rFonts w:asciiTheme="minorHAnsi" w:hAnsiTheme="minorHAnsi"/>
                <w:sz w:val="22"/>
                <w:szCs w:val="22"/>
              </w:rPr>
              <w:t xml:space="preserve"> (exc. Mutual aid)</w:t>
            </w:r>
          </w:p>
        </w:tc>
        <w:tc>
          <w:tcPr>
            <w:tcW w:w="612" w:type="pct"/>
            <w:tcBorders>
              <w:top w:val="nil"/>
              <w:bottom w:val="nil"/>
            </w:tcBorders>
            <w:vAlign w:val="center"/>
          </w:tcPr>
          <w:p w:rsidR="00072449" w:rsidRPr="00A126E3" w:rsidRDefault="00542401" w:rsidP="00542401">
            <w:pPr>
              <w:spacing w:line="240" w:lineRule="auto"/>
              <w:jc w:val="center"/>
              <w:rPr>
                <w:rFonts w:asciiTheme="minorHAnsi" w:hAnsiTheme="minorHAnsi"/>
                <w:sz w:val="22"/>
                <w:szCs w:val="22"/>
              </w:rPr>
            </w:pPr>
            <w:r w:rsidRPr="00A126E3">
              <w:rPr>
                <w:rFonts w:asciiTheme="minorHAnsi" w:hAnsiTheme="minorHAnsi"/>
                <w:sz w:val="22"/>
                <w:szCs w:val="22"/>
              </w:rPr>
              <w:t>55</w:t>
            </w:r>
            <w:r>
              <w:rPr>
                <w:rFonts w:asciiTheme="minorHAnsi" w:hAnsiTheme="minorHAnsi"/>
                <w:sz w:val="22"/>
                <w:szCs w:val="22"/>
              </w:rPr>
              <w:t>2</w:t>
            </w:r>
          </w:p>
        </w:tc>
        <w:tc>
          <w:tcPr>
            <w:tcW w:w="884" w:type="pct"/>
            <w:tcBorders>
              <w:top w:val="nil"/>
              <w:bottom w:val="nil"/>
            </w:tcBorders>
            <w:vAlign w:val="center"/>
          </w:tcPr>
          <w:p w:rsidR="00072449" w:rsidRPr="00A126E3" w:rsidRDefault="00542401" w:rsidP="00072449">
            <w:pPr>
              <w:spacing w:line="240" w:lineRule="auto"/>
              <w:jc w:val="center"/>
              <w:rPr>
                <w:rFonts w:asciiTheme="minorHAnsi" w:hAnsiTheme="minorHAnsi"/>
                <w:sz w:val="22"/>
                <w:szCs w:val="22"/>
              </w:rPr>
            </w:pPr>
            <w:r>
              <w:rPr>
                <w:rFonts w:asciiTheme="minorHAnsi" w:hAnsiTheme="minorHAnsi"/>
                <w:sz w:val="22"/>
                <w:szCs w:val="22"/>
              </w:rPr>
              <w:t>68.7</w:t>
            </w:r>
            <w:r w:rsidR="00072449" w:rsidRPr="00A126E3">
              <w:rPr>
                <w:rFonts w:asciiTheme="minorHAnsi" w:hAnsiTheme="minorHAnsi"/>
                <w:sz w:val="22"/>
                <w:szCs w:val="22"/>
              </w:rPr>
              <w:t>%</w:t>
            </w:r>
          </w:p>
        </w:tc>
        <w:tc>
          <w:tcPr>
            <w:tcW w:w="883" w:type="pct"/>
            <w:tcBorders>
              <w:top w:val="nil"/>
              <w:bottom w:val="nil"/>
            </w:tcBorders>
            <w:vAlign w:val="center"/>
          </w:tcPr>
          <w:p w:rsidR="00072449" w:rsidRPr="00A126E3" w:rsidRDefault="00542401" w:rsidP="00072449">
            <w:pPr>
              <w:spacing w:line="240" w:lineRule="auto"/>
              <w:jc w:val="center"/>
              <w:rPr>
                <w:rFonts w:asciiTheme="minorHAnsi" w:hAnsiTheme="minorHAnsi"/>
                <w:sz w:val="22"/>
                <w:szCs w:val="22"/>
              </w:rPr>
            </w:pPr>
            <w:r>
              <w:rPr>
                <w:rFonts w:asciiTheme="minorHAnsi" w:hAnsiTheme="minorHAnsi"/>
                <w:sz w:val="22"/>
                <w:szCs w:val="22"/>
              </w:rPr>
              <w:t>67.6</w:t>
            </w:r>
            <w:r w:rsidR="00072449" w:rsidRPr="00A126E3">
              <w:rPr>
                <w:rFonts w:asciiTheme="minorHAnsi" w:hAnsiTheme="minorHAnsi"/>
                <w:sz w:val="22"/>
                <w:szCs w:val="22"/>
              </w:rPr>
              <w:t>%</w:t>
            </w:r>
          </w:p>
        </w:tc>
        <w:tc>
          <w:tcPr>
            <w:tcW w:w="722" w:type="pct"/>
            <w:tcBorders>
              <w:top w:val="nil"/>
              <w:bottom w:val="nil"/>
            </w:tcBorders>
            <w:vAlign w:val="center"/>
          </w:tcPr>
          <w:p w:rsidR="00072449" w:rsidRPr="00A126E3" w:rsidRDefault="00072449" w:rsidP="00542401">
            <w:pPr>
              <w:spacing w:line="240" w:lineRule="auto"/>
              <w:jc w:val="center"/>
              <w:rPr>
                <w:rFonts w:asciiTheme="minorHAnsi" w:hAnsiTheme="minorHAnsi"/>
                <w:sz w:val="22"/>
                <w:szCs w:val="22"/>
              </w:rPr>
            </w:pPr>
            <w:r w:rsidRPr="00A126E3">
              <w:rPr>
                <w:rFonts w:asciiTheme="minorHAnsi" w:hAnsiTheme="minorHAnsi"/>
                <w:sz w:val="22"/>
                <w:szCs w:val="22"/>
              </w:rPr>
              <w:t>.</w:t>
            </w:r>
            <w:r w:rsidR="00542401">
              <w:rPr>
                <w:rFonts w:asciiTheme="minorHAnsi" w:hAnsiTheme="minorHAnsi"/>
                <w:sz w:val="22"/>
                <w:szCs w:val="22"/>
              </w:rPr>
              <w:t>73</w:t>
            </w:r>
          </w:p>
        </w:tc>
      </w:tr>
      <w:tr w:rsidR="00072449" w:rsidRPr="00415291" w:rsidTr="00072449">
        <w:trPr>
          <w:trHeight w:hRule="exact" w:val="340"/>
          <w:tblHeader/>
        </w:trPr>
        <w:tc>
          <w:tcPr>
            <w:tcW w:w="1899" w:type="pct"/>
            <w:tcBorders>
              <w:top w:val="nil"/>
            </w:tcBorders>
            <w:tcMar>
              <w:left w:w="198" w:type="dxa"/>
            </w:tcMar>
            <w:vAlign w:val="center"/>
          </w:tcPr>
          <w:p w:rsidR="00072449" w:rsidRPr="00A126E3" w:rsidRDefault="00072449" w:rsidP="00072449">
            <w:pPr>
              <w:spacing w:line="240" w:lineRule="auto"/>
              <w:ind w:left="142"/>
              <w:rPr>
                <w:rFonts w:asciiTheme="minorHAnsi" w:hAnsiTheme="minorHAnsi"/>
                <w:sz w:val="22"/>
                <w:szCs w:val="22"/>
              </w:rPr>
            </w:pPr>
            <w:r>
              <w:rPr>
                <w:rFonts w:asciiTheme="minorHAnsi" w:hAnsiTheme="minorHAnsi"/>
                <w:sz w:val="22"/>
                <w:szCs w:val="22"/>
              </w:rPr>
              <w:t>Acute w</w:t>
            </w:r>
            <w:r w:rsidRPr="00A126E3">
              <w:rPr>
                <w:rFonts w:asciiTheme="minorHAnsi" w:hAnsiTheme="minorHAnsi"/>
                <w:sz w:val="22"/>
                <w:szCs w:val="22"/>
              </w:rPr>
              <w:t>ithdrawal (detoxification)</w:t>
            </w:r>
          </w:p>
        </w:tc>
        <w:tc>
          <w:tcPr>
            <w:tcW w:w="612" w:type="pct"/>
            <w:tcBorders>
              <w:top w:val="nil"/>
            </w:tcBorders>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553</w:t>
            </w:r>
          </w:p>
        </w:tc>
        <w:tc>
          <w:tcPr>
            <w:tcW w:w="884" w:type="pct"/>
            <w:tcBorders>
              <w:top w:val="nil"/>
            </w:tcBorders>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34.7%</w:t>
            </w:r>
          </w:p>
        </w:tc>
        <w:tc>
          <w:tcPr>
            <w:tcW w:w="883" w:type="pct"/>
            <w:tcBorders>
              <w:top w:val="nil"/>
            </w:tcBorders>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23.7%</w:t>
            </w:r>
          </w:p>
        </w:tc>
        <w:tc>
          <w:tcPr>
            <w:tcW w:w="722" w:type="pct"/>
            <w:tcBorders>
              <w:top w:val="nil"/>
            </w:tcBorders>
            <w:vAlign w:val="center"/>
          </w:tcPr>
          <w:p w:rsidR="00072449" w:rsidRPr="00A126E3" w:rsidRDefault="00072449" w:rsidP="00542401">
            <w:pPr>
              <w:spacing w:line="240" w:lineRule="auto"/>
              <w:jc w:val="center"/>
              <w:rPr>
                <w:rFonts w:asciiTheme="minorHAnsi" w:hAnsiTheme="minorHAnsi"/>
                <w:sz w:val="22"/>
                <w:szCs w:val="22"/>
              </w:rPr>
            </w:pPr>
            <w:r w:rsidRPr="00A126E3">
              <w:rPr>
                <w:rFonts w:asciiTheme="minorHAnsi" w:hAnsiTheme="minorHAnsi"/>
                <w:sz w:val="22"/>
                <w:szCs w:val="22"/>
              </w:rPr>
              <w:t>&lt;</w:t>
            </w:r>
            <w:r w:rsidR="00542401">
              <w:rPr>
                <w:rFonts w:asciiTheme="minorHAnsi" w:hAnsiTheme="minorHAnsi"/>
                <w:sz w:val="22"/>
                <w:szCs w:val="22"/>
              </w:rPr>
              <w:t xml:space="preserve"> </w:t>
            </w:r>
            <w:r w:rsidRPr="00A126E3">
              <w:rPr>
                <w:rFonts w:asciiTheme="minorHAnsi" w:hAnsiTheme="minorHAnsi"/>
                <w:sz w:val="22"/>
                <w:szCs w:val="22"/>
              </w:rPr>
              <w:t>.001</w:t>
            </w:r>
          </w:p>
        </w:tc>
      </w:tr>
      <w:tr w:rsidR="00072449" w:rsidRPr="00415291" w:rsidTr="00072449">
        <w:trPr>
          <w:trHeight w:hRule="exact" w:val="340"/>
          <w:tblHeader/>
        </w:trPr>
        <w:tc>
          <w:tcPr>
            <w:tcW w:w="1899" w:type="pct"/>
            <w:tcMar>
              <w:left w:w="198" w:type="dxa"/>
            </w:tcMar>
            <w:vAlign w:val="center"/>
          </w:tcPr>
          <w:p w:rsidR="00072449" w:rsidRPr="00A126E3" w:rsidRDefault="00072449" w:rsidP="00072449">
            <w:pPr>
              <w:spacing w:line="240" w:lineRule="auto"/>
              <w:ind w:left="142"/>
              <w:rPr>
                <w:rFonts w:asciiTheme="minorHAnsi" w:hAnsiTheme="minorHAnsi"/>
                <w:sz w:val="22"/>
                <w:szCs w:val="22"/>
              </w:rPr>
            </w:pPr>
            <w:r>
              <w:rPr>
                <w:rFonts w:asciiTheme="minorHAnsi" w:hAnsiTheme="minorHAnsi"/>
                <w:sz w:val="22"/>
                <w:szCs w:val="22"/>
              </w:rPr>
              <w:t>AOD</w:t>
            </w:r>
            <w:r w:rsidRPr="00A126E3">
              <w:rPr>
                <w:rFonts w:asciiTheme="minorHAnsi" w:hAnsiTheme="minorHAnsi"/>
                <w:sz w:val="22"/>
                <w:szCs w:val="22"/>
              </w:rPr>
              <w:t xml:space="preserve"> counselling</w:t>
            </w:r>
          </w:p>
        </w:tc>
        <w:tc>
          <w:tcPr>
            <w:tcW w:w="612"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552</w:t>
            </w:r>
          </w:p>
        </w:tc>
        <w:tc>
          <w:tcPr>
            <w:tcW w:w="884"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55.4%</w:t>
            </w:r>
          </w:p>
        </w:tc>
        <w:tc>
          <w:tcPr>
            <w:tcW w:w="883" w:type="pct"/>
            <w:vAlign w:val="center"/>
          </w:tcPr>
          <w:p w:rsidR="00072449" w:rsidRPr="00A126E3" w:rsidRDefault="00072449" w:rsidP="00A23538">
            <w:pPr>
              <w:spacing w:line="240" w:lineRule="auto"/>
              <w:jc w:val="center"/>
              <w:rPr>
                <w:rFonts w:asciiTheme="minorHAnsi" w:hAnsiTheme="minorHAnsi"/>
                <w:sz w:val="22"/>
                <w:szCs w:val="22"/>
              </w:rPr>
            </w:pPr>
            <w:r w:rsidRPr="00A126E3">
              <w:rPr>
                <w:rFonts w:asciiTheme="minorHAnsi" w:hAnsiTheme="minorHAnsi"/>
                <w:sz w:val="22"/>
                <w:szCs w:val="22"/>
              </w:rPr>
              <w:t>52.</w:t>
            </w:r>
            <w:r w:rsidR="00A23538">
              <w:rPr>
                <w:rFonts w:asciiTheme="minorHAnsi" w:hAnsiTheme="minorHAnsi"/>
                <w:sz w:val="22"/>
                <w:szCs w:val="22"/>
              </w:rPr>
              <w:t>2</w:t>
            </w:r>
            <w:r w:rsidRPr="00A126E3">
              <w:rPr>
                <w:rFonts w:asciiTheme="minorHAnsi" w:hAnsiTheme="minorHAnsi"/>
                <w:sz w:val="22"/>
                <w:szCs w:val="22"/>
              </w:rPr>
              <w:t>%</w:t>
            </w:r>
          </w:p>
        </w:tc>
        <w:tc>
          <w:tcPr>
            <w:tcW w:w="722" w:type="pct"/>
            <w:vAlign w:val="center"/>
          </w:tcPr>
          <w:p w:rsidR="00072449" w:rsidRPr="00A126E3" w:rsidRDefault="00072449" w:rsidP="00542401">
            <w:pPr>
              <w:spacing w:line="240" w:lineRule="auto"/>
              <w:jc w:val="center"/>
              <w:rPr>
                <w:rFonts w:asciiTheme="minorHAnsi" w:hAnsiTheme="minorHAnsi"/>
                <w:sz w:val="22"/>
                <w:szCs w:val="22"/>
              </w:rPr>
            </w:pPr>
            <w:r w:rsidRPr="00A126E3">
              <w:rPr>
                <w:rFonts w:asciiTheme="minorHAnsi" w:hAnsiTheme="minorHAnsi"/>
                <w:sz w:val="22"/>
                <w:szCs w:val="22"/>
              </w:rPr>
              <w:t>.</w:t>
            </w:r>
            <w:r w:rsidR="00542401" w:rsidRPr="00A126E3">
              <w:rPr>
                <w:rFonts w:asciiTheme="minorHAnsi" w:hAnsiTheme="minorHAnsi"/>
                <w:sz w:val="22"/>
                <w:szCs w:val="22"/>
              </w:rPr>
              <w:t>2</w:t>
            </w:r>
            <w:r w:rsidR="00542401">
              <w:rPr>
                <w:rFonts w:asciiTheme="minorHAnsi" w:hAnsiTheme="minorHAnsi"/>
                <w:sz w:val="22"/>
                <w:szCs w:val="22"/>
              </w:rPr>
              <w:t>7</w:t>
            </w:r>
          </w:p>
        </w:tc>
      </w:tr>
      <w:tr w:rsidR="00072449" w:rsidRPr="00415291" w:rsidTr="00072449">
        <w:trPr>
          <w:trHeight w:hRule="exact" w:val="340"/>
          <w:tblHeader/>
        </w:trPr>
        <w:tc>
          <w:tcPr>
            <w:tcW w:w="1899" w:type="pct"/>
            <w:tcMar>
              <w:left w:w="198" w:type="dxa"/>
            </w:tcMar>
            <w:vAlign w:val="center"/>
          </w:tcPr>
          <w:p w:rsidR="00072449" w:rsidRPr="00A126E3" w:rsidRDefault="00072449" w:rsidP="00072449">
            <w:pPr>
              <w:spacing w:line="240" w:lineRule="auto"/>
              <w:ind w:left="142"/>
              <w:rPr>
                <w:rFonts w:asciiTheme="minorHAnsi" w:hAnsiTheme="minorHAnsi"/>
                <w:sz w:val="22"/>
                <w:szCs w:val="22"/>
              </w:rPr>
            </w:pPr>
            <w:r w:rsidRPr="00A126E3">
              <w:rPr>
                <w:rFonts w:asciiTheme="minorHAnsi" w:hAnsiTheme="minorHAnsi"/>
                <w:sz w:val="22"/>
                <w:szCs w:val="22"/>
              </w:rPr>
              <w:t>Residential rehabilitation</w:t>
            </w:r>
          </w:p>
        </w:tc>
        <w:tc>
          <w:tcPr>
            <w:tcW w:w="612"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553</w:t>
            </w:r>
          </w:p>
        </w:tc>
        <w:tc>
          <w:tcPr>
            <w:tcW w:w="884"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12.7%</w:t>
            </w:r>
          </w:p>
        </w:tc>
        <w:tc>
          <w:tcPr>
            <w:tcW w:w="883"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26.6%</w:t>
            </w:r>
          </w:p>
        </w:tc>
        <w:tc>
          <w:tcPr>
            <w:tcW w:w="722" w:type="pct"/>
            <w:vAlign w:val="center"/>
          </w:tcPr>
          <w:p w:rsidR="00072449" w:rsidRPr="00A126E3" w:rsidRDefault="00072449" w:rsidP="00542401">
            <w:pPr>
              <w:spacing w:line="240" w:lineRule="auto"/>
              <w:jc w:val="center"/>
              <w:rPr>
                <w:rFonts w:asciiTheme="minorHAnsi" w:hAnsiTheme="minorHAnsi"/>
                <w:sz w:val="22"/>
                <w:szCs w:val="22"/>
              </w:rPr>
            </w:pPr>
            <w:r w:rsidRPr="00A126E3">
              <w:rPr>
                <w:rFonts w:asciiTheme="minorHAnsi" w:hAnsiTheme="minorHAnsi"/>
                <w:sz w:val="22"/>
                <w:szCs w:val="22"/>
              </w:rPr>
              <w:t>&lt;</w:t>
            </w:r>
            <w:r w:rsidR="00542401">
              <w:rPr>
                <w:rFonts w:asciiTheme="minorHAnsi" w:hAnsiTheme="minorHAnsi"/>
                <w:sz w:val="22"/>
                <w:szCs w:val="22"/>
              </w:rPr>
              <w:t xml:space="preserve"> </w:t>
            </w:r>
            <w:r w:rsidRPr="00A126E3">
              <w:rPr>
                <w:rFonts w:asciiTheme="minorHAnsi" w:hAnsiTheme="minorHAnsi"/>
                <w:sz w:val="22"/>
                <w:szCs w:val="22"/>
              </w:rPr>
              <w:t>.001</w:t>
            </w:r>
          </w:p>
        </w:tc>
      </w:tr>
      <w:tr w:rsidR="00072449" w:rsidRPr="00415291" w:rsidTr="00B11DEE">
        <w:trPr>
          <w:trHeight w:hRule="exact" w:val="567"/>
          <w:tblHeader/>
        </w:trPr>
        <w:tc>
          <w:tcPr>
            <w:tcW w:w="1899" w:type="pct"/>
            <w:tcMar>
              <w:left w:w="198" w:type="dxa"/>
            </w:tcMar>
            <w:vAlign w:val="center"/>
          </w:tcPr>
          <w:p w:rsidR="00072449" w:rsidRPr="00A126E3" w:rsidRDefault="00072449" w:rsidP="00072449">
            <w:pPr>
              <w:spacing w:line="240" w:lineRule="auto"/>
              <w:ind w:left="142"/>
              <w:rPr>
                <w:rFonts w:asciiTheme="minorHAnsi" w:hAnsiTheme="minorHAnsi"/>
                <w:sz w:val="22"/>
                <w:szCs w:val="22"/>
              </w:rPr>
            </w:pPr>
            <w:r w:rsidRPr="00A126E3">
              <w:rPr>
                <w:rFonts w:asciiTheme="minorHAnsi" w:hAnsiTheme="minorHAnsi"/>
                <w:sz w:val="22"/>
                <w:szCs w:val="22"/>
              </w:rPr>
              <w:t>Self-help and mutual aid programs</w:t>
            </w:r>
          </w:p>
        </w:tc>
        <w:tc>
          <w:tcPr>
            <w:tcW w:w="612" w:type="pct"/>
            <w:vAlign w:val="center"/>
          </w:tcPr>
          <w:p w:rsidR="00072449" w:rsidRPr="00A126E3" w:rsidRDefault="007F2301" w:rsidP="00072449">
            <w:pPr>
              <w:spacing w:line="240" w:lineRule="auto"/>
              <w:jc w:val="center"/>
              <w:rPr>
                <w:rFonts w:asciiTheme="minorHAnsi" w:hAnsiTheme="minorHAnsi"/>
                <w:sz w:val="22"/>
                <w:szCs w:val="22"/>
              </w:rPr>
            </w:pPr>
            <w:r>
              <w:rPr>
                <w:rFonts w:asciiTheme="minorHAnsi" w:hAnsiTheme="minorHAnsi"/>
                <w:sz w:val="22"/>
                <w:szCs w:val="22"/>
              </w:rPr>
              <w:t>537</w:t>
            </w:r>
          </w:p>
        </w:tc>
        <w:tc>
          <w:tcPr>
            <w:tcW w:w="884" w:type="pct"/>
            <w:vAlign w:val="center"/>
          </w:tcPr>
          <w:p w:rsidR="00072449" w:rsidRPr="00A126E3" w:rsidRDefault="00072449" w:rsidP="007F2301">
            <w:pPr>
              <w:spacing w:line="240" w:lineRule="auto"/>
              <w:jc w:val="center"/>
              <w:rPr>
                <w:rFonts w:asciiTheme="minorHAnsi" w:hAnsiTheme="minorHAnsi"/>
                <w:sz w:val="22"/>
                <w:szCs w:val="22"/>
              </w:rPr>
            </w:pPr>
            <w:r w:rsidRPr="00A126E3">
              <w:rPr>
                <w:rFonts w:asciiTheme="minorHAnsi" w:hAnsiTheme="minorHAnsi"/>
                <w:sz w:val="22"/>
                <w:szCs w:val="22"/>
              </w:rPr>
              <w:t>3</w:t>
            </w:r>
            <w:r w:rsidR="007F2301">
              <w:rPr>
                <w:rFonts w:asciiTheme="minorHAnsi" w:hAnsiTheme="minorHAnsi"/>
                <w:sz w:val="22"/>
                <w:szCs w:val="22"/>
              </w:rPr>
              <w:t>2.6</w:t>
            </w:r>
            <w:r w:rsidRPr="00A126E3">
              <w:rPr>
                <w:rFonts w:asciiTheme="minorHAnsi" w:hAnsiTheme="minorHAnsi"/>
                <w:sz w:val="22"/>
                <w:szCs w:val="22"/>
              </w:rPr>
              <w:t>%</w:t>
            </w:r>
          </w:p>
        </w:tc>
        <w:tc>
          <w:tcPr>
            <w:tcW w:w="883" w:type="pct"/>
            <w:vAlign w:val="center"/>
          </w:tcPr>
          <w:p w:rsidR="00072449" w:rsidRPr="00A126E3" w:rsidRDefault="007F2301" w:rsidP="00072449">
            <w:pPr>
              <w:spacing w:line="240" w:lineRule="auto"/>
              <w:jc w:val="center"/>
              <w:rPr>
                <w:rFonts w:asciiTheme="minorHAnsi" w:hAnsiTheme="minorHAnsi"/>
                <w:sz w:val="22"/>
                <w:szCs w:val="22"/>
              </w:rPr>
            </w:pPr>
            <w:r>
              <w:rPr>
                <w:rFonts w:asciiTheme="minorHAnsi" w:hAnsiTheme="minorHAnsi"/>
                <w:sz w:val="22"/>
                <w:szCs w:val="22"/>
              </w:rPr>
              <w:t>48.6</w:t>
            </w:r>
            <w:r w:rsidR="00072449" w:rsidRPr="00A126E3">
              <w:rPr>
                <w:rFonts w:asciiTheme="minorHAnsi" w:hAnsiTheme="minorHAnsi"/>
                <w:sz w:val="22"/>
                <w:szCs w:val="22"/>
              </w:rPr>
              <w:t>%</w:t>
            </w:r>
          </w:p>
        </w:tc>
        <w:tc>
          <w:tcPr>
            <w:tcW w:w="722" w:type="pct"/>
            <w:vAlign w:val="center"/>
          </w:tcPr>
          <w:p w:rsidR="00072449" w:rsidRPr="00A126E3" w:rsidRDefault="00072449" w:rsidP="00542401">
            <w:pPr>
              <w:tabs>
                <w:tab w:val="left" w:pos="242"/>
                <w:tab w:val="center" w:pos="559"/>
              </w:tabs>
              <w:spacing w:line="240" w:lineRule="auto"/>
              <w:jc w:val="center"/>
              <w:rPr>
                <w:rFonts w:asciiTheme="minorHAnsi" w:hAnsiTheme="minorHAnsi"/>
                <w:sz w:val="22"/>
                <w:szCs w:val="22"/>
              </w:rPr>
            </w:pPr>
            <w:r w:rsidRPr="00A126E3">
              <w:rPr>
                <w:rFonts w:asciiTheme="minorHAnsi" w:hAnsiTheme="minorHAnsi"/>
                <w:sz w:val="22"/>
                <w:szCs w:val="22"/>
              </w:rPr>
              <w:t>&lt;</w:t>
            </w:r>
            <w:r w:rsidR="00542401">
              <w:rPr>
                <w:rFonts w:asciiTheme="minorHAnsi" w:hAnsiTheme="minorHAnsi"/>
                <w:sz w:val="22"/>
                <w:szCs w:val="22"/>
              </w:rPr>
              <w:t xml:space="preserve"> </w:t>
            </w:r>
            <w:r w:rsidRPr="00A126E3">
              <w:rPr>
                <w:rFonts w:asciiTheme="minorHAnsi" w:hAnsiTheme="minorHAnsi"/>
                <w:sz w:val="22"/>
                <w:szCs w:val="22"/>
              </w:rPr>
              <w:t>.001</w:t>
            </w:r>
          </w:p>
        </w:tc>
      </w:tr>
      <w:tr w:rsidR="00072449" w:rsidRPr="00415291" w:rsidTr="00072449">
        <w:trPr>
          <w:trHeight w:hRule="exact" w:val="340"/>
          <w:tblHeader/>
        </w:trPr>
        <w:tc>
          <w:tcPr>
            <w:tcW w:w="1899" w:type="pct"/>
            <w:vAlign w:val="center"/>
          </w:tcPr>
          <w:p w:rsidR="00072449" w:rsidRPr="00A126E3" w:rsidRDefault="00072449" w:rsidP="00072449">
            <w:pPr>
              <w:spacing w:line="240" w:lineRule="auto"/>
              <w:ind w:left="142"/>
              <w:rPr>
                <w:rFonts w:asciiTheme="minorHAnsi" w:hAnsiTheme="minorHAnsi"/>
                <w:sz w:val="22"/>
                <w:szCs w:val="22"/>
              </w:rPr>
            </w:pPr>
            <w:r w:rsidRPr="00A126E3">
              <w:rPr>
                <w:rFonts w:asciiTheme="minorHAnsi" w:hAnsiTheme="minorHAnsi"/>
                <w:sz w:val="22"/>
                <w:szCs w:val="22"/>
              </w:rPr>
              <w:t>Any community service (exc. GP)</w:t>
            </w:r>
          </w:p>
        </w:tc>
        <w:tc>
          <w:tcPr>
            <w:tcW w:w="612" w:type="pct"/>
            <w:vAlign w:val="center"/>
          </w:tcPr>
          <w:p w:rsidR="00072449" w:rsidRPr="00A126E3" w:rsidRDefault="00F0076B" w:rsidP="00F0076B">
            <w:pPr>
              <w:spacing w:line="240" w:lineRule="auto"/>
              <w:jc w:val="center"/>
              <w:rPr>
                <w:rFonts w:asciiTheme="minorHAnsi" w:hAnsiTheme="minorHAnsi"/>
                <w:sz w:val="22"/>
                <w:szCs w:val="22"/>
              </w:rPr>
            </w:pPr>
            <w:r w:rsidRPr="00A126E3">
              <w:rPr>
                <w:rFonts w:asciiTheme="minorHAnsi" w:hAnsiTheme="minorHAnsi"/>
                <w:sz w:val="22"/>
                <w:szCs w:val="22"/>
              </w:rPr>
              <w:t>5</w:t>
            </w:r>
            <w:r>
              <w:rPr>
                <w:rFonts w:asciiTheme="minorHAnsi" w:hAnsiTheme="minorHAnsi"/>
                <w:sz w:val="22"/>
                <w:szCs w:val="22"/>
              </w:rPr>
              <w:t>50</w:t>
            </w:r>
          </w:p>
        </w:tc>
        <w:tc>
          <w:tcPr>
            <w:tcW w:w="884"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81.</w:t>
            </w:r>
            <w:r w:rsidR="00F0076B">
              <w:rPr>
                <w:rFonts w:asciiTheme="minorHAnsi" w:hAnsiTheme="minorHAnsi"/>
                <w:sz w:val="22"/>
                <w:szCs w:val="22"/>
              </w:rPr>
              <w:t>3</w:t>
            </w:r>
            <w:r w:rsidRPr="00A126E3">
              <w:rPr>
                <w:rFonts w:asciiTheme="minorHAnsi" w:hAnsiTheme="minorHAnsi"/>
                <w:sz w:val="22"/>
                <w:szCs w:val="22"/>
              </w:rPr>
              <w:t>%</w:t>
            </w:r>
          </w:p>
        </w:tc>
        <w:tc>
          <w:tcPr>
            <w:tcW w:w="883"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7</w:t>
            </w:r>
            <w:r w:rsidR="00F0076B">
              <w:rPr>
                <w:rFonts w:asciiTheme="minorHAnsi" w:hAnsiTheme="minorHAnsi"/>
                <w:sz w:val="22"/>
                <w:szCs w:val="22"/>
              </w:rPr>
              <w:t>6.9</w:t>
            </w:r>
            <w:r w:rsidRPr="00A126E3">
              <w:rPr>
                <w:rFonts w:asciiTheme="minorHAnsi" w:hAnsiTheme="minorHAnsi"/>
                <w:sz w:val="22"/>
                <w:szCs w:val="22"/>
              </w:rPr>
              <w:t>%</w:t>
            </w:r>
          </w:p>
        </w:tc>
        <w:tc>
          <w:tcPr>
            <w:tcW w:w="722" w:type="pct"/>
            <w:vAlign w:val="center"/>
          </w:tcPr>
          <w:p w:rsidR="00072449" w:rsidRPr="00A126E3" w:rsidRDefault="00072449" w:rsidP="00F0076B">
            <w:pPr>
              <w:spacing w:line="240" w:lineRule="auto"/>
              <w:jc w:val="center"/>
              <w:rPr>
                <w:rFonts w:asciiTheme="minorHAnsi" w:hAnsiTheme="minorHAnsi"/>
                <w:sz w:val="22"/>
                <w:szCs w:val="22"/>
              </w:rPr>
            </w:pPr>
            <w:r w:rsidRPr="00A126E3">
              <w:rPr>
                <w:rFonts w:asciiTheme="minorHAnsi" w:hAnsiTheme="minorHAnsi"/>
                <w:sz w:val="22"/>
                <w:szCs w:val="22"/>
              </w:rPr>
              <w:t>.0</w:t>
            </w:r>
            <w:r w:rsidR="00F0076B">
              <w:rPr>
                <w:rFonts w:asciiTheme="minorHAnsi" w:hAnsiTheme="minorHAnsi"/>
                <w:sz w:val="22"/>
                <w:szCs w:val="22"/>
              </w:rPr>
              <w:t>52</w:t>
            </w:r>
          </w:p>
        </w:tc>
      </w:tr>
      <w:tr w:rsidR="00072449" w:rsidRPr="00415291" w:rsidTr="00072449">
        <w:trPr>
          <w:trHeight w:hRule="exact" w:val="340"/>
          <w:tblHeader/>
        </w:trPr>
        <w:tc>
          <w:tcPr>
            <w:tcW w:w="1899" w:type="pct"/>
            <w:tcMar>
              <w:left w:w="198" w:type="dxa"/>
            </w:tcMar>
            <w:vAlign w:val="center"/>
          </w:tcPr>
          <w:p w:rsidR="00072449" w:rsidRPr="00A126E3" w:rsidRDefault="00072449" w:rsidP="00072449">
            <w:pPr>
              <w:spacing w:line="240" w:lineRule="auto"/>
              <w:ind w:left="142"/>
              <w:rPr>
                <w:rFonts w:asciiTheme="minorHAnsi" w:hAnsiTheme="minorHAnsi"/>
                <w:sz w:val="22"/>
                <w:szCs w:val="22"/>
              </w:rPr>
            </w:pPr>
            <w:r w:rsidRPr="00A126E3">
              <w:rPr>
                <w:rFonts w:asciiTheme="minorHAnsi" w:hAnsiTheme="minorHAnsi"/>
                <w:sz w:val="22"/>
                <w:szCs w:val="22"/>
              </w:rPr>
              <w:t>General practitioner</w:t>
            </w:r>
          </w:p>
        </w:tc>
        <w:tc>
          <w:tcPr>
            <w:tcW w:w="612"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5</w:t>
            </w:r>
            <w:r w:rsidR="00F0076B">
              <w:rPr>
                <w:rFonts w:asciiTheme="minorHAnsi" w:hAnsiTheme="minorHAnsi"/>
                <w:sz w:val="22"/>
                <w:szCs w:val="22"/>
              </w:rPr>
              <w:t>51</w:t>
            </w:r>
          </w:p>
        </w:tc>
        <w:tc>
          <w:tcPr>
            <w:tcW w:w="884"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91.</w:t>
            </w:r>
            <w:r w:rsidR="00F0076B">
              <w:rPr>
                <w:rFonts w:asciiTheme="minorHAnsi" w:hAnsiTheme="minorHAnsi"/>
                <w:sz w:val="22"/>
                <w:szCs w:val="22"/>
              </w:rPr>
              <w:t>3</w:t>
            </w:r>
            <w:r w:rsidRPr="00A126E3">
              <w:rPr>
                <w:rFonts w:asciiTheme="minorHAnsi" w:hAnsiTheme="minorHAnsi"/>
                <w:sz w:val="22"/>
                <w:szCs w:val="22"/>
              </w:rPr>
              <w:t>%</w:t>
            </w:r>
          </w:p>
        </w:tc>
        <w:tc>
          <w:tcPr>
            <w:tcW w:w="883"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94.0%</w:t>
            </w:r>
          </w:p>
        </w:tc>
        <w:tc>
          <w:tcPr>
            <w:tcW w:w="722" w:type="pct"/>
            <w:vAlign w:val="center"/>
          </w:tcPr>
          <w:p w:rsidR="00072449" w:rsidRPr="00A126E3" w:rsidRDefault="00072449" w:rsidP="00542401">
            <w:pPr>
              <w:spacing w:line="240" w:lineRule="auto"/>
              <w:jc w:val="center"/>
              <w:rPr>
                <w:rFonts w:asciiTheme="minorHAnsi" w:hAnsiTheme="minorHAnsi"/>
                <w:sz w:val="22"/>
                <w:szCs w:val="22"/>
              </w:rPr>
            </w:pPr>
            <w:r w:rsidRPr="00A126E3">
              <w:rPr>
                <w:rFonts w:asciiTheme="minorHAnsi" w:hAnsiTheme="minorHAnsi"/>
                <w:sz w:val="22"/>
                <w:szCs w:val="22"/>
              </w:rPr>
              <w:t>.07</w:t>
            </w:r>
          </w:p>
        </w:tc>
      </w:tr>
      <w:tr w:rsidR="00072449" w:rsidRPr="00415291" w:rsidTr="00072449">
        <w:trPr>
          <w:trHeight w:hRule="exact" w:val="340"/>
          <w:tblHeader/>
        </w:trPr>
        <w:tc>
          <w:tcPr>
            <w:tcW w:w="1899" w:type="pct"/>
            <w:tcMar>
              <w:left w:w="198" w:type="dxa"/>
            </w:tcMar>
            <w:vAlign w:val="center"/>
          </w:tcPr>
          <w:p w:rsidR="00072449" w:rsidRPr="00A126E3" w:rsidRDefault="00072449" w:rsidP="00072449">
            <w:pPr>
              <w:spacing w:line="240" w:lineRule="auto"/>
              <w:ind w:left="142"/>
              <w:rPr>
                <w:rFonts w:asciiTheme="minorHAnsi" w:hAnsiTheme="minorHAnsi"/>
                <w:sz w:val="22"/>
                <w:szCs w:val="22"/>
              </w:rPr>
            </w:pPr>
            <w:r w:rsidRPr="00A126E3">
              <w:rPr>
                <w:rFonts w:asciiTheme="minorHAnsi" w:hAnsiTheme="minorHAnsi"/>
                <w:sz w:val="22"/>
                <w:szCs w:val="22"/>
              </w:rPr>
              <w:t>Mental health service</w:t>
            </w:r>
            <w:r w:rsidR="00E95023" w:rsidRPr="00E95023">
              <w:rPr>
                <w:rFonts w:asciiTheme="minorHAnsi" w:hAnsiTheme="minorHAnsi"/>
                <w:sz w:val="22"/>
                <w:szCs w:val="22"/>
                <w:vertAlign w:val="superscript"/>
              </w:rPr>
              <w:t>1</w:t>
            </w:r>
          </w:p>
        </w:tc>
        <w:tc>
          <w:tcPr>
            <w:tcW w:w="612" w:type="pct"/>
            <w:vAlign w:val="center"/>
          </w:tcPr>
          <w:p w:rsidR="00072449" w:rsidRPr="00A126E3" w:rsidRDefault="00544143" w:rsidP="00544143">
            <w:pPr>
              <w:spacing w:line="240" w:lineRule="auto"/>
              <w:jc w:val="center"/>
              <w:rPr>
                <w:rFonts w:asciiTheme="minorHAnsi" w:hAnsiTheme="minorHAnsi"/>
                <w:sz w:val="22"/>
                <w:szCs w:val="22"/>
              </w:rPr>
            </w:pPr>
            <w:r w:rsidRPr="00A126E3">
              <w:rPr>
                <w:rFonts w:asciiTheme="minorHAnsi" w:hAnsiTheme="minorHAnsi"/>
                <w:sz w:val="22"/>
                <w:szCs w:val="22"/>
              </w:rPr>
              <w:t>5</w:t>
            </w:r>
            <w:r>
              <w:rPr>
                <w:rFonts w:asciiTheme="minorHAnsi" w:hAnsiTheme="minorHAnsi"/>
                <w:sz w:val="22"/>
                <w:szCs w:val="22"/>
              </w:rPr>
              <w:t>50</w:t>
            </w:r>
          </w:p>
        </w:tc>
        <w:tc>
          <w:tcPr>
            <w:tcW w:w="884"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39.</w:t>
            </w:r>
            <w:r w:rsidR="00544143">
              <w:rPr>
                <w:rFonts w:asciiTheme="minorHAnsi" w:hAnsiTheme="minorHAnsi"/>
                <w:sz w:val="22"/>
                <w:szCs w:val="22"/>
              </w:rPr>
              <w:t>1</w:t>
            </w:r>
            <w:r w:rsidRPr="00A126E3">
              <w:rPr>
                <w:rFonts w:asciiTheme="minorHAnsi" w:hAnsiTheme="minorHAnsi"/>
                <w:sz w:val="22"/>
                <w:szCs w:val="22"/>
              </w:rPr>
              <w:t>%</w:t>
            </w:r>
          </w:p>
        </w:tc>
        <w:tc>
          <w:tcPr>
            <w:tcW w:w="883"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3</w:t>
            </w:r>
            <w:r w:rsidR="00544143">
              <w:rPr>
                <w:rFonts w:asciiTheme="minorHAnsi" w:hAnsiTheme="minorHAnsi"/>
                <w:sz w:val="22"/>
                <w:szCs w:val="22"/>
              </w:rPr>
              <w:t>5.3</w:t>
            </w:r>
            <w:r w:rsidRPr="00A126E3">
              <w:rPr>
                <w:rFonts w:asciiTheme="minorHAnsi" w:hAnsiTheme="minorHAnsi"/>
                <w:sz w:val="22"/>
                <w:szCs w:val="22"/>
              </w:rPr>
              <w:t>%</w:t>
            </w:r>
          </w:p>
        </w:tc>
        <w:tc>
          <w:tcPr>
            <w:tcW w:w="722" w:type="pct"/>
            <w:vAlign w:val="center"/>
          </w:tcPr>
          <w:p w:rsidR="00072449" w:rsidRPr="00A126E3" w:rsidRDefault="00072449" w:rsidP="00544143">
            <w:pPr>
              <w:spacing w:line="240" w:lineRule="auto"/>
              <w:jc w:val="center"/>
              <w:rPr>
                <w:rFonts w:asciiTheme="minorHAnsi" w:hAnsiTheme="minorHAnsi"/>
                <w:sz w:val="22"/>
                <w:szCs w:val="22"/>
              </w:rPr>
            </w:pPr>
            <w:r w:rsidRPr="00A126E3">
              <w:rPr>
                <w:rFonts w:asciiTheme="minorHAnsi" w:hAnsiTheme="minorHAnsi"/>
                <w:sz w:val="22"/>
                <w:szCs w:val="22"/>
              </w:rPr>
              <w:t>.</w:t>
            </w:r>
            <w:r w:rsidR="00544143">
              <w:rPr>
                <w:rFonts w:asciiTheme="minorHAnsi" w:hAnsiTheme="minorHAnsi"/>
                <w:sz w:val="22"/>
                <w:szCs w:val="22"/>
              </w:rPr>
              <w:t>13</w:t>
            </w:r>
          </w:p>
        </w:tc>
      </w:tr>
      <w:tr w:rsidR="00072449" w:rsidRPr="00415291" w:rsidTr="00072449">
        <w:trPr>
          <w:trHeight w:hRule="exact" w:val="340"/>
          <w:tblHeader/>
        </w:trPr>
        <w:tc>
          <w:tcPr>
            <w:tcW w:w="1899" w:type="pct"/>
            <w:tcMar>
              <w:left w:w="198" w:type="dxa"/>
            </w:tcMar>
            <w:vAlign w:val="center"/>
          </w:tcPr>
          <w:p w:rsidR="00072449" w:rsidRPr="00A126E3" w:rsidRDefault="00072449" w:rsidP="00072449">
            <w:pPr>
              <w:spacing w:line="240" w:lineRule="auto"/>
              <w:ind w:left="142"/>
              <w:rPr>
                <w:rFonts w:asciiTheme="minorHAnsi" w:hAnsiTheme="minorHAnsi"/>
                <w:sz w:val="22"/>
                <w:szCs w:val="22"/>
              </w:rPr>
            </w:pPr>
            <w:r w:rsidRPr="00A126E3">
              <w:rPr>
                <w:rFonts w:asciiTheme="minorHAnsi" w:hAnsiTheme="minorHAnsi"/>
                <w:sz w:val="22"/>
                <w:szCs w:val="22"/>
              </w:rPr>
              <w:t>Legal aid</w:t>
            </w:r>
          </w:p>
        </w:tc>
        <w:tc>
          <w:tcPr>
            <w:tcW w:w="612" w:type="pct"/>
            <w:vAlign w:val="center"/>
          </w:tcPr>
          <w:p w:rsidR="00072449" w:rsidRPr="00A126E3" w:rsidRDefault="00544143" w:rsidP="00544143">
            <w:pPr>
              <w:spacing w:line="240" w:lineRule="auto"/>
              <w:jc w:val="center"/>
              <w:rPr>
                <w:rFonts w:asciiTheme="minorHAnsi" w:hAnsiTheme="minorHAnsi"/>
                <w:sz w:val="22"/>
                <w:szCs w:val="22"/>
              </w:rPr>
            </w:pPr>
            <w:r w:rsidRPr="00A126E3">
              <w:rPr>
                <w:rFonts w:asciiTheme="minorHAnsi" w:hAnsiTheme="minorHAnsi"/>
                <w:sz w:val="22"/>
                <w:szCs w:val="22"/>
              </w:rPr>
              <w:t>5</w:t>
            </w:r>
            <w:r>
              <w:rPr>
                <w:rFonts w:asciiTheme="minorHAnsi" w:hAnsiTheme="minorHAnsi"/>
                <w:sz w:val="22"/>
                <w:szCs w:val="22"/>
              </w:rPr>
              <w:t>50</w:t>
            </w:r>
          </w:p>
        </w:tc>
        <w:tc>
          <w:tcPr>
            <w:tcW w:w="884"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25.</w:t>
            </w:r>
            <w:r w:rsidR="00544143">
              <w:rPr>
                <w:rFonts w:asciiTheme="minorHAnsi" w:hAnsiTheme="minorHAnsi"/>
                <w:sz w:val="22"/>
                <w:szCs w:val="22"/>
              </w:rPr>
              <w:t>8</w:t>
            </w:r>
            <w:r w:rsidRPr="00A126E3">
              <w:rPr>
                <w:rFonts w:asciiTheme="minorHAnsi" w:hAnsiTheme="minorHAnsi"/>
                <w:sz w:val="22"/>
                <w:szCs w:val="22"/>
              </w:rPr>
              <w:t>%</w:t>
            </w:r>
          </w:p>
        </w:tc>
        <w:tc>
          <w:tcPr>
            <w:tcW w:w="883"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20.4%</w:t>
            </w:r>
          </w:p>
        </w:tc>
        <w:tc>
          <w:tcPr>
            <w:tcW w:w="722" w:type="pct"/>
            <w:vAlign w:val="center"/>
          </w:tcPr>
          <w:p w:rsidR="00072449" w:rsidRPr="00A126E3" w:rsidRDefault="00542401" w:rsidP="00542401">
            <w:pPr>
              <w:spacing w:line="240" w:lineRule="auto"/>
              <w:jc w:val="center"/>
              <w:rPr>
                <w:rFonts w:asciiTheme="minorHAnsi" w:hAnsiTheme="minorHAnsi"/>
                <w:sz w:val="22"/>
                <w:szCs w:val="22"/>
              </w:rPr>
            </w:pPr>
            <w:r>
              <w:rPr>
                <w:rFonts w:asciiTheme="minorHAnsi" w:hAnsiTheme="minorHAnsi"/>
                <w:sz w:val="22"/>
                <w:szCs w:val="22"/>
              </w:rPr>
              <w:t xml:space="preserve">&lt; </w:t>
            </w:r>
            <w:r w:rsidR="00072449" w:rsidRPr="00A126E3">
              <w:rPr>
                <w:rFonts w:asciiTheme="minorHAnsi" w:hAnsiTheme="minorHAnsi"/>
                <w:sz w:val="22"/>
                <w:szCs w:val="22"/>
              </w:rPr>
              <w:t>.0</w:t>
            </w:r>
            <w:r>
              <w:rPr>
                <w:rFonts w:asciiTheme="minorHAnsi" w:hAnsiTheme="minorHAnsi"/>
                <w:sz w:val="22"/>
                <w:szCs w:val="22"/>
              </w:rPr>
              <w:t>5</w:t>
            </w:r>
          </w:p>
        </w:tc>
      </w:tr>
      <w:tr w:rsidR="00072449" w:rsidRPr="00415291" w:rsidTr="00072449">
        <w:trPr>
          <w:trHeight w:hRule="exact" w:val="340"/>
          <w:tblHeader/>
        </w:trPr>
        <w:tc>
          <w:tcPr>
            <w:tcW w:w="1899" w:type="pct"/>
            <w:tcMar>
              <w:left w:w="198" w:type="dxa"/>
            </w:tcMar>
            <w:vAlign w:val="center"/>
          </w:tcPr>
          <w:p w:rsidR="00072449" w:rsidRPr="00A126E3" w:rsidRDefault="00072449" w:rsidP="00072449">
            <w:pPr>
              <w:spacing w:line="240" w:lineRule="auto"/>
              <w:ind w:left="142"/>
              <w:rPr>
                <w:rFonts w:asciiTheme="minorHAnsi" w:hAnsiTheme="minorHAnsi"/>
                <w:sz w:val="22"/>
                <w:szCs w:val="22"/>
              </w:rPr>
            </w:pPr>
            <w:r w:rsidRPr="00A126E3">
              <w:rPr>
                <w:rFonts w:asciiTheme="minorHAnsi" w:hAnsiTheme="minorHAnsi"/>
                <w:sz w:val="22"/>
                <w:szCs w:val="22"/>
              </w:rPr>
              <w:t>Financial counselling</w:t>
            </w:r>
          </w:p>
        </w:tc>
        <w:tc>
          <w:tcPr>
            <w:tcW w:w="612"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5</w:t>
            </w:r>
            <w:r w:rsidR="00544143">
              <w:rPr>
                <w:rFonts w:asciiTheme="minorHAnsi" w:hAnsiTheme="minorHAnsi"/>
                <w:sz w:val="22"/>
                <w:szCs w:val="22"/>
              </w:rPr>
              <w:t>50</w:t>
            </w:r>
          </w:p>
        </w:tc>
        <w:tc>
          <w:tcPr>
            <w:tcW w:w="884"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11.5%</w:t>
            </w:r>
          </w:p>
        </w:tc>
        <w:tc>
          <w:tcPr>
            <w:tcW w:w="883"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12.4%</w:t>
            </w:r>
          </w:p>
        </w:tc>
        <w:tc>
          <w:tcPr>
            <w:tcW w:w="722" w:type="pct"/>
            <w:vAlign w:val="center"/>
          </w:tcPr>
          <w:p w:rsidR="00072449" w:rsidRPr="00A126E3" w:rsidRDefault="00072449" w:rsidP="00542401">
            <w:pPr>
              <w:spacing w:line="240" w:lineRule="auto"/>
              <w:jc w:val="center"/>
              <w:rPr>
                <w:rFonts w:asciiTheme="minorHAnsi" w:hAnsiTheme="minorHAnsi"/>
                <w:sz w:val="22"/>
                <w:szCs w:val="22"/>
              </w:rPr>
            </w:pPr>
            <w:r w:rsidRPr="00A126E3">
              <w:rPr>
                <w:rFonts w:asciiTheme="minorHAnsi" w:hAnsiTheme="minorHAnsi"/>
                <w:sz w:val="22"/>
                <w:szCs w:val="22"/>
              </w:rPr>
              <w:t>.66</w:t>
            </w:r>
          </w:p>
        </w:tc>
      </w:tr>
      <w:tr w:rsidR="00072449" w:rsidRPr="00415291" w:rsidTr="00072449">
        <w:trPr>
          <w:trHeight w:hRule="exact" w:val="340"/>
          <w:tblHeader/>
        </w:trPr>
        <w:tc>
          <w:tcPr>
            <w:tcW w:w="1899" w:type="pct"/>
            <w:tcMar>
              <w:left w:w="198" w:type="dxa"/>
            </w:tcMar>
            <w:vAlign w:val="center"/>
          </w:tcPr>
          <w:p w:rsidR="00072449" w:rsidRPr="00A126E3" w:rsidRDefault="00072449" w:rsidP="00072449">
            <w:pPr>
              <w:spacing w:line="240" w:lineRule="auto"/>
              <w:ind w:left="142"/>
              <w:rPr>
                <w:rFonts w:asciiTheme="minorHAnsi" w:hAnsiTheme="minorHAnsi"/>
                <w:sz w:val="22"/>
                <w:szCs w:val="22"/>
              </w:rPr>
            </w:pPr>
            <w:r w:rsidRPr="00A126E3">
              <w:rPr>
                <w:rFonts w:asciiTheme="minorHAnsi" w:hAnsiTheme="minorHAnsi"/>
                <w:sz w:val="22"/>
                <w:szCs w:val="22"/>
              </w:rPr>
              <w:t>Employment service</w:t>
            </w:r>
          </w:p>
        </w:tc>
        <w:tc>
          <w:tcPr>
            <w:tcW w:w="612" w:type="pct"/>
            <w:vAlign w:val="center"/>
          </w:tcPr>
          <w:p w:rsidR="00072449" w:rsidRPr="00A126E3" w:rsidRDefault="00544143" w:rsidP="00544143">
            <w:pPr>
              <w:spacing w:line="240" w:lineRule="auto"/>
              <w:jc w:val="center"/>
              <w:rPr>
                <w:rFonts w:asciiTheme="minorHAnsi" w:hAnsiTheme="minorHAnsi"/>
                <w:sz w:val="22"/>
                <w:szCs w:val="22"/>
              </w:rPr>
            </w:pPr>
            <w:r w:rsidRPr="00A126E3">
              <w:rPr>
                <w:rFonts w:asciiTheme="minorHAnsi" w:hAnsiTheme="minorHAnsi"/>
                <w:sz w:val="22"/>
                <w:szCs w:val="22"/>
              </w:rPr>
              <w:t>5</w:t>
            </w:r>
            <w:r>
              <w:rPr>
                <w:rFonts w:asciiTheme="minorHAnsi" w:hAnsiTheme="minorHAnsi"/>
                <w:sz w:val="22"/>
                <w:szCs w:val="22"/>
              </w:rPr>
              <w:t>50</w:t>
            </w:r>
          </w:p>
        </w:tc>
        <w:tc>
          <w:tcPr>
            <w:tcW w:w="884" w:type="pct"/>
            <w:vAlign w:val="center"/>
          </w:tcPr>
          <w:p w:rsidR="00072449" w:rsidRPr="00A126E3" w:rsidRDefault="00072449" w:rsidP="00544143">
            <w:pPr>
              <w:spacing w:line="240" w:lineRule="auto"/>
              <w:jc w:val="center"/>
              <w:rPr>
                <w:rFonts w:asciiTheme="minorHAnsi" w:hAnsiTheme="minorHAnsi"/>
                <w:sz w:val="22"/>
                <w:szCs w:val="22"/>
              </w:rPr>
            </w:pPr>
            <w:r w:rsidRPr="00A126E3">
              <w:rPr>
                <w:rFonts w:asciiTheme="minorHAnsi" w:hAnsiTheme="minorHAnsi"/>
                <w:sz w:val="22"/>
                <w:szCs w:val="22"/>
              </w:rPr>
              <w:t>40.</w:t>
            </w:r>
            <w:r w:rsidR="00544143">
              <w:rPr>
                <w:rFonts w:asciiTheme="minorHAnsi" w:hAnsiTheme="minorHAnsi"/>
                <w:sz w:val="22"/>
                <w:szCs w:val="22"/>
              </w:rPr>
              <w:t>5</w:t>
            </w:r>
            <w:r w:rsidRPr="00A126E3">
              <w:rPr>
                <w:rFonts w:asciiTheme="minorHAnsi" w:hAnsiTheme="minorHAnsi"/>
                <w:sz w:val="22"/>
                <w:szCs w:val="22"/>
              </w:rPr>
              <w:t>%</w:t>
            </w:r>
          </w:p>
        </w:tc>
        <w:tc>
          <w:tcPr>
            <w:tcW w:w="883" w:type="pct"/>
            <w:vAlign w:val="center"/>
          </w:tcPr>
          <w:p w:rsidR="00072449" w:rsidRPr="00A126E3" w:rsidRDefault="00072449" w:rsidP="00544143">
            <w:pPr>
              <w:spacing w:line="240" w:lineRule="auto"/>
              <w:jc w:val="center"/>
              <w:rPr>
                <w:rFonts w:asciiTheme="minorHAnsi" w:hAnsiTheme="minorHAnsi"/>
                <w:sz w:val="22"/>
                <w:szCs w:val="22"/>
              </w:rPr>
            </w:pPr>
            <w:r w:rsidRPr="00A126E3">
              <w:rPr>
                <w:rFonts w:asciiTheme="minorHAnsi" w:hAnsiTheme="minorHAnsi"/>
                <w:sz w:val="22"/>
                <w:szCs w:val="22"/>
              </w:rPr>
              <w:t>40.</w:t>
            </w:r>
            <w:r w:rsidR="00544143">
              <w:rPr>
                <w:rFonts w:asciiTheme="minorHAnsi" w:hAnsiTheme="minorHAnsi"/>
                <w:sz w:val="22"/>
                <w:szCs w:val="22"/>
              </w:rPr>
              <w:t>0</w:t>
            </w:r>
            <w:r w:rsidRPr="00A126E3">
              <w:rPr>
                <w:rFonts w:asciiTheme="minorHAnsi" w:hAnsiTheme="minorHAnsi"/>
                <w:sz w:val="22"/>
                <w:szCs w:val="22"/>
              </w:rPr>
              <w:t>%</w:t>
            </w:r>
          </w:p>
        </w:tc>
        <w:tc>
          <w:tcPr>
            <w:tcW w:w="722" w:type="pct"/>
            <w:vAlign w:val="center"/>
          </w:tcPr>
          <w:p w:rsidR="00072449" w:rsidRPr="00A126E3" w:rsidRDefault="00072449" w:rsidP="00544143">
            <w:pPr>
              <w:spacing w:line="240" w:lineRule="auto"/>
              <w:jc w:val="center"/>
              <w:rPr>
                <w:rFonts w:asciiTheme="minorHAnsi" w:hAnsiTheme="minorHAnsi"/>
                <w:sz w:val="22"/>
                <w:szCs w:val="22"/>
              </w:rPr>
            </w:pPr>
            <w:r w:rsidRPr="00A126E3">
              <w:rPr>
                <w:rFonts w:asciiTheme="minorHAnsi" w:hAnsiTheme="minorHAnsi"/>
                <w:sz w:val="22"/>
                <w:szCs w:val="22"/>
              </w:rPr>
              <w:t>.</w:t>
            </w:r>
            <w:r w:rsidR="00544143">
              <w:rPr>
                <w:rFonts w:asciiTheme="minorHAnsi" w:hAnsiTheme="minorHAnsi"/>
                <w:sz w:val="22"/>
                <w:szCs w:val="22"/>
              </w:rPr>
              <w:t>88</w:t>
            </w:r>
          </w:p>
        </w:tc>
      </w:tr>
      <w:tr w:rsidR="00072449" w:rsidRPr="00415291" w:rsidTr="00072449">
        <w:trPr>
          <w:trHeight w:hRule="exact" w:val="340"/>
          <w:tblHeader/>
        </w:trPr>
        <w:tc>
          <w:tcPr>
            <w:tcW w:w="1899" w:type="pct"/>
            <w:tcMar>
              <w:left w:w="198" w:type="dxa"/>
            </w:tcMar>
            <w:vAlign w:val="center"/>
          </w:tcPr>
          <w:p w:rsidR="00072449" w:rsidRPr="00A126E3" w:rsidRDefault="00072449" w:rsidP="00072449">
            <w:pPr>
              <w:spacing w:line="240" w:lineRule="auto"/>
              <w:ind w:left="142"/>
              <w:rPr>
                <w:rFonts w:asciiTheme="minorHAnsi" w:hAnsiTheme="minorHAnsi"/>
                <w:sz w:val="22"/>
                <w:szCs w:val="22"/>
              </w:rPr>
            </w:pPr>
            <w:r w:rsidRPr="00A126E3">
              <w:rPr>
                <w:rFonts w:asciiTheme="minorHAnsi" w:hAnsiTheme="minorHAnsi"/>
                <w:sz w:val="22"/>
                <w:szCs w:val="22"/>
              </w:rPr>
              <w:t>Family/relationship counselling</w:t>
            </w:r>
          </w:p>
        </w:tc>
        <w:tc>
          <w:tcPr>
            <w:tcW w:w="612"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5</w:t>
            </w:r>
            <w:r w:rsidR="00C77464">
              <w:rPr>
                <w:rFonts w:asciiTheme="minorHAnsi" w:hAnsiTheme="minorHAnsi"/>
                <w:sz w:val="22"/>
                <w:szCs w:val="22"/>
              </w:rPr>
              <w:t>50</w:t>
            </w:r>
          </w:p>
        </w:tc>
        <w:tc>
          <w:tcPr>
            <w:tcW w:w="884"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6.4%</w:t>
            </w:r>
          </w:p>
        </w:tc>
        <w:tc>
          <w:tcPr>
            <w:tcW w:w="883" w:type="pct"/>
            <w:vAlign w:val="center"/>
          </w:tcPr>
          <w:p w:rsidR="00072449" w:rsidRPr="00A126E3" w:rsidRDefault="00072449" w:rsidP="00C77464">
            <w:pPr>
              <w:spacing w:line="240" w:lineRule="auto"/>
              <w:jc w:val="center"/>
              <w:rPr>
                <w:rFonts w:asciiTheme="minorHAnsi" w:hAnsiTheme="minorHAnsi"/>
                <w:sz w:val="22"/>
                <w:szCs w:val="22"/>
              </w:rPr>
            </w:pPr>
            <w:r w:rsidRPr="00A126E3">
              <w:rPr>
                <w:rFonts w:asciiTheme="minorHAnsi" w:hAnsiTheme="minorHAnsi"/>
                <w:sz w:val="22"/>
                <w:szCs w:val="22"/>
              </w:rPr>
              <w:t>7.</w:t>
            </w:r>
            <w:r w:rsidR="00C77464">
              <w:rPr>
                <w:rFonts w:asciiTheme="minorHAnsi" w:hAnsiTheme="minorHAnsi"/>
                <w:sz w:val="22"/>
                <w:szCs w:val="22"/>
              </w:rPr>
              <w:t>6</w:t>
            </w:r>
            <w:r w:rsidRPr="00A126E3">
              <w:rPr>
                <w:rFonts w:asciiTheme="minorHAnsi" w:hAnsiTheme="minorHAnsi"/>
                <w:sz w:val="22"/>
                <w:szCs w:val="22"/>
              </w:rPr>
              <w:t>%</w:t>
            </w:r>
          </w:p>
        </w:tc>
        <w:tc>
          <w:tcPr>
            <w:tcW w:w="722" w:type="pct"/>
            <w:vAlign w:val="center"/>
          </w:tcPr>
          <w:p w:rsidR="00072449" w:rsidRPr="00A126E3" w:rsidRDefault="00072449" w:rsidP="00542401">
            <w:pPr>
              <w:spacing w:line="240" w:lineRule="auto"/>
              <w:jc w:val="center"/>
              <w:rPr>
                <w:rFonts w:asciiTheme="minorHAnsi" w:hAnsiTheme="minorHAnsi"/>
                <w:sz w:val="22"/>
                <w:szCs w:val="22"/>
              </w:rPr>
            </w:pPr>
            <w:r w:rsidRPr="00A126E3">
              <w:rPr>
                <w:rFonts w:asciiTheme="minorHAnsi" w:hAnsiTheme="minorHAnsi"/>
                <w:sz w:val="22"/>
                <w:szCs w:val="22"/>
              </w:rPr>
              <w:t>.44</w:t>
            </w:r>
          </w:p>
        </w:tc>
      </w:tr>
      <w:tr w:rsidR="00072449" w:rsidRPr="00415291" w:rsidTr="00072449">
        <w:trPr>
          <w:trHeight w:hRule="exact" w:val="340"/>
          <w:tblHeader/>
        </w:trPr>
        <w:tc>
          <w:tcPr>
            <w:tcW w:w="1899" w:type="pct"/>
            <w:tcMar>
              <w:left w:w="198" w:type="dxa"/>
            </w:tcMar>
            <w:vAlign w:val="center"/>
          </w:tcPr>
          <w:p w:rsidR="00072449" w:rsidRPr="00A126E3" w:rsidRDefault="00072449" w:rsidP="00072449">
            <w:pPr>
              <w:spacing w:line="240" w:lineRule="auto"/>
              <w:ind w:left="142"/>
              <w:rPr>
                <w:rFonts w:asciiTheme="minorHAnsi" w:hAnsiTheme="minorHAnsi"/>
                <w:sz w:val="22"/>
                <w:szCs w:val="22"/>
              </w:rPr>
            </w:pPr>
            <w:r w:rsidRPr="00A126E3">
              <w:rPr>
                <w:rFonts w:asciiTheme="minorHAnsi" w:hAnsiTheme="minorHAnsi"/>
                <w:sz w:val="22"/>
                <w:szCs w:val="22"/>
              </w:rPr>
              <w:t>Housing/homelessness service</w:t>
            </w:r>
          </w:p>
        </w:tc>
        <w:tc>
          <w:tcPr>
            <w:tcW w:w="612"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53</w:t>
            </w:r>
            <w:r w:rsidR="00C77464">
              <w:rPr>
                <w:rFonts w:asciiTheme="minorHAnsi" w:hAnsiTheme="minorHAnsi"/>
                <w:sz w:val="22"/>
                <w:szCs w:val="22"/>
              </w:rPr>
              <w:t>9</w:t>
            </w:r>
          </w:p>
        </w:tc>
        <w:tc>
          <w:tcPr>
            <w:tcW w:w="884"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20.4%</w:t>
            </w:r>
          </w:p>
        </w:tc>
        <w:tc>
          <w:tcPr>
            <w:tcW w:w="883"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21.0%</w:t>
            </w:r>
          </w:p>
        </w:tc>
        <w:tc>
          <w:tcPr>
            <w:tcW w:w="722"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.86</w:t>
            </w:r>
          </w:p>
        </w:tc>
      </w:tr>
      <w:tr w:rsidR="00072449" w:rsidRPr="00415291" w:rsidTr="00072449">
        <w:trPr>
          <w:trHeight w:hRule="exact" w:val="340"/>
          <w:tblHeader/>
        </w:trPr>
        <w:tc>
          <w:tcPr>
            <w:tcW w:w="1899" w:type="pct"/>
            <w:vAlign w:val="center"/>
          </w:tcPr>
          <w:p w:rsidR="00072449" w:rsidRPr="00A126E3" w:rsidRDefault="00072449" w:rsidP="00072449">
            <w:pPr>
              <w:spacing w:line="240" w:lineRule="auto"/>
              <w:ind w:left="142"/>
              <w:rPr>
                <w:rFonts w:asciiTheme="minorHAnsi" w:hAnsiTheme="minorHAnsi"/>
                <w:sz w:val="22"/>
                <w:szCs w:val="22"/>
              </w:rPr>
            </w:pPr>
            <w:r w:rsidRPr="00A126E3">
              <w:rPr>
                <w:rFonts w:asciiTheme="minorHAnsi" w:hAnsiTheme="minorHAnsi"/>
                <w:sz w:val="22"/>
                <w:szCs w:val="22"/>
              </w:rPr>
              <w:t>Any acute service use</w:t>
            </w:r>
          </w:p>
        </w:tc>
        <w:tc>
          <w:tcPr>
            <w:tcW w:w="612"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550</w:t>
            </w:r>
          </w:p>
        </w:tc>
        <w:tc>
          <w:tcPr>
            <w:tcW w:w="884" w:type="pct"/>
            <w:vAlign w:val="center"/>
          </w:tcPr>
          <w:p w:rsidR="00072449" w:rsidRPr="00A126E3" w:rsidRDefault="00072449" w:rsidP="00FD389B">
            <w:pPr>
              <w:spacing w:line="240" w:lineRule="auto"/>
              <w:jc w:val="center"/>
              <w:rPr>
                <w:rFonts w:asciiTheme="minorHAnsi" w:hAnsiTheme="minorHAnsi"/>
                <w:sz w:val="22"/>
                <w:szCs w:val="22"/>
              </w:rPr>
            </w:pPr>
            <w:r w:rsidRPr="00A126E3">
              <w:rPr>
                <w:rFonts w:asciiTheme="minorHAnsi" w:hAnsiTheme="minorHAnsi"/>
                <w:sz w:val="22"/>
                <w:szCs w:val="22"/>
              </w:rPr>
              <w:t>60.</w:t>
            </w:r>
            <w:r w:rsidR="00FD389B">
              <w:rPr>
                <w:rFonts w:asciiTheme="minorHAnsi" w:hAnsiTheme="minorHAnsi"/>
                <w:sz w:val="22"/>
                <w:szCs w:val="22"/>
              </w:rPr>
              <w:t>4</w:t>
            </w:r>
            <w:r w:rsidRPr="00A126E3">
              <w:rPr>
                <w:rFonts w:asciiTheme="minorHAnsi" w:hAnsiTheme="minorHAnsi"/>
                <w:sz w:val="22"/>
                <w:szCs w:val="22"/>
              </w:rPr>
              <w:t>%</w:t>
            </w:r>
          </w:p>
        </w:tc>
        <w:tc>
          <w:tcPr>
            <w:tcW w:w="883"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50.9%</w:t>
            </w:r>
          </w:p>
        </w:tc>
        <w:tc>
          <w:tcPr>
            <w:tcW w:w="722" w:type="pct"/>
            <w:vAlign w:val="center"/>
          </w:tcPr>
          <w:p w:rsidR="00072449" w:rsidRPr="00A126E3" w:rsidRDefault="00072449" w:rsidP="00542401">
            <w:pPr>
              <w:spacing w:line="240" w:lineRule="auto"/>
              <w:jc w:val="center"/>
              <w:rPr>
                <w:rFonts w:asciiTheme="minorHAnsi" w:hAnsiTheme="minorHAnsi"/>
                <w:sz w:val="22"/>
                <w:szCs w:val="22"/>
              </w:rPr>
            </w:pPr>
            <w:r w:rsidRPr="00A126E3">
              <w:rPr>
                <w:rFonts w:asciiTheme="minorHAnsi" w:hAnsiTheme="minorHAnsi"/>
                <w:sz w:val="22"/>
                <w:szCs w:val="22"/>
              </w:rPr>
              <w:t>&lt;</w:t>
            </w:r>
            <w:r w:rsidR="00542401">
              <w:rPr>
                <w:rFonts w:asciiTheme="minorHAnsi" w:hAnsiTheme="minorHAnsi"/>
                <w:sz w:val="22"/>
                <w:szCs w:val="22"/>
              </w:rPr>
              <w:t xml:space="preserve"> </w:t>
            </w:r>
            <w:r w:rsidRPr="00A126E3">
              <w:rPr>
                <w:rFonts w:asciiTheme="minorHAnsi" w:hAnsiTheme="minorHAnsi"/>
                <w:sz w:val="22"/>
                <w:szCs w:val="22"/>
              </w:rPr>
              <w:t>.001</w:t>
            </w:r>
          </w:p>
        </w:tc>
      </w:tr>
      <w:tr w:rsidR="00072449" w:rsidRPr="00415291" w:rsidTr="00072449">
        <w:trPr>
          <w:trHeight w:hRule="exact" w:val="340"/>
          <w:tblHeader/>
        </w:trPr>
        <w:tc>
          <w:tcPr>
            <w:tcW w:w="1899" w:type="pct"/>
            <w:tcMar>
              <w:left w:w="198" w:type="dxa"/>
            </w:tcMar>
            <w:vAlign w:val="center"/>
          </w:tcPr>
          <w:p w:rsidR="00072449" w:rsidRPr="00A126E3" w:rsidRDefault="00072449" w:rsidP="00072449">
            <w:pPr>
              <w:spacing w:line="240" w:lineRule="auto"/>
              <w:ind w:left="142"/>
              <w:rPr>
                <w:rFonts w:asciiTheme="minorHAnsi" w:hAnsiTheme="minorHAnsi"/>
                <w:sz w:val="22"/>
                <w:szCs w:val="22"/>
              </w:rPr>
            </w:pPr>
            <w:r w:rsidRPr="00A126E3">
              <w:rPr>
                <w:rFonts w:asciiTheme="minorHAnsi" w:hAnsiTheme="minorHAnsi"/>
                <w:sz w:val="22"/>
                <w:szCs w:val="22"/>
              </w:rPr>
              <w:t>Ambulance</w:t>
            </w:r>
          </w:p>
        </w:tc>
        <w:tc>
          <w:tcPr>
            <w:tcW w:w="612"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55</w:t>
            </w:r>
            <w:r w:rsidR="00FD389B">
              <w:rPr>
                <w:rFonts w:asciiTheme="minorHAnsi" w:hAnsiTheme="minorHAnsi"/>
                <w:sz w:val="22"/>
                <w:szCs w:val="22"/>
              </w:rPr>
              <w:t>1</w:t>
            </w:r>
          </w:p>
        </w:tc>
        <w:tc>
          <w:tcPr>
            <w:tcW w:w="884"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35.</w:t>
            </w:r>
            <w:r w:rsidR="00FD389B">
              <w:rPr>
                <w:rFonts w:asciiTheme="minorHAnsi" w:hAnsiTheme="minorHAnsi"/>
                <w:sz w:val="22"/>
                <w:szCs w:val="22"/>
              </w:rPr>
              <w:t>4</w:t>
            </w:r>
            <w:r w:rsidRPr="00A126E3">
              <w:rPr>
                <w:rFonts w:asciiTheme="minorHAnsi" w:hAnsiTheme="minorHAnsi"/>
                <w:sz w:val="22"/>
                <w:szCs w:val="22"/>
              </w:rPr>
              <w:t>%</w:t>
            </w:r>
          </w:p>
        </w:tc>
        <w:tc>
          <w:tcPr>
            <w:tcW w:w="883" w:type="pct"/>
            <w:vAlign w:val="center"/>
          </w:tcPr>
          <w:p w:rsidR="00072449" w:rsidRPr="00A126E3" w:rsidRDefault="00FD389B" w:rsidP="00072449">
            <w:pPr>
              <w:spacing w:line="240" w:lineRule="auto"/>
              <w:jc w:val="center"/>
              <w:rPr>
                <w:rFonts w:asciiTheme="minorHAnsi" w:hAnsiTheme="minorHAnsi"/>
                <w:sz w:val="22"/>
                <w:szCs w:val="22"/>
              </w:rPr>
            </w:pPr>
            <w:r>
              <w:rPr>
                <w:rFonts w:asciiTheme="minorHAnsi" w:hAnsiTheme="minorHAnsi"/>
                <w:sz w:val="22"/>
                <w:szCs w:val="22"/>
              </w:rPr>
              <w:t>29.9</w:t>
            </w:r>
            <w:r w:rsidR="00072449" w:rsidRPr="00A126E3">
              <w:rPr>
                <w:rFonts w:asciiTheme="minorHAnsi" w:hAnsiTheme="minorHAnsi"/>
                <w:sz w:val="22"/>
                <w:szCs w:val="22"/>
              </w:rPr>
              <w:t>%</w:t>
            </w:r>
          </w:p>
        </w:tc>
        <w:tc>
          <w:tcPr>
            <w:tcW w:w="722" w:type="pct"/>
            <w:vAlign w:val="center"/>
          </w:tcPr>
          <w:p w:rsidR="00072449" w:rsidRPr="00A126E3" w:rsidRDefault="00542401" w:rsidP="00542401">
            <w:pPr>
              <w:spacing w:line="240" w:lineRule="auto"/>
              <w:jc w:val="center"/>
              <w:rPr>
                <w:rFonts w:asciiTheme="minorHAnsi" w:hAnsiTheme="minorHAnsi"/>
                <w:sz w:val="22"/>
                <w:szCs w:val="22"/>
              </w:rPr>
            </w:pPr>
            <w:r>
              <w:rPr>
                <w:rFonts w:asciiTheme="minorHAnsi" w:hAnsiTheme="minorHAnsi"/>
                <w:sz w:val="22"/>
                <w:szCs w:val="22"/>
              </w:rPr>
              <w:t xml:space="preserve">&lt; </w:t>
            </w:r>
            <w:r w:rsidR="00072449" w:rsidRPr="00A126E3">
              <w:rPr>
                <w:rFonts w:asciiTheme="minorHAnsi" w:hAnsiTheme="minorHAnsi"/>
                <w:sz w:val="22"/>
                <w:szCs w:val="22"/>
              </w:rPr>
              <w:t>.0</w:t>
            </w:r>
            <w:r>
              <w:rPr>
                <w:rFonts w:asciiTheme="minorHAnsi" w:hAnsiTheme="minorHAnsi"/>
                <w:sz w:val="22"/>
                <w:szCs w:val="22"/>
              </w:rPr>
              <w:t>5</w:t>
            </w:r>
          </w:p>
        </w:tc>
      </w:tr>
      <w:tr w:rsidR="00072449" w:rsidRPr="00415291" w:rsidTr="00072449">
        <w:trPr>
          <w:trHeight w:hRule="exact" w:val="340"/>
          <w:tblHeader/>
        </w:trPr>
        <w:tc>
          <w:tcPr>
            <w:tcW w:w="1899" w:type="pct"/>
            <w:tcMar>
              <w:left w:w="198" w:type="dxa"/>
            </w:tcMar>
            <w:vAlign w:val="center"/>
          </w:tcPr>
          <w:p w:rsidR="00072449" w:rsidRPr="00A126E3" w:rsidRDefault="00072449" w:rsidP="00072449">
            <w:pPr>
              <w:spacing w:line="240" w:lineRule="auto"/>
              <w:ind w:left="142"/>
              <w:rPr>
                <w:rFonts w:asciiTheme="minorHAnsi" w:hAnsiTheme="minorHAnsi"/>
                <w:sz w:val="22"/>
                <w:szCs w:val="22"/>
              </w:rPr>
            </w:pPr>
            <w:r w:rsidRPr="00A126E3">
              <w:rPr>
                <w:rFonts w:asciiTheme="minorHAnsi" w:hAnsiTheme="minorHAnsi"/>
                <w:sz w:val="22"/>
                <w:szCs w:val="22"/>
              </w:rPr>
              <w:t>Hospital emergency department</w:t>
            </w:r>
          </w:p>
        </w:tc>
        <w:tc>
          <w:tcPr>
            <w:tcW w:w="612"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5</w:t>
            </w:r>
            <w:r w:rsidR="00FD389B">
              <w:rPr>
                <w:rFonts w:asciiTheme="minorHAnsi" w:hAnsiTheme="minorHAnsi"/>
                <w:sz w:val="22"/>
                <w:szCs w:val="22"/>
              </w:rPr>
              <w:t>50</w:t>
            </w:r>
          </w:p>
        </w:tc>
        <w:tc>
          <w:tcPr>
            <w:tcW w:w="884"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53.</w:t>
            </w:r>
            <w:r w:rsidR="00FD389B">
              <w:rPr>
                <w:rFonts w:asciiTheme="minorHAnsi" w:hAnsiTheme="minorHAnsi"/>
                <w:sz w:val="22"/>
                <w:szCs w:val="22"/>
              </w:rPr>
              <w:t>1</w:t>
            </w:r>
            <w:r w:rsidRPr="00A126E3">
              <w:rPr>
                <w:rFonts w:asciiTheme="minorHAnsi" w:hAnsiTheme="minorHAnsi"/>
                <w:sz w:val="22"/>
                <w:szCs w:val="22"/>
              </w:rPr>
              <w:t>%</w:t>
            </w:r>
          </w:p>
        </w:tc>
        <w:tc>
          <w:tcPr>
            <w:tcW w:w="883"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43.</w:t>
            </w:r>
            <w:r w:rsidR="00FD389B">
              <w:rPr>
                <w:rFonts w:asciiTheme="minorHAnsi" w:hAnsiTheme="minorHAnsi"/>
                <w:sz w:val="22"/>
                <w:szCs w:val="22"/>
              </w:rPr>
              <w:t>6</w:t>
            </w:r>
            <w:r w:rsidRPr="00A126E3">
              <w:rPr>
                <w:rFonts w:asciiTheme="minorHAnsi" w:hAnsiTheme="minorHAnsi"/>
                <w:sz w:val="22"/>
                <w:szCs w:val="22"/>
              </w:rPr>
              <w:t>%</w:t>
            </w:r>
          </w:p>
        </w:tc>
        <w:tc>
          <w:tcPr>
            <w:tcW w:w="722" w:type="pct"/>
            <w:vAlign w:val="center"/>
          </w:tcPr>
          <w:p w:rsidR="00072449" w:rsidRPr="00A126E3" w:rsidRDefault="00072449" w:rsidP="00542401">
            <w:pPr>
              <w:spacing w:line="240" w:lineRule="auto"/>
              <w:jc w:val="center"/>
              <w:rPr>
                <w:rFonts w:asciiTheme="minorHAnsi" w:hAnsiTheme="minorHAnsi"/>
                <w:sz w:val="22"/>
                <w:szCs w:val="22"/>
              </w:rPr>
            </w:pPr>
            <w:r w:rsidRPr="00A126E3">
              <w:rPr>
                <w:rFonts w:asciiTheme="minorHAnsi" w:hAnsiTheme="minorHAnsi"/>
                <w:sz w:val="22"/>
                <w:szCs w:val="22"/>
              </w:rPr>
              <w:t>&lt;</w:t>
            </w:r>
            <w:r w:rsidR="00542401">
              <w:rPr>
                <w:rFonts w:asciiTheme="minorHAnsi" w:hAnsiTheme="minorHAnsi"/>
                <w:sz w:val="22"/>
                <w:szCs w:val="22"/>
              </w:rPr>
              <w:t xml:space="preserve"> </w:t>
            </w:r>
            <w:r w:rsidRPr="00A126E3">
              <w:rPr>
                <w:rFonts w:asciiTheme="minorHAnsi" w:hAnsiTheme="minorHAnsi"/>
                <w:sz w:val="22"/>
                <w:szCs w:val="22"/>
              </w:rPr>
              <w:t>.001</w:t>
            </w:r>
          </w:p>
        </w:tc>
      </w:tr>
      <w:tr w:rsidR="00072449" w:rsidRPr="00415291" w:rsidTr="00072449">
        <w:trPr>
          <w:trHeight w:hRule="exact" w:val="340"/>
          <w:tblHeader/>
        </w:trPr>
        <w:tc>
          <w:tcPr>
            <w:tcW w:w="1899" w:type="pct"/>
            <w:tcMar>
              <w:left w:w="198" w:type="dxa"/>
            </w:tcMar>
            <w:vAlign w:val="center"/>
          </w:tcPr>
          <w:p w:rsidR="00072449" w:rsidRPr="00A126E3" w:rsidRDefault="00072449" w:rsidP="00072449">
            <w:pPr>
              <w:spacing w:line="240" w:lineRule="auto"/>
              <w:ind w:left="142"/>
              <w:rPr>
                <w:rFonts w:asciiTheme="minorHAnsi" w:hAnsiTheme="minorHAnsi"/>
                <w:sz w:val="22"/>
                <w:szCs w:val="22"/>
              </w:rPr>
            </w:pPr>
            <w:r w:rsidRPr="00A126E3">
              <w:rPr>
                <w:rFonts w:asciiTheme="minorHAnsi" w:hAnsiTheme="minorHAnsi"/>
                <w:sz w:val="22"/>
                <w:szCs w:val="22"/>
              </w:rPr>
              <w:t>Hospital inpatient services</w:t>
            </w:r>
          </w:p>
        </w:tc>
        <w:tc>
          <w:tcPr>
            <w:tcW w:w="612"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5</w:t>
            </w:r>
            <w:r w:rsidR="00FD389B">
              <w:rPr>
                <w:rFonts w:asciiTheme="minorHAnsi" w:hAnsiTheme="minorHAnsi"/>
                <w:sz w:val="22"/>
                <w:szCs w:val="22"/>
              </w:rPr>
              <w:t>50</w:t>
            </w:r>
          </w:p>
        </w:tc>
        <w:tc>
          <w:tcPr>
            <w:tcW w:w="884"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28.</w:t>
            </w:r>
            <w:r w:rsidR="00FD389B">
              <w:rPr>
                <w:rFonts w:asciiTheme="minorHAnsi" w:hAnsiTheme="minorHAnsi"/>
                <w:sz w:val="22"/>
                <w:szCs w:val="22"/>
              </w:rPr>
              <w:t>5</w:t>
            </w:r>
            <w:r w:rsidRPr="00A126E3">
              <w:rPr>
                <w:rFonts w:asciiTheme="minorHAnsi" w:hAnsiTheme="minorHAnsi"/>
                <w:sz w:val="22"/>
                <w:szCs w:val="22"/>
              </w:rPr>
              <w:t>%</w:t>
            </w:r>
          </w:p>
        </w:tc>
        <w:tc>
          <w:tcPr>
            <w:tcW w:w="883" w:type="pct"/>
            <w:vAlign w:val="center"/>
          </w:tcPr>
          <w:p w:rsidR="00072449" w:rsidRPr="00A126E3" w:rsidRDefault="00072449" w:rsidP="00072449">
            <w:pPr>
              <w:spacing w:line="240" w:lineRule="auto"/>
              <w:jc w:val="center"/>
              <w:rPr>
                <w:rFonts w:asciiTheme="minorHAnsi" w:hAnsiTheme="minorHAnsi"/>
                <w:sz w:val="22"/>
                <w:szCs w:val="22"/>
              </w:rPr>
            </w:pPr>
            <w:r w:rsidRPr="00A126E3">
              <w:rPr>
                <w:rFonts w:asciiTheme="minorHAnsi" w:hAnsiTheme="minorHAnsi"/>
                <w:sz w:val="22"/>
                <w:szCs w:val="22"/>
              </w:rPr>
              <w:t>24.</w:t>
            </w:r>
            <w:r w:rsidR="00FD389B">
              <w:rPr>
                <w:rFonts w:asciiTheme="minorHAnsi" w:hAnsiTheme="minorHAnsi"/>
                <w:sz w:val="22"/>
                <w:szCs w:val="22"/>
              </w:rPr>
              <w:t>4</w:t>
            </w:r>
            <w:r w:rsidRPr="00A126E3">
              <w:rPr>
                <w:rFonts w:asciiTheme="minorHAnsi" w:hAnsiTheme="minorHAnsi"/>
                <w:sz w:val="22"/>
                <w:szCs w:val="22"/>
              </w:rPr>
              <w:t>%</w:t>
            </w:r>
          </w:p>
        </w:tc>
        <w:tc>
          <w:tcPr>
            <w:tcW w:w="722" w:type="pct"/>
            <w:vAlign w:val="center"/>
          </w:tcPr>
          <w:p w:rsidR="00072449" w:rsidRPr="00A126E3" w:rsidRDefault="00072449" w:rsidP="00542401">
            <w:pPr>
              <w:spacing w:line="240" w:lineRule="auto"/>
              <w:jc w:val="center"/>
              <w:rPr>
                <w:rFonts w:asciiTheme="minorHAnsi" w:hAnsiTheme="minorHAnsi"/>
                <w:sz w:val="22"/>
                <w:szCs w:val="22"/>
              </w:rPr>
            </w:pPr>
            <w:r w:rsidRPr="00A126E3">
              <w:rPr>
                <w:rFonts w:asciiTheme="minorHAnsi" w:hAnsiTheme="minorHAnsi"/>
                <w:sz w:val="22"/>
                <w:szCs w:val="22"/>
              </w:rPr>
              <w:t>.0</w:t>
            </w:r>
            <w:r w:rsidR="00FD389B">
              <w:rPr>
                <w:rFonts w:asciiTheme="minorHAnsi" w:hAnsiTheme="minorHAnsi"/>
                <w:sz w:val="22"/>
                <w:szCs w:val="22"/>
              </w:rPr>
              <w:t>8</w:t>
            </w:r>
          </w:p>
        </w:tc>
      </w:tr>
    </w:tbl>
    <w:p w:rsidR="00072449" w:rsidRPr="008E0FD3" w:rsidRDefault="00E95023" w:rsidP="008E0FD3">
      <w:pPr>
        <w:spacing w:after="0"/>
        <w:rPr>
          <w:sz w:val="18"/>
        </w:rPr>
      </w:pPr>
      <w:r w:rsidRPr="008E0FD3">
        <w:rPr>
          <w:sz w:val="18"/>
        </w:rPr>
        <w:t xml:space="preserve">Note: 1) Mental health services included visit to outpatient psychologist, psychiatrist, mental health nurse, mental health worker, crisis and assessment team (CATT) </w:t>
      </w:r>
    </w:p>
    <w:p w:rsidR="00072449" w:rsidRDefault="00072449" w:rsidP="00072449">
      <w:pPr>
        <w:pStyle w:val="FAREtableheading"/>
      </w:pPr>
    </w:p>
    <w:p w:rsidR="00E95023" w:rsidRDefault="00E95023">
      <w:pPr>
        <w:spacing w:after="120" w:line="240" w:lineRule="auto"/>
        <w:ind w:left="1191" w:hanging="1134"/>
        <w:jc w:val="both"/>
        <w:rPr>
          <w:b/>
          <w:lang w:val="en-GB" w:eastAsia="en-AU"/>
        </w:rPr>
      </w:pPr>
      <w:r>
        <w:br w:type="page"/>
      </w:r>
    </w:p>
    <w:p w:rsidR="00072449" w:rsidRPr="00415291" w:rsidRDefault="00072449" w:rsidP="00072449">
      <w:pPr>
        <w:pStyle w:val="FAREtableheading"/>
      </w:pPr>
      <w:bookmarkStart w:id="115" w:name="_Toc398105072"/>
      <w:proofErr w:type="gramStart"/>
      <w:r w:rsidRPr="00A126E3">
        <w:lastRenderedPageBreak/>
        <w:t xml:space="preserve">Table </w:t>
      </w:r>
      <w:r w:rsidR="00BE3D19" w:rsidRPr="00A126E3">
        <w:fldChar w:fldCharType="begin"/>
      </w:r>
      <w:r w:rsidRPr="00A126E3">
        <w:instrText xml:space="preserve"> STYLEREF 1 \s </w:instrText>
      </w:r>
      <w:r w:rsidR="00BE3D19" w:rsidRPr="00A126E3">
        <w:fldChar w:fldCharType="separate"/>
      </w:r>
      <w:r w:rsidR="00E150CA">
        <w:rPr>
          <w:noProof/>
        </w:rPr>
        <w:t>3</w:t>
      </w:r>
      <w:r w:rsidR="00BE3D19" w:rsidRPr="00A126E3">
        <w:fldChar w:fldCharType="end"/>
      </w:r>
      <w:r w:rsidRPr="00A126E3">
        <w:t>.</w:t>
      </w:r>
      <w:proofErr w:type="gramEnd"/>
      <w:r w:rsidR="00BE3D19" w:rsidRPr="00A126E3">
        <w:fldChar w:fldCharType="begin"/>
      </w:r>
      <w:r w:rsidRPr="00A126E3">
        <w:instrText xml:space="preserve"> SEQ Table \* ARABIC \s 1 </w:instrText>
      </w:r>
      <w:r w:rsidR="00BE3D19" w:rsidRPr="00A126E3">
        <w:fldChar w:fldCharType="separate"/>
      </w:r>
      <w:r w:rsidR="00E150CA">
        <w:rPr>
          <w:noProof/>
        </w:rPr>
        <w:t>10</w:t>
      </w:r>
      <w:r w:rsidR="00BE3D19" w:rsidRPr="00A126E3">
        <w:fldChar w:fldCharType="end"/>
      </w:r>
      <w:r w:rsidR="006244F5">
        <w:t xml:space="preserve"> </w:t>
      </w:r>
      <w:r w:rsidRPr="00415291">
        <w:t xml:space="preserve"> </w:t>
      </w:r>
      <w:r>
        <w:t xml:space="preserve">Use in the years </w:t>
      </w:r>
      <w:r w:rsidRPr="00A126E3">
        <w:t>before and after PIT</w:t>
      </w:r>
      <w:r>
        <w:t xml:space="preserve"> of </w:t>
      </w:r>
      <w:r w:rsidRPr="00A126E3">
        <w:t xml:space="preserve">AOD specialist, community and acute medical service </w:t>
      </w:r>
      <w:r>
        <w:t>among</w:t>
      </w:r>
      <w:r w:rsidRPr="00415291">
        <w:t xml:space="preserve"> outpatient</w:t>
      </w:r>
      <w:r>
        <w:t xml:space="preserve"> participants</w:t>
      </w:r>
      <w:bookmarkEnd w:id="115"/>
      <w:r w:rsidRPr="00415291">
        <w:t xml:space="preserve"> </w:t>
      </w:r>
    </w:p>
    <w:tbl>
      <w:tblPr>
        <w:tblStyle w:val="TableGrid"/>
        <w:tblW w:w="5000" w:type="pct"/>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Caption w:val="Table 3.10  Use in the years before and after PIT of AOD specialist, community and acute medical service among outpatient participants "/>
        <w:tblDescription w:val="Table 3.10  Use in the years before and after PIT of AOD specialist, community and acute medical service among outpatient participants "/>
      </w:tblPr>
      <w:tblGrid>
        <w:gridCol w:w="3652"/>
        <w:gridCol w:w="989"/>
        <w:gridCol w:w="1634"/>
        <w:gridCol w:w="1632"/>
        <w:gridCol w:w="1335"/>
      </w:tblGrid>
      <w:tr w:rsidR="00072449" w:rsidRPr="00415291" w:rsidTr="00046CCA">
        <w:trPr>
          <w:trHeight w:hRule="exact" w:val="340"/>
          <w:tblHeader/>
        </w:trPr>
        <w:tc>
          <w:tcPr>
            <w:tcW w:w="1976" w:type="pct"/>
            <w:tcBorders>
              <w:top w:val="single" w:sz="4" w:space="0" w:color="auto"/>
              <w:bottom w:val="single" w:sz="4" w:space="0" w:color="auto"/>
            </w:tcBorders>
            <w:vAlign w:val="center"/>
          </w:tcPr>
          <w:p w:rsidR="00072449" w:rsidRPr="00A126E3" w:rsidRDefault="00072449" w:rsidP="00072449">
            <w:pPr>
              <w:spacing w:line="360" w:lineRule="auto"/>
              <w:rPr>
                <w:rFonts w:asciiTheme="minorHAnsi" w:hAnsiTheme="minorHAnsi"/>
                <w:b/>
                <w:sz w:val="22"/>
                <w:szCs w:val="22"/>
              </w:rPr>
            </w:pPr>
            <w:r w:rsidRPr="00A126E3">
              <w:rPr>
                <w:rFonts w:asciiTheme="minorHAnsi" w:hAnsiTheme="minorHAnsi"/>
                <w:b/>
                <w:sz w:val="22"/>
                <w:szCs w:val="22"/>
              </w:rPr>
              <w:t>Health / social service use</w:t>
            </w:r>
          </w:p>
        </w:tc>
        <w:tc>
          <w:tcPr>
            <w:tcW w:w="535" w:type="pct"/>
            <w:tcBorders>
              <w:top w:val="single" w:sz="4" w:space="0" w:color="auto"/>
              <w:bottom w:val="single" w:sz="4" w:space="0" w:color="auto"/>
            </w:tcBorders>
            <w:vAlign w:val="center"/>
          </w:tcPr>
          <w:p w:rsidR="00072449" w:rsidRPr="00A126E3" w:rsidRDefault="00072449" w:rsidP="00072449">
            <w:pPr>
              <w:spacing w:line="360" w:lineRule="auto"/>
              <w:jc w:val="center"/>
              <w:rPr>
                <w:rFonts w:asciiTheme="minorHAnsi" w:hAnsiTheme="minorHAnsi"/>
                <w:b/>
                <w:i/>
                <w:sz w:val="22"/>
                <w:szCs w:val="22"/>
              </w:rPr>
            </w:pPr>
            <w:r w:rsidRPr="00A126E3">
              <w:rPr>
                <w:rFonts w:asciiTheme="minorHAnsi" w:hAnsiTheme="minorHAnsi"/>
                <w:b/>
                <w:i/>
                <w:sz w:val="22"/>
                <w:szCs w:val="22"/>
              </w:rPr>
              <w:t>n</w:t>
            </w:r>
          </w:p>
        </w:tc>
        <w:tc>
          <w:tcPr>
            <w:tcW w:w="884" w:type="pct"/>
            <w:tcBorders>
              <w:top w:val="single" w:sz="4" w:space="0" w:color="auto"/>
              <w:bottom w:val="single" w:sz="4" w:space="0" w:color="auto"/>
            </w:tcBorders>
            <w:vAlign w:val="center"/>
          </w:tcPr>
          <w:p w:rsidR="00072449" w:rsidRPr="00A126E3" w:rsidRDefault="00072449" w:rsidP="00072449">
            <w:pPr>
              <w:spacing w:line="360" w:lineRule="auto"/>
              <w:jc w:val="center"/>
              <w:rPr>
                <w:rFonts w:asciiTheme="minorHAnsi" w:hAnsiTheme="minorHAnsi"/>
                <w:b/>
                <w:sz w:val="22"/>
                <w:szCs w:val="22"/>
              </w:rPr>
            </w:pPr>
            <w:r w:rsidRPr="00A126E3">
              <w:rPr>
                <w:rFonts w:asciiTheme="minorHAnsi" w:hAnsiTheme="minorHAnsi"/>
                <w:b/>
                <w:sz w:val="22"/>
                <w:szCs w:val="22"/>
              </w:rPr>
              <w:t>Pre-PIT</w:t>
            </w:r>
          </w:p>
        </w:tc>
        <w:tc>
          <w:tcPr>
            <w:tcW w:w="883" w:type="pct"/>
            <w:tcBorders>
              <w:top w:val="single" w:sz="4" w:space="0" w:color="auto"/>
              <w:bottom w:val="single" w:sz="4" w:space="0" w:color="auto"/>
            </w:tcBorders>
            <w:vAlign w:val="center"/>
          </w:tcPr>
          <w:p w:rsidR="00072449" w:rsidRPr="00A126E3" w:rsidRDefault="00072449" w:rsidP="00072449">
            <w:pPr>
              <w:spacing w:line="360" w:lineRule="auto"/>
              <w:jc w:val="center"/>
              <w:rPr>
                <w:rFonts w:asciiTheme="minorHAnsi" w:hAnsiTheme="minorHAnsi"/>
                <w:b/>
                <w:sz w:val="22"/>
                <w:szCs w:val="22"/>
              </w:rPr>
            </w:pPr>
            <w:r w:rsidRPr="00A126E3">
              <w:rPr>
                <w:rFonts w:asciiTheme="minorHAnsi" w:hAnsiTheme="minorHAnsi"/>
                <w:b/>
                <w:sz w:val="22"/>
                <w:szCs w:val="22"/>
              </w:rPr>
              <w:t>Post-PIT</w:t>
            </w:r>
          </w:p>
        </w:tc>
        <w:tc>
          <w:tcPr>
            <w:tcW w:w="722" w:type="pct"/>
            <w:tcBorders>
              <w:top w:val="single" w:sz="4" w:space="0" w:color="auto"/>
              <w:bottom w:val="single" w:sz="4" w:space="0" w:color="auto"/>
            </w:tcBorders>
            <w:vAlign w:val="center"/>
          </w:tcPr>
          <w:p w:rsidR="00072449" w:rsidRPr="00A126E3" w:rsidRDefault="00072449" w:rsidP="00072449">
            <w:pPr>
              <w:spacing w:line="360" w:lineRule="auto"/>
              <w:jc w:val="center"/>
              <w:rPr>
                <w:rFonts w:asciiTheme="minorHAnsi" w:hAnsiTheme="minorHAnsi"/>
                <w:b/>
                <w:sz w:val="22"/>
                <w:szCs w:val="22"/>
              </w:rPr>
            </w:pPr>
            <w:r w:rsidRPr="00A126E3">
              <w:rPr>
                <w:rFonts w:asciiTheme="minorHAnsi" w:hAnsiTheme="minorHAnsi"/>
                <w:b/>
                <w:sz w:val="22"/>
                <w:szCs w:val="22"/>
              </w:rPr>
              <w:t>P</w:t>
            </w:r>
          </w:p>
        </w:tc>
      </w:tr>
      <w:tr w:rsidR="00072449" w:rsidRPr="00415291" w:rsidTr="00072449">
        <w:trPr>
          <w:trHeight w:hRule="exact" w:val="340"/>
        </w:trPr>
        <w:tc>
          <w:tcPr>
            <w:tcW w:w="1976" w:type="pct"/>
            <w:tcBorders>
              <w:top w:val="nil"/>
              <w:bottom w:val="nil"/>
            </w:tcBorders>
          </w:tcPr>
          <w:p w:rsidR="00072449" w:rsidRPr="00A126E3" w:rsidRDefault="00072449" w:rsidP="00072449">
            <w:pPr>
              <w:spacing w:line="360" w:lineRule="auto"/>
              <w:ind w:left="142"/>
              <w:rPr>
                <w:rFonts w:asciiTheme="minorHAnsi" w:hAnsiTheme="minorHAnsi"/>
                <w:sz w:val="22"/>
                <w:szCs w:val="22"/>
              </w:rPr>
            </w:pPr>
            <w:r w:rsidRPr="00A126E3">
              <w:rPr>
                <w:rFonts w:asciiTheme="minorHAnsi" w:hAnsiTheme="minorHAnsi"/>
                <w:sz w:val="22"/>
                <w:szCs w:val="22"/>
              </w:rPr>
              <w:t>Any AOD (exc. Mutual aid)</w:t>
            </w:r>
          </w:p>
        </w:tc>
        <w:tc>
          <w:tcPr>
            <w:tcW w:w="535" w:type="pct"/>
            <w:tcBorders>
              <w:top w:val="nil"/>
              <w:bottom w:val="nil"/>
            </w:tcBorders>
          </w:tcPr>
          <w:p w:rsidR="00072449" w:rsidRPr="00A126E3" w:rsidRDefault="00072449" w:rsidP="007B1190">
            <w:pPr>
              <w:spacing w:line="360" w:lineRule="auto"/>
              <w:jc w:val="center"/>
              <w:rPr>
                <w:rFonts w:asciiTheme="minorHAnsi" w:hAnsiTheme="minorHAnsi"/>
                <w:sz w:val="22"/>
                <w:szCs w:val="22"/>
              </w:rPr>
            </w:pPr>
            <w:r w:rsidRPr="00A126E3">
              <w:rPr>
                <w:rFonts w:asciiTheme="minorHAnsi" w:hAnsiTheme="minorHAnsi"/>
                <w:sz w:val="22"/>
                <w:szCs w:val="22"/>
              </w:rPr>
              <w:t>17</w:t>
            </w:r>
            <w:r w:rsidR="007B1190">
              <w:rPr>
                <w:rFonts w:asciiTheme="minorHAnsi" w:hAnsiTheme="minorHAnsi"/>
                <w:sz w:val="22"/>
                <w:szCs w:val="22"/>
              </w:rPr>
              <w:t>5</w:t>
            </w:r>
          </w:p>
        </w:tc>
        <w:tc>
          <w:tcPr>
            <w:tcW w:w="884" w:type="pct"/>
            <w:tcBorders>
              <w:top w:val="nil"/>
              <w:bottom w:val="nil"/>
            </w:tcBorders>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6</w:t>
            </w:r>
            <w:r w:rsidR="006F2062">
              <w:rPr>
                <w:rFonts w:asciiTheme="minorHAnsi" w:hAnsiTheme="minorHAnsi"/>
                <w:sz w:val="22"/>
                <w:szCs w:val="22"/>
              </w:rPr>
              <w:t>1.1</w:t>
            </w:r>
            <w:r w:rsidRPr="00A126E3">
              <w:rPr>
                <w:rFonts w:asciiTheme="minorHAnsi" w:hAnsiTheme="minorHAnsi"/>
                <w:sz w:val="22"/>
                <w:szCs w:val="22"/>
              </w:rPr>
              <w:t>%</w:t>
            </w:r>
          </w:p>
        </w:tc>
        <w:tc>
          <w:tcPr>
            <w:tcW w:w="883" w:type="pct"/>
            <w:tcBorders>
              <w:top w:val="nil"/>
              <w:bottom w:val="nil"/>
            </w:tcBorders>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5</w:t>
            </w:r>
            <w:r w:rsidR="006F2062">
              <w:rPr>
                <w:rFonts w:asciiTheme="minorHAnsi" w:hAnsiTheme="minorHAnsi"/>
                <w:sz w:val="22"/>
                <w:szCs w:val="22"/>
              </w:rPr>
              <w:t>0.3</w:t>
            </w:r>
            <w:r w:rsidRPr="00A126E3">
              <w:rPr>
                <w:rFonts w:asciiTheme="minorHAnsi" w:hAnsiTheme="minorHAnsi"/>
                <w:sz w:val="22"/>
                <w:szCs w:val="22"/>
              </w:rPr>
              <w:t>%</w:t>
            </w:r>
          </w:p>
        </w:tc>
        <w:tc>
          <w:tcPr>
            <w:tcW w:w="722" w:type="pct"/>
            <w:tcBorders>
              <w:top w:val="nil"/>
              <w:bottom w:val="nil"/>
            </w:tcBorders>
          </w:tcPr>
          <w:p w:rsidR="00072449" w:rsidRPr="00A126E3" w:rsidRDefault="007B1190" w:rsidP="007B1190">
            <w:pPr>
              <w:spacing w:line="360" w:lineRule="auto"/>
              <w:jc w:val="center"/>
              <w:rPr>
                <w:rFonts w:asciiTheme="minorHAnsi" w:hAnsiTheme="minorHAnsi"/>
                <w:sz w:val="22"/>
                <w:szCs w:val="22"/>
              </w:rPr>
            </w:pPr>
            <w:r>
              <w:rPr>
                <w:rFonts w:asciiTheme="minorHAnsi" w:hAnsiTheme="minorHAnsi"/>
                <w:sz w:val="22"/>
                <w:szCs w:val="22"/>
              </w:rPr>
              <w:t xml:space="preserve">&lt; </w:t>
            </w:r>
            <w:r w:rsidR="00072449" w:rsidRPr="00A126E3">
              <w:rPr>
                <w:rFonts w:asciiTheme="minorHAnsi" w:hAnsiTheme="minorHAnsi"/>
                <w:sz w:val="22"/>
                <w:szCs w:val="22"/>
              </w:rPr>
              <w:t>.0</w:t>
            </w:r>
            <w:r>
              <w:rPr>
                <w:rFonts w:asciiTheme="minorHAnsi" w:hAnsiTheme="minorHAnsi"/>
                <w:sz w:val="22"/>
                <w:szCs w:val="22"/>
              </w:rPr>
              <w:t>5</w:t>
            </w:r>
          </w:p>
        </w:tc>
      </w:tr>
      <w:tr w:rsidR="00072449" w:rsidRPr="00415291" w:rsidTr="00072449">
        <w:trPr>
          <w:trHeight w:hRule="exact" w:val="340"/>
        </w:trPr>
        <w:tc>
          <w:tcPr>
            <w:tcW w:w="1976" w:type="pct"/>
            <w:tcBorders>
              <w:top w:val="nil"/>
            </w:tcBorders>
            <w:tcMar>
              <w:left w:w="198" w:type="dxa"/>
            </w:tcMar>
          </w:tcPr>
          <w:p w:rsidR="00072449" w:rsidRPr="00F0333E" w:rsidRDefault="00072449" w:rsidP="00072449">
            <w:pPr>
              <w:spacing w:line="360" w:lineRule="auto"/>
              <w:ind w:left="142"/>
              <w:rPr>
                <w:rFonts w:asciiTheme="minorHAnsi" w:hAnsiTheme="minorHAnsi"/>
                <w:sz w:val="22"/>
                <w:szCs w:val="22"/>
              </w:rPr>
            </w:pPr>
            <w:r w:rsidRPr="00F0333E">
              <w:rPr>
                <w:rFonts w:asciiTheme="minorHAnsi" w:hAnsiTheme="minorHAnsi"/>
                <w:sz w:val="22"/>
                <w:szCs w:val="22"/>
              </w:rPr>
              <w:t>Withdrawal (detoxification)</w:t>
            </w:r>
          </w:p>
        </w:tc>
        <w:tc>
          <w:tcPr>
            <w:tcW w:w="535" w:type="pct"/>
            <w:tcBorders>
              <w:top w:val="nil"/>
            </w:tcBorders>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17</w:t>
            </w:r>
            <w:r w:rsidR="006F2062">
              <w:rPr>
                <w:rFonts w:asciiTheme="minorHAnsi" w:hAnsiTheme="minorHAnsi"/>
                <w:sz w:val="22"/>
                <w:szCs w:val="22"/>
              </w:rPr>
              <w:t>6</w:t>
            </w:r>
          </w:p>
        </w:tc>
        <w:tc>
          <w:tcPr>
            <w:tcW w:w="884" w:type="pct"/>
            <w:tcBorders>
              <w:top w:val="nil"/>
            </w:tcBorders>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25.</w:t>
            </w:r>
            <w:r w:rsidR="006F2062">
              <w:rPr>
                <w:rFonts w:asciiTheme="minorHAnsi" w:hAnsiTheme="minorHAnsi"/>
                <w:sz w:val="22"/>
                <w:szCs w:val="22"/>
              </w:rPr>
              <w:t>6</w:t>
            </w:r>
            <w:r w:rsidRPr="00F0333E">
              <w:rPr>
                <w:rFonts w:asciiTheme="minorHAnsi" w:hAnsiTheme="minorHAnsi"/>
                <w:sz w:val="22"/>
                <w:szCs w:val="22"/>
              </w:rPr>
              <w:t>%</w:t>
            </w:r>
          </w:p>
        </w:tc>
        <w:tc>
          <w:tcPr>
            <w:tcW w:w="883" w:type="pct"/>
            <w:tcBorders>
              <w:top w:val="nil"/>
            </w:tcBorders>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20.</w:t>
            </w:r>
            <w:r w:rsidR="006F2062">
              <w:rPr>
                <w:rFonts w:asciiTheme="minorHAnsi" w:hAnsiTheme="minorHAnsi"/>
                <w:sz w:val="22"/>
                <w:szCs w:val="22"/>
              </w:rPr>
              <w:t>5</w:t>
            </w:r>
            <w:r w:rsidRPr="00F0333E">
              <w:rPr>
                <w:rFonts w:asciiTheme="minorHAnsi" w:hAnsiTheme="minorHAnsi"/>
                <w:sz w:val="22"/>
                <w:szCs w:val="22"/>
              </w:rPr>
              <w:t>%</w:t>
            </w:r>
          </w:p>
        </w:tc>
        <w:tc>
          <w:tcPr>
            <w:tcW w:w="722" w:type="pct"/>
            <w:tcBorders>
              <w:top w:val="nil"/>
            </w:tcBorders>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.24</w:t>
            </w:r>
          </w:p>
        </w:tc>
      </w:tr>
      <w:tr w:rsidR="00072449" w:rsidRPr="00415291" w:rsidTr="00072449">
        <w:trPr>
          <w:trHeight w:hRule="exact" w:val="340"/>
        </w:trPr>
        <w:tc>
          <w:tcPr>
            <w:tcW w:w="1976" w:type="pct"/>
            <w:tcMar>
              <w:left w:w="198" w:type="dxa"/>
            </w:tcMar>
          </w:tcPr>
          <w:p w:rsidR="00072449" w:rsidRPr="00F0333E" w:rsidRDefault="00072449" w:rsidP="00072449">
            <w:pPr>
              <w:spacing w:line="360" w:lineRule="auto"/>
              <w:ind w:left="142"/>
              <w:rPr>
                <w:rFonts w:asciiTheme="minorHAnsi" w:hAnsiTheme="minorHAnsi"/>
                <w:sz w:val="22"/>
                <w:szCs w:val="22"/>
              </w:rPr>
            </w:pPr>
            <w:r>
              <w:rPr>
                <w:rFonts w:asciiTheme="minorHAnsi" w:hAnsiTheme="minorHAnsi"/>
                <w:sz w:val="22"/>
                <w:szCs w:val="22"/>
              </w:rPr>
              <w:t>AOD</w:t>
            </w:r>
            <w:r w:rsidRPr="00F0333E">
              <w:rPr>
                <w:rFonts w:asciiTheme="minorHAnsi" w:hAnsiTheme="minorHAnsi"/>
                <w:sz w:val="22"/>
                <w:szCs w:val="22"/>
              </w:rPr>
              <w:t xml:space="preserve"> counselling</w:t>
            </w:r>
          </w:p>
        </w:tc>
        <w:tc>
          <w:tcPr>
            <w:tcW w:w="535"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17</w:t>
            </w:r>
            <w:r w:rsidR="006F2062">
              <w:rPr>
                <w:rFonts w:asciiTheme="minorHAnsi" w:hAnsiTheme="minorHAnsi"/>
                <w:sz w:val="22"/>
                <w:szCs w:val="22"/>
              </w:rPr>
              <w:t>6</w:t>
            </w:r>
          </w:p>
        </w:tc>
        <w:tc>
          <w:tcPr>
            <w:tcW w:w="884"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48.</w:t>
            </w:r>
            <w:r w:rsidR="006F2062">
              <w:rPr>
                <w:rFonts w:asciiTheme="minorHAnsi" w:hAnsiTheme="minorHAnsi"/>
                <w:sz w:val="22"/>
                <w:szCs w:val="22"/>
              </w:rPr>
              <w:t>3</w:t>
            </w:r>
            <w:r w:rsidRPr="00F0333E">
              <w:rPr>
                <w:rFonts w:asciiTheme="minorHAnsi" w:hAnsiTheme="minorHAnsi"/>
                <w:sz w:val="22"/>
                <w:szCs w:val="22"/>
              </w:rPr>
              <w:t>%</w:t>
            </w:r>
          </w:p>
        </w:tc>
        <w:tc>
          <w:tcPr>
            <w:tcW w:w="883"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3</w:t>
            </w:r>
            <w:r w:rsidR="006F2062">
              <w:rPr>
                <w:rFonts w:asciiTheme="minorHAnsi" w:hAnsiTheme="minorHAnsi"/>
                <w:sz w:val="22"/>
                <w:szCs w:val="22"/>
              </w:rPr>
              <w:t>6.9</w:t>
            </w:r>
            <w:r w:rsidRPr="00F0333E">
              <w:rPr>
                <w:rFonts w:asciiTheme="minorHAnsi" w:hAnsiTheme="minorHAnsi"/>
                <w:sz w:val="22"/>
                <w:szCs w:val="22"/>
              </w:rPr>
              <w:t>%</w:t>
            </w:r>
          </w:p>
        </w:tc>
        <w:tc>
          <w:tcPr>
            <w:tcW w:w="722" w:type="pct"/>
          </w:tcPr>
          <w:p w:rsidR="00072449" w:rsidRPr="00F0333E" w:rsidRDefault="006F2062" w:rsidP="006F2062">
            <w:pPr>
              <w:spacing w:line="360" w:lineRule="auto"/>
              <w:jc w:val="center"/>
              <w:rPr>
                <w:rFonts w:asciiTheme="minorHAnsi" w:hAnsiTheme="minorHAnsi"/>
                <w:sz w:val="22"/>
                <w:szCs w:val="22"/>
              </w:rPr>
            </w:pPr>
            <w:r>
              <w:rPr>
                <w:rFonts w:asciiTheme="minorHAnsi" w:hAnsiTheme="minorHAnsi"/>
                <w:sz w:val="22"/>
                <w:szCs w:val="22"/>
              </w:rPr>
              <w:t xml:space="preserve">&lt; </w:t>
            </w:r>
            <w:r w:rsidR="00072449" w:rsidRPr="00F0333E">
              <w:rPr>
                <w:rFonts w:asciiTheme="minorHAnsi" w:hAnsiTheme="minorHAnsi"/>
                <w:sz w:val="22"/>
                <w:szCs w:val="22"/>
              </w:rPr>
              <w:t>.0</w:t>
            </w:r>
            <w:r>
              <w:rPr>
                <w:rFonts w:asciiTheme="minorHAnsi" w:hAnsiTheme="minorHAnsi"/>
                <w:sz w:val="22"/>
                <w:szCs w:val="22"/>
              </w:rPr>
              <w:t>5</w:t>
            </w:r>
          </w:p>
        </w:tc>
      </w:tr>
      <w:tr w:rsidR="00072449" w:rsidRPr="00415291" w:rsidTr="00072449">
        <w:trPr>
          <w:trHeight w:hRule="exact" w:val="340"/>
        </w:trPr>
        <w:tc>
          <w:tcPr>
            <w:tcW w:w="1976" w:type="pct"/>
            <w:tcMar>
              <w:left w:w="198" w:type="dxa"/>
            </w:tcMar>
          </w:tcPr>
          <w:p w:rsidR="00072449" w:rsidRPr="00F0333E" w:rsidRDefault="00072449" w:rsidP="00072449">
            <w:pPr>
              <w:spacing w:line="360" w:lineRule="auto"/>
              <w:ind w:left="142"/>
              <w:rPr>
                <w:rFonts w:asciiTheme="minorHAnsi" w:hAnsiTheme="minorHAnsi"/>
                <w:sz w:val="22"/>
                <w:szCs w:val="22"/>
              </w:rPr>
            </w:pPr>
            <w:r w:rsidRPr="00F0333E">
              <w:rPr>
                <w:rFonts w:asciiTheme="minorHAnsi" w:hAnsiTheme="minorHAnsi"/>
                <w:sz w:val="22"/>
                <w:szCs w:val="22"/>
              </w:rPr>
              <w:t>Residential rehabilitation</w:t>
            </w:r>
          </w:p>
        </w:tc>
        <w:tc>
          <w:tcPr>
            <w:tcW w:w="535"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17</w:t>
            </w:r>
            <w:r w:rsidR="005C31F3">
              <w:rPr>
                <w:rFonts w:asciiTheme="minorHAnsi" w:hAnsiTheme="minorHAnsi"/>
                <w:sz w:val="22"/>
                <w:szCs w:val="22"/>
              </w:rPr>
              <w:t>6</w:t>
            </w:r>
          </w:p>
        </w:tc>
        <w:tc>
          <w:tcPr>
            <w:tcW w:w="884"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6.2%</w:t>
            </w:r>
          </w:p>
        </w:tc>
        <w:tc>
          <w:tcPr>
            <w:tcW w:w="883"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9.</w:t>
            </w:r>
            <w:r w:rsidR="005C31F3">
              <w:rPr>
                <w:rFonts w:asciiTheme="minorHAnsi" w:hAnsiTheme="minorHAnsi"/>
                <w:sz w:val="22"/>
                <w:szCs w:val="22"/>
              </w:rPr>
              <w:t>1</w:t>
            </w:r>
            <w:r w:rsidRPr="00F0333E">
              <w:rPr>
                <w:rFonts w:asciiTheme="minorHAnsi" w:hAnsiTheme="minorHAnsi"/>
                <w:sz w:val="22"/>
                <w:szCs w:val="22"/>
              </w:rPr>
              <w:t>%</w:t>
            </w:r>
          </w:p>
        </w:tc>
        <w:tc>
          <w:tcPr>
            <w:tcW w:w="722"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.38</w:t>
            </w:r>
          </w:p>
        </w:tc>
      </w:tr>
      <w:tr w:rsidR="00072449" w:rsidRPr="00415291" w:rsidTr="00072449">
        <w:trPr>
          <w:trHeight w:hRule="exact" w:val="340"/>
        </w:trPr>
        <w:tc>
          <w:tcPr>
            <w:tcW w:w="1976" w:type="pct"/>
            <w:tcMar>
              <w:left w:w="198" w:type="dxa"/>
            </w:tcMar>
          </w:tcPr>
          <w:p w:rsidR="00072449" w:rsidRPr="00F0333E" w:rsidRDefault="00072449" w:rsidP="00072449">
            <w:pPr>
              <w:spacing w:line="360" w:lineRule="auto"/>
              <w:ind w:left="142"/>
              <w:rPr>
                <w:rFonts w:asciiTheme="minorHAnsi" w:hAnsiTheme="minorHAnsi"/>
                <w:sz w:val="22"/>
                <w:szCs w:val="22"/>
              </w:rPr>
            </w:pPr>
            <w:r w:rsidRPr="00F0333E">
              <w:rPr>
                <w:rFonts w:asciiTheme="minorHAnsi" w:hAnsiTheme="minorHAnsi"/>
                <w:sz w:val="22"/>
                <w:szCs w:val="22"/>
              </w:rPr>
              <w:t>Self-help and mutual aid programs</w:t>
            </w:r>
          </w:p>
        </w:tc>
        <w:tc>
          <w:tcPr>
            <w:tcW w:w="535"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w:t>
            </w:r>
            <w:r w:rsidR="005C31F3">
              <w:rPr>
                <w:rFonts w:asciiTheme="minorHAnsi" w:hAnsiTheme="minorHAnsi"/>
                <w:sz w:val="22"/>
                <w:szCs w:val="22"/>
              </w:rPr>
              <w:t>69</w:t>
            </w:r>
          </w:p>
        </w:tc>
        <w:tc>
          <w:tcPr>
            <w:tcW w:w="884"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31.</w:t>
            </w:r>
            <w:r w:rsidR="005C31F3">
              <w:rPr>
                <w:rFonts w:asciiTheme="minorHAnsi" w:hAnsiTheme="minorHAnsi"/>
                <w:sz w:val="22"/>
                <w:szCs w:val="22"/>
              </w:rPr>
              <w:t>4</w:t>
            </w:r>
            <w:r w:rsidRPr="00F0333E">
              <w:rPr>
                <w:rFonts w:asciiTheme="minorHAnsi" w:hAnsiTheme="minorHAnsi"/>
                <w:sz w:val="22"/>
                <w:szCs w:val="22"/>
              </w:rPr>
              <w:t>%</w:t>
            </w:r>
          </w:p>
        </w:tc>
        <w:tc>
          <w:tcPr>
            <w:tcW w:w="883"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3</w:t>
            </w:r>
            <w:r w:rsidR="005C31F3">
              <w:rPr>
                <w:rFonts w:asciiTheme="minorHAnsi" w:hAnsiTheme="minorHAnsi"/>
                <w:sz w:val="22"/>
                <w:szCs w:val="22"/>
              </w:rPr>
              <w:t>1.4</w:t>
            </w:r>
            <w:r w:rsidRPr="00F0333E">
              <w:rPr>
                <w:rFonts w:asciiTheme="minorHAnsi" w:hAnsiTheme="minorHAnsi"/>
                <w:sz w:val="22"/>
                <w:szCs w:val="22"/>
              </w:rPr>
              <w:t>%</w:t>
            </w:r>
          </w:p>
        </w:tc>
        <w:tc>
          <w:tcPr>
            <w:tcW w:w="722" w:type="pct"/>
          </w:tcPr>
          <w:p w:rsidR="00072449" w:rsidRPr="00F0333E" w:rsidRDefault="005C31F3" w:rsidP="005C31F3">
            <w:pPr>
              <w:spacing w:line="360" w:lineRule="auto"/>
              <w:jc w:val="center"/>
              <w:rPr>
                <w:rFonts w:asciiTheme="minorHAnsi" w:hAnsiTheme="minorHAnsi"/>
                <w:sz w:val="22"/>
                <w:szCs w:val="22"/>
              </w:rPr>
            </w:pPr>
            <w:r>
              <w:rPr>
                <w:rFonts w:asciiTheme="minorHAnsi" w:hAnsiTheme="minorHAnsi"/>
                <w:sz w:val="22"/>
                <w:szCs w:val="22"/>
              </w:rPr>
              <w:t>1</w:t>
            </w:r>
            <w:r w:rsidR="00072449" w:rsidRPr="00F0333E">
              <w:rPr>
                <w:rFonts w:asciiTheme="minorHAnsi" w:hAnsiTheme="minorHAnsi"/>
                <w:sz w:val="22"/>
                <w:szCs w:val="22"/>
              </w:rPr>
              <w:t>.</w:t>
            </w:r>
            <w:r>
              <w:rPr>
                <w:rFonts w:asciiTheme="minorHAnsi" w:hAnsiTheme="minorHAnsi"/>
                <w:sz w:val="22"/>
                <w:szCs w:val="22"/>
              </w:rPr>
              <w:t>00</w:t>
            </w:r>
          </w:p>
        </w:tc>
      </w:tr>
      <w:tr w:rsidR="00072449" w:rsidRPr="00415291" w:rsidTr="00072449">
        <w:trPr>
          <w:trHeight w:hRule="exact" w:val="340"/>
        </w:trPr>
        <w:tc>
          <w:tcPr>
            <w:tcW w:w="1976" w:type="pct"/>
          </w:tcPr>
          <w:p w:rsidR="00072449" w:rsidRPr="00F0333E" w:rsidRDefault="00072449" w:rsidP="00072449">
            <w:pPr>
              <w:spacing w:line="360" w:lineRule="auto"/>
              <w:ind w:left="142"/>
              <w:rPr>
                <w:rFonts w:asciiTheme="minorHAnsi" w:hAnsiTheme="minorHAnsi"/>
                <w:sz w:val="22"/>
                <w:szCs w:val="22"/>
              </w:rPr>
            </w:pPr>
            <w:r w:rsidRPr="00F0333E">
              <w:rPr>
                <w:rFonts w:asciiTheme="minorHAnsi" w:hAnsiTheme="minorHAnsi"/>
                <w:sz w:val="22"/>
                <w:szCs w:val="22"/>
              </w:rPr>
              <w:t>Any community service (exc. GP)</w:t>
            </w:r>
          </w:p>
        </w:tc>
        <w:tc>
          <w:tcPr>
            <w:tcW w:w="535"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175</w:t>
            </w:r>
          </w:p>
        </w:tc>
        <w:tc>
          <w:tcPr>
            <w:tcW w:w="884"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88.</w:t>
            </w:r>
            <w:r w:rsidR="005C31F3">
              <w:rPr>
                <w:rFonts w:asciiTheme="minorHAnsi" w:hAnsiTheme="minorHAnsi"/>
                <w:sz w:val="22"/>
                <w:szCs w:val="22"/>
              </w:rPr>
              <w:t>0</w:t>
            </w:r>
            <w:r w:rsidRPr="00F0333E">
              <w:rPr>
                <w:rFonts w:asciiTheme="minorHAnsi" w:hAnsiTheme="minorHAnsi"/>
                <w:sz w:val="22"/>
                <w:szCs w:val="22"/>
              </w:rPr>
              <w:t>%</w:t>
            </w:r>
          </w:p>
        </w:tc>
        <w:tc>
          <w:tcPr>
            <w:tcW w:w="883"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77.</w:t>
            </w:r>
            <w:r w:rsidR="005C31F3">
              <w:rPr>
                <w:rFonts w:asciiTheme="minorHAnsi" w:hAnsiTheme="minorHAnsi"/>
                <w:sz w:val="22"/>
                <w:szCs w:val="22"/>
              </w:rPr>
              <w:t>1</w:t>
            </w:r>
            <w:r w:rsidRPr="00F0333E">
              <w:rPr>
                <w:rFonts w:asciiTheme="minorHAnsi" w:hAnsiTheme="minorHAnsi"/>
                <w:sz w:val="22"/>
                <w:szCs w:val="22"/>
              </w:rPr>
              <w:t>%</w:t>
            </w:r>
          </w:p>
        </w:tc>
        <w:tc>
          <w:tcPr>
            <w:tcW w:w="722" w:type="pct"/>
          </w:tcPr>
          <w:p w:rsidR="00072449" w:rsidRPr="00F0333E" w:rsidRDefault="006F2062" w:rsidP="006F2062">
            <w:pPr>
              <w:spacing w:line="360" w:lineRule="auto"/>
              <w:jc w:val="center"/>
              <w:rPr>
                <w:rFonts w:asciiTheme="minorHAnsi" w:hAnsiTheme="minorHAnsi"/>
                <w:sz w:val="22"/>
                <w:szCs w:val="22"/>
              </w:rPr>
            </w:pPr>
            <w:r>
              <w:rPr>
                <w:rFonts w:asciiTheme="minorHAnsi" w:hAnsiTheme="minorHAnsi"/>
                <w:sz w:val="22"/>
                <w:szCs w:val="22"/>
              </w:rPr>
              <w:t xml:space="preserve">&lt; </w:t>
            </w:r>
            <w:r w:rsidR="00072449" w:rsidRPr="00F0333E">
              <w:rPr>
                <w:rFonts w:asciiTheme="minorHAnsi" w:hAnsiTheme="minorHAnsi"/>
                <w:sz w:val="22"/>
                <w:szCs w:val="22"/>
              </w:rPr>
              <w:t>.0</w:t>
            </w:r>
            <w:r>
              <w:rPr>
                <w:rFonts w:asciiTheme="minorHAnsi" w:hAnsiTheme="minorHAnsi"/>
                <w:sz w:val="22"/>
                <w:szCs w:val="22"/>
              </w:rPr>
              <w:t>1</w:t>
            </w:r>
          </w:p>
        </w:tc>
      </w:tr>
      <w:tr w:rsidR="00072449" w:rsidRPr="00415291" w:rsidTr="00072449">
        <w:trPr>
          <w:trHeight w:hRule="exact" w:val="340"/>
        </w:trPr>
        <w:tc>
          <w:tcPr>
            <w:tcW w:w="1976" w:type="pct"/>
            <w:tcMar>
              <w:left w:w="198" w:type="dxa"/>
            </w:tcMar>
          </w:tcPr>
          <w:p w:rsidR="00072449" w:rsidRPr="00F0333E" w:rsidRDefault="00072449" w:rsidP="00072449">
            <w:pPr>
              <w:spacing w:line="360" w:lineRule="auto"/>
              <w:ind w:left="142"/>
              <w:rPr>
                <w:rFonts w:asciiTheme="minorHAnsi" w:hAnsiTheme="minorHAnsi"/>
                <w:sz w:val="22"/>
                <w:szCs w:val="22"/>
              </w:rPr>
            </w:pPr>
            <w:r w:rsidRPr="00F0333E">
              <w:rPr>
                <w:rFonts w:asciiTheme="minorHAnsi" w:hAnsiTheme="minorHAnsi"/>
                <w:sz w:val="22"/>
                <w:szCs w:val="22"/>
              </w:rPr>
              <w:t>General practitioner</w:t>
            </w:r>
          </w:p>
        </w:tc>
        <w:tc>
          <w:tcPr>
            <w:tcW w:w="535"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17</w:t>
            </w:r>
            <w:r w:rsidR="005C31F3">
              <w:rPr>
                <w:rFonts w:asciiTheme="minorHAnsi" w:hAnsiTheme="minorHAnsi"/>
                <w:sz w:val="22"/>
                <w:szCs w:val="22"/>
              </w:rPr>
              <w:t>5</w:t>
            </w:r>
          </w:p>
        </w:tc>
        <w:tc>
          <w:tcPr>
            <w:tcW w:w="884"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93.</w:t>
            </w:r>
            <w:r w:rsidR="005C31F3">
              <w:rPr>
                <w:rFonts w:asciiTheme="minorHAnsi" w:hAnsiTheme="minorHAnsi"/>
                <w:sz w:val="22"/>
                <w:szCs w:val="22"/>
              </w:rPr>
              <w:t>7</w:t>
            </w:r>
            <w:r w:rsidRPr="00F0333E">
              <w:rPr>
                <w:rFonts w:asciiTheme="minorHAnsi" w:hAnsiTheme="minorHAnsi"/>
                <w:sz w:val="22"/>
                <w:szCs w:val="22"/>
              </w:rPr>
              <w:t>%</w:t>
            </w:r>
          </w:p>
        </w:tc>
        <w:tc>
          <w:tcPr>
            <w:tcW w:w="883"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94.</w:t>
            </w:r>
            <w:r w:rsidR="005C31F3">
              <w:rPr>
                <w:rFonts w:asciiTheme="minorHAnsi" w:hAnsiTheme="minorHAnsi"/>
                <w:sz w:val="22"/>
                <w:szCs w:val="22"/>
              </w:rPr>
              <w:t>3</w:t>
            </w:r>
            <w:r w:rsidRPr="00F0333E">
              <w:rPr>
                <w:rFonts w:asciiTheme="minorHAnsi" w:hAnsiTheme="minorHAnsi"/>
                <w:sz w:val="22"/>
                <w:szCs w:val="22"/>
              </w:rPr>
              <w:t>%</w:t>
            </w:r>
          </w:p>
        </w:tc>
        <w:tc>
          <w:tcPr>
            <w:tcW w:w="722"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1.00</w:t>
            </w:r>
          </w:p>
        </w:tc>
      </w:tr>
      <w:tr w:rsidR="00072449" w:rsidRPr="00415291" w:rsidTr="00072449">
        <w:trPr>
          <w:trHeight w:hRule="exact" w:val="340"/>
        </w:trPr>
        <w:tc>
          <w:tcPr>
            <w:tcW w:w="1976" w:type="pct"/>
            <w:tcMar>
              <w:left w:w="198" w:type="dxa"/>
            </w:tcMar>
          </w:tcPr>
          <w:p w:rsidR="00072449" w:rsidRPr="00F0333E" w:rsidRDefault="00072449" w:rsidP="00072449">
            <w:pPr>
              <w:spacing w:line="360" w:lineRule="auto"/>
              <w:ind w:left="142"/>
              <w:rPr>
                <w:rFonts w:asciiTheme="minorHAnsi" w:hAnsiTheme="minorHAnsi"/>
                <w:sz w:val="22"/>
                <w:szCs w:val="22"/>
              </w:rPr>
            </w:pPr>
            <w:r w:rsidRPr="00F0333E">
              <w:rPr>
                <w:rFonts w:asciiTheme="minorHAnsi" w:hAnsiTheme="minorHAnsi"/>
                <w:sz w:val="22"/>
                <w:szCs w:val="22"/>
              </w:rPr>
              <w:t>Mental health service</w:t>
            </w:r>
          </w:p>
        </w:tc>
        <w:tc>
          <w:tcPr>
            <w:tcW w:w="535"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175</w:t>
            </w:r>
          </w:p>
        </w:tc>
        <w:tc>
          <w:tcPr>
            <w:tcW w:w="884"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4</w:t>
            </w:r>
            <w:r w:rsidR="00AC491D">
              <w:rPr>
                <w:rFonts w:asciiTheme="minorHAnsi" w:hAnsiTheme="minorHAnsi"/>
                <w:sz w:val="22"/>
                <w:szCs w:val="22"/>
              </w:rPr>
              <w:t>6.3</w:t>
            </w:r>
            <w:r w:rsidRPr="00F0333E">
              <w:rPr>
                <w:rFonts w:asciiTheme="minorHAnsi" w:hAnsiTheme="minorHAnsi"/>
                <w:sz w:val="22"/>
                <w:szCs w:val="22"/>
              </w:rPr>
              <w:t>%</w:t>
            </w:r>
          </w:p>
        </w:tc>
        <w:tc>
          <w:tcPr>
            <w:tcW w:w="883"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3</w:t>
            </w:r>
            <w:r w:rsidR="00AC491D">
              <w:rPr>
                <w:rFonts w:asciiTheme="minorHAnsi" w:hAnsiTheme="minorHAnsi"/>
                <w:sz w:val="22"/>
                <w:szCs w:val="22"/>
              </w:rPr>
              <w:t>7.7</w:t>
            </w:r>
            <w:r w:rsidRPr="00F0333E">
              <w:rPr>
                <w:rFonts w:asciiTheme="minorHAnsi" w:hAnsiTheme="minorHAnsi"/>
                <w:sz w:val="22"/>
                <w:szCs w:val="22"/>
              </w:rPr>
              <w:t>%</w:t>
            </w:r>
          </w:p>
        </w:tc>
        <w:tc>
          <w:tcPr>
            <w:tcW w:w="722" w:type="pct"/>
          </w:tcPr>
          <w:p w:rsidR="00072449" w:rsidRPr="00F0333E" w:rsidRDefault="005C31F3" w:rsidP="00072449">
            <w:pPr>
              <w:spacing w:line="360" w:lineRule="auto"/>
              <w:jc w:val="center"/>
              <w:rPr>
                <w:rFonts w:asciiTheme="minorHAnsi" w:hAnsiTheme="minorHAnsi"/>
                <w:sz w:val="22"/>
                <w:szCs w:val="22"/>
              </w:rPr>
            </w:pPr>
            <w:r>
              <w:rPr>
                <w:rFonts w:asciiTheme="minorHAnsi" w:hAnsiTheme="minorHAnsi"/>
                <w:sz w:val="22"/>
                <w:szCs w:val="22"/>
              </w:rPr>
              <w:t>&lt;</w:t>
            </w:r>
            <w:r w:rsidR="00AC491D">
              <w:rPr>
                <w:rFonts w:asciiTheme="minorHAnsi" w:hAnsiTheme="minorHAnsi"/>
                <w:sz w:val="22"/>
                <w:szCs w:val="22"/>
              </w:rPr>
              <w:t xml:space="preserve"> </w:t>
            </w:r>
            <w:r w:rsidR="00072449" w:rsidRPr="00F0333E">
              <w:rPr>
                <w:rFonts w:asciiTheme="minorHAnsi" w:hAnsiTheme="minorHAnsi"/>
                <w:sz w:val="22"/>
                <w:szCs w:val="22"/>
              </w:rPr>
              <w:t>.0</w:t>
            </w:r>
            <w:r>
              <w:rPr>
                <w:rFonts w:asciiTheme="minorHAnsi" w:hAnsiTheme="minorHAnsi"/>
                <w:sz w:val="22"/>
                <w:szCs w:val="22"/>
              </w:rPr>
              <w:t>5</w:t>
            </w:r>
          </w:p>
        </w:tc>
      </w:tr>
      <w:tr w:rsidR="00072449" w:rsidRPr="00415291" w:rsidTr="00072449">
        <w:trPr>
          <w:trHeight w:hRule="exact" w:val="340"/>
        </w:trPr>
        <w:tc>
          <w:tcPr>
            <w:tcW w:w="1976" w:type="pct"/>
            <w:tcMar>
              <w:left w:w="198" w:type="dxa"/>
            </w:tcMar>
          </w:tcPr>
          <w:p w:rsidR="00072449" w:rsidRPr="00F0333E" w:rsidRDefault="00072449" w:rsidP="00072449">
            <w:pPr>
              <w:spacing w:line="360" w:lineRule="auto"/>
              <w:ind w:left="142"/>
              <w:rPr>
                <w:rFonts w:asciiTheme="minorHAnsi" w:hAnsiTheme="minorHAnsi"/>
                <w:sz w:val="22"/>
                <w:szCs w:val="22"/>
              </w:rPr>
            </w:pPr>
            <w:r w:rsidRPr="00F0333E">
              <w:rPr>
                <w:rFonts w:asciiTheme="minorHAnsi" w:hAnsiTheme="minorHAnsi"/>
                <w:sz w:val="22"/>
                <w:szCs w:val="22"/>
              </w:rPr>
              <w:t>Legal aid</w:t>
            </w:r>
          </w:p>
        </w:tc>
        <w:tc>
          <w:tcPr>
            <w:tcW w:w="535"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175</w:t>
            </w:r>
          </w:p>
        </w:tc>
        <w:tc>
          <w:tcPr>
            <w:tcW w:w="884"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30.9%</w:t>
            </w:r>
          </w:p>
        </w:tc>
        <w:tc>
          <w:tcPr>
            <w:tcW w:w="883"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21.1%</w:t>
            </w:r>
          </w:p>
        </w:tc>
        <w:tc>
          <w:tcPr>
            <w:tcW w:w="722" w:type="pct"/>
          </w:tcPr>
          <w:p w:rsidR="00072449" w:rsidRPr="00F0333E" w:rsidRDefault="006F2062" w:rsidP="006F2062">
            <w:pPr>
              <w:spacing w:line="360" w:lineRule="auto"/>
              <w:jc w:val="center"/>
              <w:rPr>
                <w:rFonts w:asciiTheme="minorHAnsi" w:hAnsiTheme="minorHAnsi"/>
                <w:sz w:val="22"/>
                <w:szCs w:val="22"/>
              </w:rPr>
            </w:pPr>
            <w:r>
              <w:rPr>
                <w:rFonts w:asciiTheme="minorHAnsi" w:hAnsiTheme="minorHAnsi"/>
                <w:sz w:val="22"/>
                <w:szCs w:val="22"/>
              </w:rPr>
              <w:t xml:space="preserve">&lt; </w:t>
            </w:r>
            <w:r w:rsidR="00072449" w:rsidRPr="00F0333E">
              <w:rPr>
                <w:rFonts w:asciiTheme="minorHAnsi" w:hAnsiTheme="minorHAnsi"/>
                <w:sz w:val="22"/>
                <w:szCs w:val="22"/>
              </w:rPr>
              <w:t>.0</w:t>
            </w:r>
            <w:r>
              <w:rPr>
                <w:rFonts w:asciiTheme="minorHAnsi" w:hAnsiTheme="minorHAnsi"/>
                <w:sz w:val="22"/>
                <w:szCs w:val="22"/>
              </w:rPr>
              <w:t>5</w:t>
            </w:r>
          </w:p>
        </w:tc>
      </w:tr>
      <w:tr w:rsidR="00072449" w:rsidRPr="00415291" w:rsidTr="00072449">
        <w:trPr>
          <w:trHeight w:hRule="exact" w:val="340"/>
        </w:trPr>
        <w:tc>
          <w:tcPr>
            <w:tcW w:w="1976" w:type="pct"/>
            <w:tcMar>
              <w:left w:w="198" w:type="dxa"/>
            </w:tcMar>
          </w:tcPr>
          <w:p w:rsidR="00072449" w:rsidRPr="00F0333E" w:rsidRDefault="00072449" w:rsidP="00072449">
            <w:pPr>
              <w:spacing w:line="360" w:lineRule="auto"/>
              <w:ind w:left="142"/>
              <w:rPr>
                <w:rFonts w:asciiTheme="minorHAnsi" w:hAnsiTheme="minorHAnsi"/>
                <w:sz w:val="22"/>
                <w:szCs w:val="22"/>
              </w:rPr>
            </w:pPr>
            <w:r w:rsidRPr="00F0333E">
              <w:rPr>
                <w:rFonts w:asciiTheme="minorHAnsi" w:hAnsiTheme="minorHAnsi"/>
                <w:sz w:val="22"/>
                <w:szCs w:val="22"/>
              </w:rPr>
              <w:t>Financial counselling</w:t>
            </w:r>
          </w:p>
        </w:tc>
        <w:tc>
          <w:tcPr>
            <w:tcW w:w="535"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175</w:t>
            </w:r>
          </w:p>
        </w:tc>
        <w:tc>
          <w:tcPr>
            <w:tcW w:w="884"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13.1%</w:t>
            </w:r>
          </w:p>
        </w:tc>
        <w:tc>
          <w:tcPr>
            <w:tcW w:w="883"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8.6%</w:t>
            </w:r>
          </w:p>
        </w:tc>
        <w:tc>
          <w:tcPr>
            <w:tcW w:w="722"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.13</w:t>
            </w:r>
          </w:p>
        </w:tc>
      </w:tr>
      <w:tr w:rsidR="00072449" w:rsidRPr="00415291" w:rsidTr="00072449">
        <w:trPr>
          <w:trHeight w:hRule="exact" w:val="340"/>
        </w:trPr>
        <w:tc>
          <w:tcPr>
            <w:tcW w:w="1976" w:type="pct"/>
            <w:tcMar>
              <w:left w:w="198" w:type="dxa"/>
            </w:tcMar>
          </w:tcPr>
          <w:p w:rsidR="00072449" w:rsidRPr="00F0333E" w:rsidRDefault="00072449" w:rsidP="00072449">
            <w:pPr>
              <w:spacing w:line="360" w:lineRule="auto"/>
              <w:ind w:left="142"/>
              <w:rPr>
                <w:rFonts w:asciiTheme="minorHAnsi" w:hAnsiTheme="minorHAnsi"/>
                <w:sz w:val="22"/>
                <w:szCs w:val="22"/>
              </w:rPr>
            </w:pPr>
            <w:r w:rsidRPr="00F0333E">
              <w:rPr>
                <w:rFonts w:asciiTheme="minorHAnsi" w:hAnsiTheme="minorHAnsi"/>
                <w:sz w:val="22"/>
                <w:szCs w:val="22"/>
              </w:rPr>
              <w:t>Employment service</w:t>
            </w:r>
          </w:p>
        </w:tc>
        <w:tc>
          <w:tcPr>
            <w:tcW w:w="535"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175</w:t>
            </w:r>
          </w:p>
        </w:tc>
        <w:tc>
          <w:tcPr>
            <w:tcW w:w="884"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4</w:t>
            </w:r>
            <w:r w:rsidR="00AC491D">
              <w:rPr>
                <w:rFonts w:asciiTheme="minorHAnsi" w:hAnsiTheme="minorHAnsi"/>
                <w:sz w:val="22"/>
                <w:szCs w:val="22"/>
              </w:rPr>
              <w:t>1.7</w:t>
            </w:r>
            <w:r w:rsidRPr="00F0333E">
              <w:rPr>
                <w:rFonts w:asciiTheme="minorHAnsi" w:hAnsiTheme="minorHAnsi"/>
                <w:sz w:val="22"/>
                <w:szCs w:val="22"/>
              </w:rPr>
              <w:t>%</w:t>
            </w:r>
          </w:p>
        </w:tc>
        <w:tc>
          <w:tcPr>
            <w:tcW w:w="883"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41.7%</w:t>
            </w:r>
          </w:p>
        </w:tc>
        <w:tc>
          <w:tcPr>
            <w:tcW w:w="722"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1.00</w:t>
            </w:r>
          </w:p>
        </w:tc>
      </w:tr>
      <w:tr w:rsidR="00072449" w:rsidRPr="00415291" w:rsidTr="00072449">
        <w:trPr>
          <w:trHeight w:hRule="exact" w:val="340"/>
        </w:trPr>
        <w:tc>
          <w:tcPr>
            <w:tcW w:w="1976" w:type="pct"/>
            <w:tcMar>
              <w:left w:w="198" w:type="dxa"/>
            </w:tcMar>
          </w:tcPr>
          <w:p w:rsidR="00072449" w:rsidRPr="00F0333E" w:rsidRDefault="00072449" w:rsidP="00072449">
            <w:pPr>
              <w:spacing w:line="360" w:lineRule="auto"/>
              <w:ind w:left="142"/>
              <w:rPr>
                <w:rFonts w:asciiTheme="minorHAnsi" w:hAnsiTheme="minorHAnsi"/>
                <w:sz w:val="22"/>
                <w:szCs w:val="22"/>
              </w:rPr>
            </w:pPr>
            <w:r w:rsidRPr="00F0333E">
              <w:rPr>
                <w:rFonts w:asciiTheme="minorHAnsi" w:hAnsiTheme="minorHAnsi"/>
                <w:sz w:val="22"/>
                <w:szCs w:val="22"/>
              </w:rPr>
              <w:t>Family/relationship counselling</w:t>
            </w:r>
          </w:p>
        </w:tc>
        <w:tc>
          <w:tcPr>
            <w:tcW w:w="535"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175</w:t>
            </w:r>
          </w:p>
        </w:tc>
        <w:tc>
          <w:tcPr>
            <w:tcW w:w="884"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4.6%</w:t>
            </w:r>
          </w:p>
        </w:tc>
        <w:tc>
          <w:tcPr>
            <w:tcW w:w="883"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4.6%</w:t>
            </w:r>
          </w:p>
        </w:tc>
        <w:tc>
          <w:tcPr>
            <w:tcW w:w="722" w:type="pct"/>
          </w:tcPr>
          <w:p w:rsidR="00072449" w:rsidRPr="00F0333E" w:rsidRDefault="00072449" w:rsidP="00072449">
            <w:pPr>
              <w:spacing w:line="360" w:lineRule="auto"/>
              <w:jc w:val="center"/>
              <w:rPr>
                <w:rFonts w:asciiTheme="minorHAnsi" w:hAnsiTheme="minorHAnsi"/>
                <w:sz w:val="22"/>
                <w:szCs w:val="22"/>
              </w:rPr>
            </w:pPr>
            <w:r w:rsidRPr="00F0333E">
              <w:rPr>
                <w:rFonts w:asciiTheme="minorHAnsi" w:hAnsiTheme="minorHAnsi"/>
                <w:sz w:val="22"/>
                <w:szCs w:val="22"/>
              </w:rPr>
              <w:t>1.00</w:t>
            </w:r>
          </w:p>
        </w:tc>
      </w:tr>
      <w:tr w:rsidR="00072449" w:rsidRPr="00415291" w:rsidTr="00072449">
        <w:trPr>
          <w:trHeight w:hRule="exact" w:val="340"/>
        </w:trPr>
        <w:tc>
          <w:tcPr>
            <w:tcW w:w="1976" w:type="pct"/>
            <w:tcMar>
              <w:left w:w="198" w:type="dxa"/>
            </w:tcMar>
          </w:tcPr>
          <w:p w:rsidR="00072449" w:rsidRPr="00A126E3" w:rsidRDefault="00072449" w:rsidP="00072449">
            <w:pPr>
              <w:spacing w:line="360" w:lineRule="auto"/>
              <w:ind w:left="142"/>
              <w:rPr>
                <w:rFonts w:asciiTheme="minorHAnsi" w:hAnsiTheme="minorHAnsi"/>
                <w:sz w:val="22"/>
                <w:szCs w:val="22"/>
              </w:rPr>
            </w:pPr>
            <w:r w:rsidRPr="00A126E3">
              <w:rPr>
                <w:rFonts w:asciiTheme="minorHAnsi" w:hAnsiTheme="minorHAnsi"/>
                <w:sz w:val="22"/>
                <w:szCs w:val="22"/>
              </w:rPr>
              <w:t>Housing/homelessness service</w:t>
            </w:r>
          </w:p>
        </w:tc>
        <w:tc>
          <w:tcPr>
            <w:tcW w:w="535"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173</w:t>
            </w:r>
          </w:p>
        </w:tc>
        <w:tc>
          <w:tcPr>
            <w:tcW w:w="884"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26.6%</w:t>
            </w:r>
          </w:p>
        </w:tc>
        <w:tc>
          <w:tcPr>
            <w:tcW w:w="883"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19.</w:t>
            </w:r>
            <w:r w:rsidR="00AC491D">
              <w:rPr>
                <w:rFonts w:asciiTheme="minorHAnsi" w:hAnsiTheme="minorHAnsi"/>
                <w:sz w:val="22"/>
                <w:szCs w:val="22"/>
              </w:rPr>
              <w:t>1</w:t>
            </w:r>
            <w:r w:rsidRPr="00A126E3">
              <w:rPr>
                <w:rFonts w:asciiTheme="minorHAnsi" w:hAnsiTheme="minorHAnsi"/>
                <w:sz w:val="22"/>
                <w:szCs w:val="22"/>
              </w:rPr>
              <w:t>%</w:t>
            </w:r>
          </w:p>
        </w:tc>
        <w:tc>
          <w:tcPr>
            <w:tcW w:w="722"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.0</w:t>
            </w:r>
            <w:r w:rsidR="00AC491D">
              <w:rPr>
                <w:rFonts w:asciiTheme="minorHAnsi" w:hAnsiTheme="minorHAnsi"/>
                <w:sz w:val="22"/>
                <w:szCs w:val="22"/>
              </w:rPr>
              <w:t>7</w:t>
            </w:r>
          </w:p>
        </w:tc>
      </w:tr>
      <w:tr w:rsidR="00072449" w:rsidRPr="00415291" w:rsidTr="00072449">
        <w:trPr>
          <w:trHeight w:hRule="exact" w:val="340"/>
        </w:trPr>
        <w:tc>
          <w:tcPr>
            <w:tcW w:w="1976" w:type="pct"/>
          </w:tcPr>
          <w:p w:rsidR="00072449" w:rsidRPr="00A126E3" w:rsidRDefault="00072449" w:rsidP="00072449">
            <w:pPr>
              <w:spacing w:line="360" w:lineRule="auto"/>
              <w:ind w:left="142"/>
              <w:rPr>
                <w:rFonts w:asciiTheme="minorHAnsi" w:hAnsiTheme="minorHAnsi"/>
                <w:sz w:val="22"/>
                <w:szCs w:val="22"/>
              </w:rPr>
            </w:pPr>
            <w:r w:rsidRPr="00A126E3">
              <w:rPr>
                <w:rFonts w:asciiTheme="minorHAnsi" w:hAnsiTheme="minorHAnsi"/>
                <w:sz w:val="22"/>
                <w:szCs w:val="22"/>
              </w:rPr>
              <w:t>Any acute service use</w:t>
            </w:r>
          </w:p>
        </w:tc>
        <w:tc>
          <w:tcPr>
            <w:tcW w:w="535"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175</w:t>
            </w:r>
          </w:p>
        </w:tc>
        <w:tc>
          <w:tcPr>
            <w:tcW w:w="884"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5</w:t>
            </w:r>
            <w:r w:rsidR="00052650">
              <w:rPr>
                <w:rFonts w:asciiTheme="minorHAnsi" w:hAnsiTheme="minorHAnsi"/>
                <w:sz w:val="22"/>
                <w:szCs w:val="22"/>
              </w:rPr>
              <w:t>6</w:t>
            </w:r>
            <w:r w:rsidRPr="00A126E3">
              <w:rPr>
                <w:rFonts w:asciiTheme="minorHAnsi" w:hAnsiTheme="minorHAnsi"/>
                <w:sz w:val="22"/>
                <w:szCs w:val="22"/>
              </w:rPr>
              <w:t>.</w:t>
            </w:r>
            <w:r w:rsidR="00052650">
              <w:rPr>
                <w:rFonts w:asciiTheme="minorHAnsi" w:hAnsiTheme="minorHAnsi"/>
                <w:sz w:val="22"/>
                <w:szCs w:val="22"/>
              </w:rPr>
              <w:t>0</w:t>
            </w:r>
            <w:r w:rsidRPr="00A126E3">
              <w:rPr>
                <w:rFonts w:asciiTheme="minorHAnsi" w:hAnsiTheme="minorHAnsi"/>
                <w:sz w:val="22"/>
                <w:szCs w:val="22"/>
              </w:rPr>
              <w:t>%</w:t>
            </w:r>
          </w:p>
        </w:tc>
        <w:tc>
          <w:tcPr>
            <w:tcW w:w="883"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50.3%</w:t>
            </w:r>
          </w:p>
        </w:tc>
        <w:tc>
          <w:tcPr>
            <w:tcW w:w="722"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w:t>
            </w:r>
            <w:r w:rsidR="00AC491D">
              <w:rPr>
                <w:rFonts w:asciiTheme="minorHAnsi" w:hAnsiTheme="minorHAnsi"/>
                <w:sz w:val="22"/>
                <w:szCs w:val="22"/>
              </w:rPr>
              <w:t>24</w:t>
            </w:r>
          </w:p>
        </w:tc>
      </w:tr>
      <w:tr w:rsidR="00072449" w:rsidRPr="00415291" w:rsidTr="00072449">
        <w:trPr>
          <w:trHeight w:hRule="exact" w:val="340"/>
        </w:trPr>
        <w:tc>
          <w:tcPr>
            <w:tcW w:w="1976" w:type="pct"/>
            <w:tcMar>
              <w:left w:w="198" w:type="dxa"/>
            </w:tcMar>
          </w:tcPr>
          <w:p w:rsidR="00072449" w:rsidRPr="00A126E3" w:rsidRDefault="00072449" w:rsidP="00072449">
            <w:pPr>
              <w:spacing w:line="360" w:lineRule="auto"/>
              <w:ind w:left="142"/>
              <w:rPr>
                <w:rFonts w:asciiTheme="minorHAnsi" w:hAnsiTheme="minorHAnsi"/>
                <w:sz w:val="22"/>
                <w:szCs w:val="22"/>
              </w:rPr>
            </w:pPr>
            <w:r w:rsidRPr="00A126E3">
              <w:rPr>
                <w:rFonts w:asciiTheme="minorHAnsi" w:hAnsiTheme="minorHAnsi"/>
                <w:sz w:val="22"/>
                <w:szCs w:val="22"/>
              </w:rPr>
              <w:t>Ambulance</w:t>
            </w:r>
          </w:p>
        </w:tc>
        <w:tc>
          <w:tcPr>
            <w:tcW w:w="535"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175</w:t>
            </w:r>
          </w:p>
        </w:tc>
        <w:tc>
          <w:tcPr>
            <w:tcW w:w="884"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28.6%</w:t>
            </w:r>
          </w:p>
        </w:tc>
        <w:tc>
          <w:tcPr>
            <w:tcW w:w="883"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28.0%</w:t>
            </w:r>
          </w:p>
        </w:tc>
        <w:tc>
          <w:tcPr>
            <w:tcW w:w="722"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1.00</w:t>
            </w:r>
          </w:p>
        </w:tc>
      </w:tr>
      <w:tr w:rsidR="00072449" w:rsidRPr="00415291" w:rsidTr="00072449">
        <w:trPr>
          <w:trHeight w:hRule="exact" w:val="340"/>
        </w:trPr>
        <w:tc>
          <w:tcPr>
            <w:tcW w:w="1976" w:type="pct"/>
            <w:tcMar>
              <w:left w:w="198" w:type="dxa"/>
            </w:tcMar>
          </w:tcPr>
          <w:p w:rsidR="00072449" w:rsidRPr="00A126E3" w:rsidRDefault="00072449" w:rsidP="00072449">
            <w:pPr>
              <w:spacing w:line="360" w:lineRule="auto"/>
              <w:ind w:left="142"/>
              <w:rPr>
                <w:rFonts w:asciiTheme="minorHAnsi" w:hAnsiTheme="minorHAnsi"/>
                <w:sz w:val="22"/>
                <w:szCs w:val="22"/>
              </w:rPr>
            </w:pPr>
            <w:r w:rsidRPr="00A126E3">
              <w:rPr>
                <w:rFonts w:asciiTheme="minorHAnsi" w:hAnsiTheme="minorHAnsi"/>
                <w:sz w:val="22"/>
                <w:szCs w:val="22"/>
              </w:rPr>
              <w:t>Hospital emergency department</w:t>
            </w:r>
          </w:p>
        </w:tc>
        <w:tc>
          <w:tcPr>
            <w:tcW w:w="535"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175</w:t>
            </w:r>
          </w:p>
        </w:tc>
        <w:tc>
          <w:tcPr>
            <w:tcW w:w="884"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4</w:t>
            </w:r>
            <w:r w:rsidR="00052650">
              <w:rPr>
                <w:rFonts w:asciiTheme="minorHAnsi" w:hAnsiTheme="minorHAnsi"/>
                <w:sz w:val="22"/>
                <w:szCs w:val="22"/>
              </w:rPr>
              <w:t>8.6</w:t>
            </w:r>
            <w:r w:rsidRPr="00A126E3">
              <w:rPr>
                <w:rFonts w:asciiTheme="minorHAnsi" w:hAnsiTheme="minorHAnsi"/>
                <w:sz w:val="22"/>
                <w:szCs w:val="22"/>
              </w:rPr>
              <w:t>%</w:t>
            </w:r>
          </w:p>
        </w:tc>
        <w:tc>
          <w:tcPr>
            <w:tcW w:w="883"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45.1%</w:t>
            </w:r>
          </w:p>
        </w:tc>
        <w:tc>
          <w:tcPr>
            <w:tcW w:w="722"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w:t>
            </w:r>
            <w:r w:rsidR="00052650">
              <w:rPr>
                <w:rFonts w:asciiTheme="minorHAnsi" w:hAnsiTheme="minorHAnsi"/>
                <w:sz w:val="22"/>
                <w:szCs w:val="22"/>
              </w:rPr>
              <w:t>50</w:t>
            </w:r>
          </w:p>
        </w:tc>
      </w:tr>
      <w:tr w:rsidR="00072449" w:rsidRPr="00415291" w:rsidTr="00072449">
        <w:trPr>
          <w:trHeight w:hRule="exact" w:val="340"/>
        </w:trPr>
        <w:tc>
          <w:tcPr>
            <w:tcW w:w="1976" w:type="pct"/>
            <w:tcMar>
              <w:left w:w="198" w:type="dxa"/>
            </w:tcMar>
          </w:tcPr>
          <w:p w:rsidR="00072449" w:rsidRPr="00A126E3" w:rsidRDefault="00072449" w:rsidP="00072449">
            <w:pPr>
              <w:spacing w:line="360" w:lineRule="auto"/>
              <w:ind w:left="142"/>
              <w:rPr>
                <w:rFonts w:asciiTheme="minorHAnsi" w:hAnsiTheme="minorHAnsi"/>
                <w:sz w:val="22"/>
                <w:szCs w:val="22"/>
              </w:rPr>
            </w:pPr>
            <w:r w:rsidRPr="00A126E3">
              <w:rPr>
                <w:rFonts w:asciiTheme="minorHAnsi" w:hAnsiTheme="minorHAnsi"/>
                <w:sz w:val="22"/>
                <w:szCs w:val="22"/>
              </w:rPr>
              <w:t>Hospital inpatient services</w:t>
            </w:r>
          </w:p>
        </w:tc>
        <w:tc>
          <w:tcPr>
            <w:tcW w:w="535"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175</w:t>
            </w:r>
          </w:p>
        </w:tc>
        <w:tc>
          <w:tcPr>
            <w:tcW w:w="884"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28.0%</w:t>
            </w:r>
          </w:p>
        </w:tc>
        <w:tc>
          <w:tcPr>
            <w:tcW w:w="883"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22.9%</w:t>
            </w:r>
          </w:p>
        </w:tc>
        <w:tc>
          <w:tcPr>
            <w:tcW w:w="722" w:type="pct"/>
          </w:tcPr>
          <w:p w:rsidR="00072449" w:rsidRPr="00A126E3" w:rsidRDefault="00072449" w:rsidP="00072449">
            <w:pPr>
              <w:spacing w:line="360" w:lineRule="auto"/>
              <w:jc w:val="center"/>
              <w:rPr>
                <w:rFonts w:asciiTheme="minorHAnsi" w:hAnsiTheme="minorHAnsi"/>
                <w:sz w:val="22"/>
                <w:szCs w:val="22"/>
              </w:rPr>
            </w:pPr>
            <w:r w:rsidRPr="00A126E3">
              <w:rPr>
                <w:rFonts w:asciiTheme="minorHAnsi" w:hAnsiTheme="minorHAnsi"/>
                <w:sz w:val="22"/>
                <w:szCs w:val="22"/>
              </w:rPr>
              <w:t>.23</w:t>
            </w:r>
          </w:p>
        </w:tc>
      </w:tr>
    </w:tbl>
    <w:p w:rsidR="00072449" w:rsidRPr="00415291" w:rsidRDefault="00072449" w:rsidP="00072449">
      <w:pPr>
        <w:rPr>
          <w:rFonts w:ascii="Times New Roman" w:hAnsi="Times New Roman"/>
        </w:rPr>
      </w:pPr>
    </w:p>
    <w:p w:rsidR="00072449" w:rsidRPr="00A126E3" w:rsidRDefault="00072449" w:rsidP="00072449">
      <w:pPr>
        <w:pStyle w:val="FAREnormaltext"/>
      </w:pPr>
      <w:r w:rsidRPr="00A126E3">
        <w:t>Service use in the past year was not consistent across PIT type.</w:t>
      </w:r>
      <w:r>
        <w:t xml:space="preserve"> Among outpatient participants there was little change except a small reduction in the proportion engaging in counselling and community services (particularly legal aid</w:t>
      </w:r>
      <w:r w:rsidR="00052650">
        <w:t xml:space="preserve"> and mental health services</w:t>
      </w:r>
      <w:r>
        <w:t>)</w:t>
      </w:r>
      <w:r w:rsidR="00E95023" w:rsidRPr="00E95023">
        <w:t xml:space="preserve"> </w:t>
      </w:r>
      <w:r w:rsidR="00E95023">
        <w:t>(see Table 3.10)</w:t>
      </w:r>
      <w:r>
        <w:t xml:space="preserve">. Among acute withdrawal participants, there was a </w:t>
      </w:r>
      <w:r w:rsidRPr="00A126E3">
        <w:t>significant increase in</w:t>
      </w:r>
      <w:r>
        <w:t xml:space="preserve"> GP attendance rates and in</w:t>
      </w:r>
      <w:r w:rsidRPr="00A126E3">
        <w:t xml:space="preserve"> the proportion engaging in any f</w:t>
      </w:r>
      <w:r>
        <w:t>orm of AOD-specialist treatment (</w:t>
      </w:r>
      <w:r w:rsidR="00EF62C1">
        <w:t>77</w:t>
      </w:r>
      <w:r>
        <w:t xml:space="preserve">%), </w:t>
      </w:r>
      <w:r w:rsidRPr="00A126E3">
        <w:t xml:space="preserve">with the most significant increase in </w:t>
      </w:r>
      <w:r>
        <w:t>residential rehabilitation</w:t>
      </w:r>
      <w:r w:rsidR="00052650">
        <w:t>,</w:t>
      </w:r>
      <w:r w:rsidRPr="00A126E3">
        <w:t xml:space="preserve"> attended by more than o</w:t>
      </w:r>
      <w:r>
        <w:t>ne-third</w:t>
      </w:r>
      <w:r w:rsidR="00052650">
        <w:t xml:space="preserve"> post-PIT.</w:t>
      </w:r>
      <w:r>
        <w:t xml:space="preserve"> </w:t>
      </w:r>
      <w:r w:rsidRPr="00A126E3">
        <w:t>The proportion attending mutual aid grou</w:t>
      </w:r>
      <w:r>
        <w:t xml:space="preserve">ps also increased significantly so that just over half were attending </w:t>
      </w:r>
      <w:r w:rsidRPr="00A126E3">
        <w:t>post-PIT</w:t>
      </w:r>
      <w:r w:rsidR="00D70DCF">
        <w:t xml:space="preserve"> (see Table 3.11). </w:t>
      </w:r>
    </w:p>
    <w:p w:rsidR="00072449" w:rsidRDefault="00072449" w:rsidP="00072449">
      <w:pPr>
        <w:spacing w:after="120" w:line="240" w:lineRule="auto"/>
        <w:ind w:left="1191" w:hanging="1134"/>
        <w:jc w:val="both"/>
        <w:rPr>
          <w:b/>
          <w:lang w:val="en-GB" w:eastAsia="en-AU"/>
        </w:rPr>
      </w:pPr>
      <w:r>
        <w:br w:type="page"/>
      </w:r>
    </w:p>
    <w:p w:rsidR="00072449" w:rsidRPr="00415291" w:rsidRDefault="00072449" w:rsidP="00072449">
      <w:pPr>
        <w:pStyle w:val="FAREtableheading"/>
      </w:pPr>
      <w:bookmarkStart w:id="116" w:name="_Toc398105073"/>
      <w:proofErr w:type="gramStart"/>
      <w:r w:rsidRPr="00A126E3">
        <w:lastRenderedPageBreak/>
        <w:t xml:space="preserve">Table </w:t>
      </w:r>
      <w:r w:rsidR="00BE3D19" w:rsidRPr="00A126E3">
        <w:fldChar w:fldCharType="begin"/>
      </w:r>
      <w:r w:rsidRPr="00A126E3">
        <w:instrText xml:space="preserve"> STYLEREF 1 \s </w:instrText>
      </w:r>
      <w:r w:rsidR="00BE3D19" w:rsidRPr="00A126E3">
        <w:fldChar w:fldCharType="separate"/>
      </w:r>
      <w:r w:rsidR="00E150CA">
        <w:rPr>
          <w:noProof/>
        </w:rPr>
        <w:t>3</w:t>
      </w:r>
      <w:r w:rsidR="00BE3D19" w:rsidRPr="00A126E3">
        <w:fldChar w:fldCharType="end"/>
      </w:r>
      <w:r w:rsidRPr="00A126E3">
        <w:t>.</w:t>
      </w:r>
      <w:proofErr w:type="gramEnd"/>
      <w:r w:rsidR="00BE3D19" w:rsidRPr="00A126E3">
        <w:fldChar w:fldCharType="begin"/>
      </w:r>
      <w:r w:rsidRPr="00A126E3">
        <w:instrText xml:space="preserve"> SEQ Table \* ARABIC \s 1 </w:instrText>
      </w:r>
      <w:r w:rsidR="00BE3D19" w:rsidRPr="00A126E3">
        <w:fldChar w:fldCharType="separate"/>
      </w:r>
      <w:r w:rsidR="00E150CA">
        <w:rPr>
          <w:noProof/>
        </w:rPr>
        <w:t>11</w:t>
      </w:r>
      <w:r w:rsidR="00BE3D19" w:rsidRPr="00A126E3">
        <w:fldChar w:fldCharType="end"/>
      </w:r>
      <w:r w:rsidR="006244F5">
        <w:t xml:space="preserve"> </w:t>
      </w:r>
      <w:r w:rsidRPr="00415291">
        <w:t xml:space="preserve"> </w:t>
      </w:r>
      <w:r>
        <w:t xml:space="preserve">Use in the years </w:t>
      </w:r>
      <w:r w:rsidRPr="00A126E3">
        <w:t>before and after PIT</w:t>
      </w:r>
      <w:r>
        <w:t xml:space="preserve"> of </w:t>
      </w:r>
      <w:r w:rsidRPr="00A126E3">
        <w:t xml:space="preserve">AOD specialist, community and acute medical service </w:t>
      </w:r>
      <w:r>
        <w:t>among</w:t>
      </w:r>
      <w:r w:rsidRPr="00415291">
        <w:t xml:space="preserve"> </w:t>
      </w:r>
      <w:r>
        <w:t>acute withdrawal</w:t>
      </w:r>
      <w:r w:rsidRPr="00415291">
        <w:t xml:space="preserve"> </w:t>
      </w:r>
      <w:r>
        <w:t>participants</w:t>
      </w:r>
      <w:bookmarkEnd w:id="116"/>
      <w:r w:rsidRPr="00415291">
        <w:t xml:space="preserve">  </w:t>
      </w:r>
    </w:p>
    <w:tbl>
      <w:tblPr>
        <w:tblStyle w:val="TableGrid"/>
        <w:tblW w:w="5000" w:type="pct"/>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Caption w:val="Table 3.11  Use in the years before and after PIT of AOD specialist, community and acute medical service among acute withdrawal participants  "/>
        <w:tblDescription w:val="Table 3.11  Use in the years before and after PIT of AOD specialist, community and acute medical service among acute withdrawal participants  "/>
      </w:tblPr>
      <w:tblGrid>
        <w:gridCol w:w="3510"/>
        <w:gridCol w:w="1131"/>
        <w:gridCol w:w="1634"/>
        <w:gridCol w:w="1632"/>
        <w:gridCol w:w="1335"/>
      </w:tblGrid>
      <w:tr w:rsidR="00072449" w:rsidRPr="00415291" w:rsidTr="00046CCA">
        <w:trPr>
          <w:trHeight w:hRule="exact" w:val="340"/>
          <w:tblHeader/>
        </w:trPr>
        <w:tc>
          <w:tcPr>
            <w:tcW w:w="1899" w:type="pct"/>
            <w:tcBorders>
              <w:top w:val="single" w:sz="4" w:space="0" w:color="auto"/>
              <w:bottom w:val="single" w:sz="4" w:space="0" w:color="auto"/>
            </w:tcBorders>
            <w:vAlign w:val="center"/>
          </w:tcPr>
          <w:p w:rsidR="00072449" w:rsidRPr="00163EB6" w:rsidRDefault="00072449" w:rsidP="00072449">
            <w:pPr>
              <w:spacing w:line="240" w:lineRule="auto"/>
              <w:rPr>
                <w:rFonts w:asciiTheme="minorHAnsi" w:hAnsiTheme="minorHAnsi"/>
                <w:b/>
                <w:sz w:val="22"/>
                <w:szCs w:val="22"/>
              </w:rPr>
            </w:pPr>
            <w:r w:rsidRPr="00163EB6">
              <w:rPr>
                <w:rFonts w:asciiTheme="minorHAnsi" w:hAnsiTheme="minorHAnsi"/>
                <w:b/>
                <w:sz w:val="22"/>
                <w:szCs w:val="22"/>
              </w:rPr>
              <w:t>Health / social service use</w:t>
            </w:r>
          </w:p>
        </w:tc>
        <w:tc>
          <w:tcPr>
            <w:tcW w:w="612" w:type="pct"/>
            <w:tcBorders>
              <w:top w:val="single" w:sz="4" w:space="0" w:color="auto"/>
              <w:bottom w:val="single" w:sz="4" w:space="0" w:color="auto"/>
            </w:tcBorders>
            <w:vAlign w:val="center"/>
          </w:tcPr>
          <w:p w:rsidR="00072449" w:rsidRPr="00163EB6" w:rsidRDefault="00072449" w:rsidP="00072449">
            <w:pPr>
              <w:spacing w:line="240" w:lineRule="auto"/>
              <w:jc w:val="center"/>
              <w:rPr>
                <w:rFonts w:asciiTheme="minorHAnsi" w:hAnsiTheme="minorHAnsi"/>
                <w:b/>
                <w:sz w:val="22"/>
                <w:szCs w:val="22"/>
              </w:rPr>
            </w:pPr>
            <w:r w:rsidRPr="00163EB6">
              <w:rPr>
                <w:rFonts w:asciiTheme="minorHAnsi" w:hAnsiTheme="minorHAnsi"/>
                <w:b/>
                <w:i/>
                <w:sz w:val="22"/>
                <w:szCs w:val="22"/>
              </w:rPr>
              <w:t>n</w:t>
            </w:r>
          </w:p>
        </w:tc>
        <w:tc>
          <w:tcPr>
            <w:tcW w:w="884" w:type="pct"/>
            <w:tcBorders>
              <w:top w:val="single" w:sz="4" w:space="0" w:color="auto"/>
              <w:bottom w:val="single" w:sz="4" w:space="0" w:color="auto"/>
            </w:tcBorders>
            <w:vAlign w:val="center"/>
          </w:tcPr>
          <w:p w:rsidR="00072449" w:rsidRPr="00163EB6" w:rsidRDefault="00072449" w:rsidP="00072449">
            <w:pPr>
              <w:spacing w:line="240" w:lineRule="auto"/>
              <w:jc w:val="center"/>
              <w:rPr>
                <w:rFonts w:asciiTheme="minorHAnsi" w:hAnsiTheme="minorHAnsi"/>
                <w:b/>
                <w:sz w:val="22"/>
                <w:szCs w:val="22"/>
              </w:rPr>
            </w:pPr>
            <w:r w:rsidRPr="00163EB6">
              <w:rPr>
                <w:rFonts w:asciiTheme="minorHAnsi" w:hAnsiTheme="minorHAnsi"/>
                <w:b/>
                <w:sz w:val="22"/>
                <w:szCs w:val="22"/>
              </w:rPr>
              <w:t>Pre-PIT</w:t>
            </w:r>
          </w:p>
        </w:tc>
        <w:tc>
          <w:tcPr>
            <w:tcW w:w="883" w:type="pct"/>
            <w:tcBorders>
              <w:top w:val="single" w:sz="4" w:space="0" w:color="auto"/>
              <w:bottom w:val="single" w:sz="4" w:space="0" w:color="auto"/>
            </w:tcBorders>
            <w:vAlign w:val="center"/>
          </w:tcPr>
          <w:p w:rsidR="00072449" w:rsidRPr="00163EB6" w:rsidRDefault="00072449" w:rsidP="00072449">
            <w:pPr>
              <w:spacing w:line="240" w:lineRule="auto"/>
              <w:jc w:val="center"/>
              <w:rPr>
                <w:rFonts w:asciiTheme="minorHAnsi" w:hAnsiTheme="minorHAnsi"/>
                <w:b/>
                <w:sz w:val="22"/>
                <w:szCs w:val="22"/>
              </w:rPr>
            </w:pPr>
            <w:r w:rsidRPr="00163EB6">
              <w:rPr>
                <w:rFonts w:asciiTheme="minorHAnsi" w:hAnsiTheme="minorHAnsi"/>
                <w:b/>
                <w:sz w:val="22"/>
                <w:szCs w:val="22"/>
              </w:rPr>
              <w:t>Post-PIT</w:t>
            </w:r>
          </w:p>
        </w:tc>
        <w:tc>
          <w:tcPr>
            <w:tcW w:w="722" w:type="pct"/>
            <w:tcBorders>
              <w:top w:val="single" w:sz="4" w:space="0" w:color="auto"/>
              <w:bottom w:val="single" w:sz="4" w:space="0" w:color="auto"/>
            </w:tcBorders>
            <w:vAlign w:val="center"/>
          </w:tcPr>
          <w:p w:rsidR="00072449" w:rsidRPr="00163EB6" w:rsidRDefault="00072449" w:rsidP="00072449">
            <w:pPr>
              <w:spacing w:line="240" w:lineRule="auto"/>
              <w:jc w:val="center"/>
              <w:rPr>
                <w:rFonts w:asciiTheme="minorHAnsi" w:hAnsiTheme="minorHAnsi"/>
                <w:b/>
                <w:sz w:val="22"/>
                <w:szCs w:val="22"/>
              </w:rPr>
            </w:pPr>
            <w:r w:rsidRPr="00163EB6">
              <w:rPr>
                <w:rFonts w:asciiTheme="minorHAnsi" w:hAnsiTheme="minorHAnsi"/>
                <w:b/>
                <w:sz w:val="22"/>
                <w:szCs w:val="22"/>
              </w:rPr>
              <w:t>P</w:t>
            </w:r>
          </w:p>
        </w:tc>
      </w:tr>
      <w:tr w:rsidR="00072449" w:rsidRPr="00415291" w:rsidTr="00072449">
        <w:trPr>
          <w:trHeight w:hRule="exact" w:val="340"/>
        </w:trPr>
        <w:tc>
          <w:tcPr>
            <w:tcW w:w="1899" w:type="pct"/>
            <w:tcBorders>
              <w:top w:val="nil"/>
              <w:bottom w:val="nil"/>
            </w:tcBorders>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Any AOD (exc. Mutual aid)</w:t>
            </w:r>
          </w:p>
        </w:tc>
        <w:tc>
          <w:tcPr>
            <w:tcW w:w="612" w:type="pct"/>
            <w:tcBorders>
              <w:top w:val="nil"/>
              <w:bottom w:val="nil"/>
            </w:tcBorders>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240</w:t>
            </w:r>
          </w:p>
        </w:tc>
        <w:tc>
          <w:tcPr>
            <w:tcW w:w="884" w:type="pct"/>
            <w:tcBorders>
              <w:top w:val="nil"/>
              <w:bottom w:val="nil"/>
            </w:tcBorders>
          </w:tcPr>
          <w:p w:rsidR="00072449" w:rsidRPr="00163EB6" w:rsidRDefault="00EF62C1" w:rsidP="00072449">
            <w:pPr>
              <w:spacing w:line="240" w:lineRule="auto"/>
              <w:jc w:val="center"/>
              <w:rPr>
                <w:rFonts w:asciiTheme="minorHAnsi" w:hAnsiTheme="minorHAnsi"/>
                <w:sz w:val="22"/>
                <w:szCs w:val="22"/>
              </w:rPr>
            </w:pPr>
            <w:r>
              <w:rPr>
                <w:rFonts w:asciiTheme="minorHAnsi" w:hAnsiTheme="minorHAnsi"/>
                <w:sz w:val="22"/>
                <w:szCs w:val="22"/>
              </w:rPr>
              <w:t>67.1</w:t>
            </w:r>
            <w:r w:rsidR="00072449" w:rsidRPr="00163EB6">
              <w:rPr>
                <w:rFonts w:asciiTheme="minorHAnsi" w:hAnsiTheme="minorHAnsi"/>
                <w:sz w:val="22"/>
                <w:szCs w:val="22"/>
              </w:rPr>
              <w:t>%</w:t>
            </w:r>
          </w:p>
        </w:tc>
        <w:tc>
          <w:tcPr>
            <w:tcW w:w="883" w:type="pct"/>
            <w:tcBorders>
              <w:top w:val="nil"/>
              <w:bottom w:val="nil"/>
            </w:tcBorders>
          </w:tcPr>
          <w:p w:rsidR="00072449" w:rsidRPr="00163EB6" w:rsidRDefault="00EF62C1" w:rsidP="00072449">
            <w:pPr>
              <w:spacing w:line="240" w:lineRule="auto"/>
              <w:jc w:val="center"/>
              <w:rPr>
                <w:rFonts w:asciiTheme="minorHAnsi" w:hAnsiTheme="minorHAnsi"/>
                <w:sz w:val="22"/>
                <w:szCs w:val="22"/>
              </w:rPr>
            </w:pPr>
            <w:r>
              <w:rPr>
                <w:rFonts w:asciiTheme="minorHAnsi" w:hAnsiTheme="minorHAnsi"/>
                <w:sz w:val="22"/>
                <w:szCs w:val="22"/>
              </w:rPr>
              <w:t>76.7</w:t>
            </w:r>
            <w:r w:rsidR="00072449" w:rsidRPr="00163EB6">
              <w:rPr>
                <w:rFonts w:asciiTheme="minorHAnsi" w:hAnsiTheme="minorHAnsi"/>
                <w:sz w:val="22"/>
                <w:szCs w:val="22"/>
              </w:rPr>
              <w:t>%</w:t>
            </w:r>
          </w:p>
        </w:tc>
        <w:tc>
          <w:tcPr>
            <w:tcW w:w="722" w:type="pct"/>
            <w:tcBorders>
              <w:top w:val="nil"/>
              <w:bottom w:val="nil"/>
            </w:tcBorders>
          </w:tcPr>
          <w:p w:rsidR="00072449" w:rsidRPr="00163EB6" w:rsidRDefault="00EF62C1" w:rsidP="00EF62C1">
            <w:pPr>
              <w:spacing w:line="240" w:lineRule="auto"/>
              <w:jc w:val="center"/>
              <w:rPr>
                <w:rFonts w:asciiTheme="minorHAnsi" w:hAnsiTheme="minorHAnsi"/>
                <w:sz w:val="22"/>
                <w:szCs w:val="22"/>
              </w:rPr>
            </w:pPr>
            <w:r>
              <w:rPr>
                <w:rFonts w:asciiTheme="minorHAnsi" w:hAnsiTheme="minorHAnsi"/>
                <w:sz w:val="22"/>
                <w:szCs w:val="22"/>
              </w:rPr>
              <w:t xml:space="preserve">&lt; </w:t>
            </w:r>
            <w:r w:rsidR="00072449" w:rsidRPr="00163EB6">
              <w:rPr>
                <w:rFonts w:asciiTheme="minorHAnsi" w:hAnsiTheme="minorHAnsi"/>
                <w:sz w:val="22"/>
                <w:szCs w:val="22"/>
              </w:rPr>
              <w:t>.0</w:t>
            </w:r>
            <w:r>
              <w:rPr>
                <w:rFonts w:asciiTheme="minorHAnsi" w:hAnsiTheme="minorHAnsi"/>
                <w:sz w:val="22"/>
                <w:szCs w:val="22"/>
              </w:rPr>
              <w:t>5</w:t>
            </w:r>
          </w:p>
        </w:tc>
      </w:tr>
      <w:tr w:rsidR="00072449" w:rsidRPr="00415291" w:rsidTr="00072449">
        <w:trPr>
          <w:trHeight w:hRule="exact" w:val="340"/>
        </w:trPr>
        <w:tc>
          <w:tcPr>
            <w:tcW w:w="1899" w:type="pct"/>
            <w:tcBorders>
              <w:top w:val="nil"/>
              <w:bottom w:val="nil"/>
            </w:tcBorders>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Withdrawal (detoxification)</w:t>
            </w:r>
          </w:p>
        </w:tc>
        <w:tc>
          <w:tcPr>
            <w:tcW w:w="612" w:type="pct"/>
            <w:tcBorders>
              <w:top w:val="nil"/>
              <w:bottom w:val="nil"/>
            </w:tcBorders>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240</w:t>
            </w:r>
          </w:p>
        </w:tc>
        <w:tc>
          <w:tcPr>
            <w:tcW w:w="884" w:type="pct"/>
            <w:tcBorders>
              <w:top w:val="nil"/>
              <w:bottom w:val="nil"/>
            </w:tcBorders>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28.8%</w:t>
            </w:r>
          </w:p>
        </w:tc>
        <w:tc>
          <w:tcPr>
            <w:tcW w:w="883" w:type="pct"/>
            <w:tcBorders>
              <w:top w:val="nil"/>
              <w:bottom w:val="nil"/>
            </w:tcBorders>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27.1%</w:t>
            </w:r>
          </w:p>
        </w:tc>
        <w:tc>
          <w:tcPr>
            <w:tcW w:w="722" w:type="pct"/>
            <w:tcBorders>
              <w:top w:val="nil"/>
              <w:bottom w:val="nil"/>
            </w:tcBorders>
          </w:tcPr>
          <w:p w:rsidR="00072449" w:rsidRPr="00163EB6" w:rsidRDefault="00072449" w:rsidP="00EF62C1">
            <w:pPr>
              <w:spacing w:line="240" w:lineRule="auto"/>
              <w:jc w:val="center"/>
              <w:rPr>
                <w:rFonts w:asciiTheme="minorHAnsi" w:hAnsiTheme="minorHAnsi"/>
                <w:sz w:val="22"/>
                <w:szCs w:val="22"/>
              </w:rPr>
            </w:pPr>
            <w:r w:rsidRPr="00163EB6">
              <w:rPr>
                <w:rFonts w:asciiTheme="minorHAnsi" w:hAnsiTheme="minorHAnsi"/>
                <w:sz w:val="22"/>
                <w:szCs w:val="22"/>
              </w:rPr>
              <w:t>.75</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Pr>
                <w:rFonts w:asciiTheme="minorHAnsi" w:hAnsiTheme="minorHAnsi"/>
                <w:sz w:val="22"/>
                <w:szCs w:val="22"/>
              </w:rPr>
              <w:t>AOD</w:t>
            </w:r>
            <w:r w:rsidRPr="00163EB6">
              <w:rPr>
                <w:rFonts w:asciiTheme="minorHAnsi" w:hAnsiTheme="minorHAnsi"/>
                <w:sz w:val="22"/>
                <w:szCs w:val="22"/>
              </w:rPr>
              <w:t xml:space="preserve"> counselling</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239</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59.0%</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60.3%</w:t>
            </w:r>
          </w:p>
        </w:tc>
        <w:tc>
          <w:tcPr>
            <w:tcW w:w="72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.84</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Residential rehabilitation</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240</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7.9%</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34.2%</w:t>
            </w:r>
          </w:p>
        </w:tc>
        <w:tc>
          <w:tcPr>
            <w:tcW w:w="722" w:type="pct"/>
          </w:tcPr>
          <w:p w:rsidR="00072449" w:rsidRPr="00163EB6" w:rsidRDefault="00072449" w:rsidP="00EF62C1">
            <w:pPr>
              <w:spacing w:line="240" w:lineRule="auto"/>
              <w:jc w:val="center"/>
              <w:rPr>
                <w:rFonts w:asciiTheme="minorHAnsi" w:hAnsiTheme="minorHAnsi"/>
                <w:sz w:val="22"/>
                <w:szCs w:val="22"/>
              </w:rPr>
            </w:pPr>
            <w:r w:rsidRPr="00163EB6">
              <w:rPr>
                <w:rFonts w:asciiTheme="minorHAnsi" w:hAnsiTheme="minorHAnsi"/>
                <w:sz w:val="22"/>
                <w:szCs w:val="22"/>
              </w:rPr>
              <w:t>&lt;</w:t>
            </w:r>
            <w:r w:rsidR="00EF62C1">
              <w:rPr>
                <w:rFonts w:asciiTheme="minorHAnsi" w:hAnsiTheme="minorHAnsi"/>
                <w:sz w:val="22"/>
                <w:szCs w:val="22"/>
              </w:rPr>
              <w:t xml:space="preserve"> </w:t>
            </w:r>
            <w:r w:rsidRPr="00163EB6">
              <w:rPr>
                <w:rFonts w:asciiTheme="minorHAnsi" w:hAnsiTheme="minorHAnsi"/>
                <w:sz w:val="22"/>
                <w:szCs w:val="22"/>
              </w:rPr>
              <w:t>.001</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Self-help and mutual aid programs</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w:t>
            </w:r>
            <w:r w:rsidR="00E8056F">
              <w:rPr>
                <w:rFonts w:asciiTheme="minorHAnsi" w:hAnsiTheme="minorHAnsi"/>
                <w:sz w:val="22"/>
                <w:szCs w:val="22"/>
              </w:rPr>
              <w:t>3</w:t>
            </w:r>
            <w:r w:rsidRPr="00163EB6">
              <w:rPr>
                <w:rFonts w:asciiTheme="minorHAnsi" w:hAnsiTheme="minorHAnsi"/>
                <w:sz w:val="22"/>
                <w:szCs w:val="22"/>
              </w:rPr>
              <w:t>3</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3</w:t>
            </w:r>
            <w:r w:rsidR="00E8056F">
              <w:rPr>
                <w:rFonts w:asciiTheme="minorHAnsi" w:hAnsiTheme="minorHAnsi"/>
                <w:sz w:val="22"/>
                <w:szCs w:val="22"/>
              </w:rPr>
              <w:t>0.0</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5</w:t>
            </w:r>
            <w:r w:rsidR="00E8056F">
              <w:rPr>
                <w:rFonts w:asciiTheme="minorHAnsi" w:hAnsiTheme="minorHAnsi"/>
                <w:sz w:val="22"/>
                <w:szCs w:val="22"/>
              </w:rPr>
              <w:t>0.2</w:t>
            </w:r>
            <w:r w:rsidRPr="00163EB6">
              <w:rPr>
                <w:rFonts w:asciiTheme="minorHAnsi" w:hAnsiTheme="minorHAnsi"/>
                <w:sz w:val="22"/>
                <w:szCs w:val="22"/>
              </w:rPr>
              <w:t>%</w:t>
            </w:r>
          </w:p>
        </w:tc>
        <w:tc>
          <w:tcPr>
            <w:tcW w:w="722" w:type="pct"/>
          </w:tcPr>
          <w:p w:rsidR="00072449" w:rsidRPr="00163EB6" w:rsidRDefault="00072449" w:rsidP="00EF62C1">
            <w:pPr>
              <w:spacing w:line="240" w:lineRule="auto"/>
              <w:jc w:val="center"/>
              <w:rPr>
                <w:rFonts w:asciiTheme="minorHAnsi" w:hAnsiTheme="minorHAnsi"/>
                <w:sz w:val="22"/>
                <w:szCs w:val="22"/>
              </w:rPr>
            </w:pPr>
            <w:r w:rsidRPr="00163EB6">
              <w:rPr>
                <w:rFonts w:asciiTheme="minorHAnsi" w:hAnsiTheme="minorHAnsi"/>
                <w:sz w:val="22"/>
                <w:szCs w:val="22"/>
              </w:rPr>
              <w:t>&lt;</w:t>
            </w:r>
            <w:r w:rsidR="00EF62C1">
              <w:rPr>
                <w:rFonts w:asciiTheme="minorHAnsi" w:hAnsiTheme="minorHAnsi"/>
                <w:sz w:val="22"/>
                <w:szCs w:val="22"/>
              </w:rPr>
              <w:t xml:space="preserve"> </w:t>
            </w:r>
            <w:r w:rsidRPr="00163EB6">
              <w:rPr>
                <w:rFonts w:asciiTheme="minorHAnsi" w:hAnsiTheme="minorHAnsi"/>
                <w:sz w:val="22"/>
                <w:szCs w:val="22"/>
              </w:rPr>
              <w:t>.001</w:t>
            </w:r>
          </w:p>
        </w:tc>
      </w:tr>
      <w:tr w:rsidR="00072449" w:rsidRPr="00415291" w:rsidTr="00072449">
        <w:trPr>
          <w:trHeight w:hRule="exact" w:val="340"/>
        </w:trPr>
        <w:tc>
          <w:tcPr>
            <w:tcW w:w="1899" w:type="pct"/>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Any community service (exc. GP)</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239</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76.2%</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77.</w:t>
            </w:r>
            <w:r w:rsidR="00E8056F">
              <w:rPr>
                <w:rFonts w:asciiTheme="minorHAnsi" w:hAnsiTheme="minorHAnsi"/>
                <w:sz w:val="22"/>
                <w:szCs w:val="22"/>
              </w:rPr>
              <w:t>0</w:t>
            </w:r>
            <w:r w:rsidRPr="00163EB6">
              <w:rPr>
                <w:rFonts w:asciiTheme="minorHAnsi" w:hAnsiTheme="minorHAnsi"/>
                <w:sz w:val="22"/>
                <w:szCs w:val="22"/>
              </w:rPr>
              <w:t>%</w:t>
            </w:r>
          </w:p>
        </w:tc>
        <w:tc>
          <w:tcPr>
            <w:tcW w:w="722" w:type="pct"/>
          </w:tcPr>
          <w:p w:rsidR="00072449" w:rsidRPr="00163EB6" w:rsidRDefault="00072449" w:rsidP="00EF62C1">
            <w:pPr>
              <w:spacing w:line="240" w:lineRule="auto"/>
              <w:jc w:val="center"/>
              <w:rPr>
                <w:rFonts w:asciiTheme="minorHAnsi" w:hAnsiTheme="minorHAnsi"/>
                <w:sz w:val="22"/>
                <w:szCs w:val="22"/>
              </w:rPr>
            </w:pPr>
            <w:r w:rsidRPr="00163EB6">
              <w:rPr>
                <w:rFonts w:asciiTheme="minorHAnsi" w:hAnsiTheme="minorHAnsi"/>
                <w:sz w:val="22"/>
                <w:szCs w:val="22"/>
              </w:rPr>
              <w:t>.</w:t>
            </w:r>
            <w:r w:rsidR="00E8056F">
              <w:rPr>
                <w:rFonts w:asciiTheme="minorHAnsi" w:hAnsiTheme="minorHAnsi"/>
                <w:sz w:val="22"/>
                <w:szCs w:val="22"/>
              </w:rPr>
              <w:t>9</w:t>
            </w:r>
            <w:r w:rsidRPr="00163EB6">
              <w:rPr>
                <w:rFonts w:asciiTheme="minorHAnsi" w:hAnsiTheme="minorHAnsi"/>
                <w:sz w:val="22"/>
                <w:szCs w:val="22"/>
              </w:rPr>
              <w:t>0</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General practitioner</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239</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90.0%</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95.4%</w:t>
            </w:r>
          </w:p>
        </w:tc>
        <w:tc>
          <w:tcPr>
            <w:tcW w:w="722" w:type="pct"/>
          </w:tcPr>
          <w:p w:rsidR="00072449" w:rsidRPr="00163EB6" w:rsidRDefault="00EF62C1" w:rsidP="00EF62C1">
            <w:pPr>
              <w:spacing w:line="240" w:lineRule="auto"/>
              <w:jc w:val="center"/>
              <w:rPr>
                <w:rFonts w:asciiTheme="minorHAnsi" w:hAnsiTheme="minorHAnsi"/>
                <w:sz w:val="22"/>
                <w:szCs w:val="22"/>
              </w:rPr>
            </w:pPr>
            <w:r>
              <w:rPr>
                <w:rFonts w:asciiTheme="minorHAnsi" w:hAnsiTheme="minorHAnsi"/>
                <w:sz w:val="22"/>
                <w:szCs w:val="22"/>
              </w:rPr>
              <w:t xml:space="preserve">&lt; </w:t>
            </w:r>
            <w:r w:rsidR="00072449" w:rsidRPr="00163EB6">
              <w:rPr>
                <w:rFonts w:asciiTheme="minorHAnsi" w:hAnsiTheme="minorHAnsi"/>
                <w:sz w:val="22"/>
                <w:szCs w:val="22"/>
              </w:rPr>
              <w:t>.05</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Mental health service</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239</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37.2%</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3</w:t>
            </w:r>
            <w:r w:rsidR="00EB2B97">
              <w:rPr>
                <w:rFonts w:asciiTheme="minorHAnsi" w:hAnsiTheme="minorHAnsi"/>
                <w:sz w:val="22"/>
                <w:szCs w:val="22"/>
              </w:rPr>
              <w:t>7.2</w:t>
            </w:r>
            <w:r w:rsidRPr="00163EB6">
              <w:rPr>
                <w:rFonts w:asciiTheme="minorHAnsi" w:hAnsiTheme="minorHAnsi"/>
                <w:sz w:val="22"/>
                <w:szCs w:val="22"/>
              </w:rPr>
              <w:t>%</w:t>
            </w:r>
          </w:p>
        </w:tc>
        <w:tc>
          <w:tcPr>
            <w:tcW w:w="722" w:type="pct"/>
          </w:tcPr>
          <w:p w:rsidR="00072449" w:rsidRPr="00163EB6" w:rsidRDefault="00EB2B97" w:rsidP="00EB2B97">
            <w:pPr>
              <w:spacing w:line="240" w:lineRule="auto"/>
              <w:jc w:val="center"/>
              <w:rPr>
                <w:rFonts w:asciiTheme="minorHAnsi" w:hAnsiTheme="minorHAnsi"/>
                <w:sz w:val="22"/>
                <w:szCs w:val="22"/>
              </w:rPr>
            </w:pPr>
            <w:r>
              <w:rPr>
                <w:rFonts w:asciiTheme="minorHAnsi" w:hAnsiTheme="minorHAnsi"/>
                <w:sz w:val="22"/>
                <w:szCs w:val="22"/>
              </w:rPr>
              <w:t>1</w:t>
            </w:r>
            <w:r w:rsidR="00072449" w:rsidRPr="00163EB6">
              <w:rPr>
                <w:rFonts w:asciiTheme="minorHAnsi" w:hAnsiTheme="minorHAnsi"/>
                <w:sz w:val="22"/>
                <w:szCs w:val="22"/>
              </w:rPr>
              <w:t>.</w:t>
            </w:r>
            <w:r>
              <w:rPr>
                <w:rFonts w:asciiTheme="minorHAnsi" w:hAnsiTheme="minorHAnsi"/>
                <w:sz w:val="22"/>
                <w:szCs w:val="22"/>
              </w:rPr>
              <w:t>00</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Legal aid</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23</w:t>
            </w:r>
            <w:r w:rsidR="00EB2B97">
              <w:rPr>
                <w:rFonts w:asciiTheme="minorHAnsi" w:hAnsiTheme="minorHAnsi"/>
                <w:sz w:val="22"/>
                <w:szCs w:val="22"/>
              </w:rPr>
              <w:t>9</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18.</w:t>
            </w:r>
            <w:r w:rsidR="00EB2B97">
              <w:rPr>
                <w:rFonts w:asciiTheme="minorHAnsi" w:hAnsiTheme="minorHAnsi"/>
                <w:sz w:val="22"/>
                <w:szCs w:val="22"/>
              </w:rPr>
              <w:t>8</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19.</w:t>
            </w:r>
            <w:r w:rsidR="00EB2B97">
              <w:rPr>
                <w:rFonts w:asciiTheme="minorHAnsi" w:hAnsiTheme="minorHAnsi"/>
                <w:sz w:val="22"/>
                <w:szCs w:val="22"/>
              </w:rPr>
              <w:t>2</w:t>
            </w:r>
            <w:r w:rsidRPr="00163EB6">
              <w:rPr>
                <w:rFonts w:asciiTheme="minorHAnsi" w:hAnsiTheme="minorHAnsi"/>
                <w:sz w:val="22"/>
                <w:szCs w:val="22"/>
              </w:rPr>
              <w:t>%</w:t>
            </w:r>
          </w:p>
        </w:tc>
        <w:tc>
          <w:tcPr>
            <w:tcW w:w="72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1.00</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Financial counselling</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239</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13.0%</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15.5%</w:t>
            </w:r>
          </w:p>
        </w:tc>
        <w:tc>
          <w:tcPr>
            <w:tcW w:w="722" w:type="pct"/>
          </w:tcPr>
          <w:p w:rsidR="00072449" w:rsidRPr="00163EB6" w:rsidRDefault="00072449" w:rsidP="00EF62C1">
            <w:pPr>
              <w:spacing w:line="240" w:lineRule="auto"/>
              <w:jc w:val="center"/>
              <w:rPr>
                <w:rFonts w:asciiTheme="minorHAnsi" w:hAnsiTheme="minorHAnsi"/>
                <w:sz w:val="22"/>
                <w:szCs w:val="22"/>
              </w:rPr>
            </w:pPr>
            <w:r w:rsidRPr="00163EB6">
              <w:rPr>
                <w:rFonts w:asciiTheme="minorHAnsi" w:hAnsiTheme="minorHAnsi"/>
                <w:sz w:val="22"/>
                <w:szCs w:val="22"/>
              </w:rPr>
              <w:t>.46</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Employment service</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239</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38.9%</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3</w:t>
            </w:r>
            <w:r w:rsidR="00EB2B97">
              <w:rPr>
                <w:rFonts w:asciiTheme="minorHAnsi" w:hAnsiTheme="minorHAnsi"/>
                <w:sz w:val="22"/>
                <w:szCs w:val="22"/>
              </w:rPr>
              <w:t>6.8</w:t>
            </w:r>
            <w:r w:rsidRPr="00163EB6">
              <w:rPr>
                <w:rFonts w:asciiTheme="minorHAnsi" w:hAnsiTheme="minorHAnsi"/>
                <w:sz w:val="22"/>
                <w:szCs w:val="22"/>
              </w:rPr>
              <w:t>%</w:t>
            </w:r>
          </w:p>
        </w:tc>
        <w:tc>
          <w:tcPr>
            <w:tcW w:w="722" w:type="pct"/>
          </w:tcPr>
          <w:p w:rsidR="00072449" w:rsidRPr="00163EB6" w:rsidRDefault="00072449" w:rsidP="00EF62C1">
            <w:pPr>
              <w:spacing w:line="240" w:lineRule="auto"/>
              <w:jc w:val="center"/>
              <w:rPr>
                <w:rFonts w:asciiTheme="minorHAnsi" w:hAnsiTheme="minorHAnsi"/>
                <w:sz w:val="22"/>
                <w:szCs w:val="22"/>
              </w:rPr>
            </w:pPr>
            <w:r w:rsidRPr="00163EB6">
              <w:rPr>
                <w:rFonts w:asciiTheme="minorHAnsi" w:hAnsiTheme="minorHAnsi"/>
                <w:sz w:val="22"/>
                <w:szCs w:val="22"/>
              </w:rPr>
              <w:t>.</w:t>
            </w:r>
            <w:r w:rsidR="00EB2B97">
              <w:rPr>
                <w:rFonts w:asciiTheme="minorHAnsi" w:hAnsiTheme="minorHAnsi"/>
                <w:sz w:val="22"/>
                <w:szCs w:val="22"/>
              </w:rPr>
              <w:t>64</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Family/relationship counselling</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239</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6.3%</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8.8%</w:t>
            </w:r>
          </w:p>
        </w:tc>
        <w:tc>
          <w:tcPr>
            <w:tcW w:w="722" w:type="pct"/>
          </w:tcPr>
          <w:p w:rsidR="00072449" w:rsidRPr="00163EB6" w:rsidRDefault="00072449" w:rsidP="00EF62C1">
            <w:pPr>
              <w:spacing w:line="240" w:lineRule="auto"/>
              <w:jc w:val="center"/>
              <w:rPr>
                <w:rFonts w:asciiTheme="minorHAnsi" w:hAnsiTheme="minorHAnsi"/>
                <w:sz w:val="22"/>
                <w:szCs w:val="22"/>
              </w:rPr>
            </w:pPr>
            <w:r w:rsidRPr="00163EB6">
              <w:rPr>
                <w:rFonts w:asciiTheme="minorHAnsi" w:hAnsiTheme="minorHAnsi"/>
                <w:sz w:val="22"/>
                <w:szCs w:val="22"/>
              </w:rPr>
              <w:t>.34</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Housing/homelessness service</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232</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18.1%</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19.0%</w:t>
            </w:r>
          </w:p>
        </w:tc>
        <w:tc>
          <w:tcPr>
            <w:tcW w:w="722" w:type="pct"/>
          </w:tcPr>
          <w:p w:rsidR="00072449" w:rsidRPr="00163EB6" w:rsidRDefault="00072449" w:rsidP="00EF62C1">
            <w:pPr>
              <w:spacing w:line="240" w:lineRule="auto"/>
              <w:jc w:val="center"/>
              <w:rPr>
                <w:rFonts w:asciiTheme="minorHAnsi" w:hAnsiTheme="minorHAnsi"/>
                <w:sz w:val="22"/>
                <w:szCs w:val="22"/>
              </w:rPr>
            </w:pPr>
            <w:r w:rsidRPr="00163EB6">
              <w:rPr>
                <w:rFonts w:asciiTheme="minorHAnsi" w:hAnsiTheme="minorHAnsi"/>
                <w:sz w:val="22"/>
                <w:szCs w:val="22"/>
              </w:rPr>
              <w:t>.8</w:t>
            </w:r>
            <w:r w:rsidR="00EB2B97">
              <w:rPr>
                <w:rFonts w:asciiTheme="minorHAnsi" w:hAnsiTheme="minorHAnsi"/>
                <w:sz w:val="22"/>
                <w:szCs w:val="22"/>
              </w:rPr>
              <w:t>9</w:t>
            </w:r>
          </w:p>
        </w:tc>
      </w:tr>
      <w:tr w:rsidR="00072449" w:rsidRPr="00415291" w:rsidTr="00072449">
        <w:trPr>
          <w:trHeight w:hRule="exact" w:val="340"/>
        </w:trPr>
        <w:tc>
          <w:tcPr>
            <w:tcW w:w="1899" w:type="pct"/>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Any acute service use</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239</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59.8%</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55.2%</w:t>
            </w:r>
          </w:p>
        </w:tc>
        <w:tc>
          <w:tcPr>
            <w:tcW w:w="722" w:type="pct"/>
          </w:tcPr>
          <w:p w:rsidR="00072449" w:rsidRPr="00163EB6" w:rsidRDefault="00072449" w:rsidP="00EF62C1">
            <w:pPr>
              <w:spacing w:line="240" w:lineRule="auto"/>
              <w:jc w:val="center"/>
              <w:rPr>
                <w:rFonts w:asciiTheme="minorHAnsi" w:hAnsiTheme="minorHAnsi"/>
                <w:sz w:val="22"/>
                <w:szCs w:val="22"/>
              </w:rPr>
            </w:pPr>
            <w:r w:rsidRPr="00163EB6">
              <w:rPr>
                <w:rFonts w:asciiTheme="minorHAnsi" w:hAnsiTheme="minorHAnsi"/>
                <w:sz w:val="22"/>
                <w:szCs w:val="22"/>
              </w:rPr>
              <w:t>.29</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Ambulance</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239</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37.2%</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33.9%</w:t>
            </w:r>
          </w:p>
        </w:tc>
        <w:tc>
          <w:tcPr>
            <w:tcW w:w="722" w:type="pct"/>
          </w:tcPr>
          <w:p w:rsidR="00072449" w:rsidRPr="00163EB6" w:rsidRDefault="00072449" w:rsidP="00EF62C1">
            <w:pPr>
              <w:spacing w:line="240" w:lineRule="auto"/>
              <w:jc w:val="center"/>
              <w:rPr>
                <w:rFonts w:asciiTheme="minorHAnsi" w:hAnsiTheme="minorHAnsi"/>
                <w:sz w:val="22"/>
                <w:szCs w:val="22"/>
              </w:rPr>
            </w:pPr>
            <w:r w:rsidRPr="00163EB6">
              <w:rPr>
                <w:rFonts w:asciiTheme="minorHAnsi" w:hAnsiTheme="minorHAnsi"/>
                <w:sz w:val="22"/>
                <w:szCs w:val="22"/>
              </w:rPr>
              <w:t>.4</w:t>
            </w:r>
            <w:r w:rsidR="00EF62C1">
              <w:rPr>
                <w:rFonts w:asciiTheme="minorHAnsi" w:hAnsiTheme="minorHAnsi"/>
                <w:sz w:val="22"/>
                <w:szCs w:val="22"/>
              </w:rPr>
              <w:t>3</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Hospital emergency department</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239</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51.9%</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46.0%</w:t>
            </w:r>
          </w:p>
        </w:tc>
        <w:tc>
          <w:tcPr>
            <w:tcW w:w="722" w:type="pct"/>
          </w:tcPr>
          <w:p w:rsidR="00072449" w:rsidRPr="00163EB6" w:rsidRDefault="00072449" w:rsidP="00EF62C1">
            <w:pPr>
              <w:spacing w:line="240" w:lineRule="auto"/>
              <w:jc w:val="center"/>
              <w:rPr>
                <w:rFonts w:asciiTheme="minorHAnsi" w:hAnsiTheme="minorHAnsi"/>
                <w:sz w:val="22"/>
                <w:szCs w:val="22"/>
              </w:rPr>
            </w:pPr>
            <w:r w:rsidRPr="00163EB6">
              <w:rPr>
                <w:rFonts w:asciiTheme="minorHAnsi" w:hAnsiTheme="minorHAnsi"/>
                <w:sz w:val="22"/>
                <w:szCs w:val="22"/>
              </w:rPr>
              <w:t>.17</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Hospital inpatient</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239</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28.5%</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28.9%</w:t>
            </w:r>
          </w:p>
        </w:tc>
        <w:tc>
          <w:tcPr>
            <w:tcW w:w="72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1.00</w:t>
            </w:r>
          </w:p>
        </w:tc>
      </w:tr>
    </w:tbl>
    <w:p w:rsidR="00072449" w:rsidRPr="00415291" w:rsidRDefault="00072449" w:rsidP="00072449">
      <w:pPr>
        <w:rPr>
          <w:rFonts w:ascii="Times New Roman" w:hAnsi="Times New Roman"/>
        </w:rPr>
      </w:pPr>
    </w:p>
    <w:p w:rsidR="00072449" w:rsidRPr="00163EB6" w:rsidRDefault="00072449" w:rsidP="00072449">
      <w:pPr>
        <w:pStyle w:val="FAREnormaltext"/>
      </w:pPr>
      <w:r>
        <w:t xml:space="preserve">Among </w:t>
      </w:r>
      <w:r w:rsidR="006D29AE">
        <w:t>participant</w:t>
      </w:r>
      <w:r>
        <w:t>s in residential rehabilitation</w:t>
      </w:r>
      <w:r w:rsidR="00D70DCF">
        <w:t xml:space="preserve"> (Table 3.12)</w:t>
      </w:r>
      <w:r>
        <w:t xml:space="preserve"> there was little change except a reduction in the proportion undergoing inpatient detoxification post-PIT and in their acute service use (though this </w:t>
      </w:r>
      <w:r w:rsidRPr="00163EB6">
        <w:t>is likely an artefact of their increased time in residential services where substance use is prohibited and where they receive more regular medical attention</w:t>
      </w:r>
      <w:r>
        <w:t>)</w:t>
      </w:r>
      <w:r w:rsidRPr="00163EB6">
        <w:t>.</w:t>
      </w:r>
      <w:r>
        <w:t xml:space="preserve"> There was however a significant increase in the proportion attending mutual aid meetings, with </w:t>
      </w:r>
      <w:r w:rsidR="005F6E7E">
        <w:t>over</w:t>
      </w:r>
      <w:r>
        <w:t xml:space="preserve"> two-thirds attending during the year after their PIT, though this could reflect the philosophy of the PIT type; since e</w:t>
      </w:r>
      <w:r w:rsidRPr="00163EB6">
        <w:t>ncourag</w:t>
      </w:r>
      <w:r>
        <w:t>ement to engage in pe</w:t>
      </w:r>
      <w:r w:rsidRPr="00163EB6">
        <w:t>er-support following discharge</w:t>
      </w:r>
      <w:r>
        <w:t xml:space="preserve"> is common in residential rehabilitation settings (or even a component of the rehabilitation </w:t>
      </w:r>
      <w:r w:rsidRPr="00163EB6">
        <w:t>treatment itself).</w:t>
      </w:r>
    </w:p>
    <w:p w:rsidR="00072449" w:rsidRDefault="00072449" w:rsidP="00072449">
      <w:pPr>
        <w:spacing w:after="120" w:line="240" w:lineRule="auto"/>
        <w:ind w:left="1191" w:hanging="1134"/>
        <w:jc w:val="both"/>
        <w:rPr>
          <w:b/>
          <w:lang w:val="en-GB" w:eastAsia="en-AU"/>
        </w:rPr>
      </w:pPr>
      <w:r>
        <w:br w:type="page"/>
      </w:r>
    </w:p>
    <w:p w:rsidR="00072449" w:rsidRPr="00163EB6" w:rsidRDefault="00072449" w:rsidP="00072449">
      <w:pPr>
        <w:pStyle w:val="FAREtableheading"/>
      </w:pPr>
      <w:bookmarkStart w:id="117" w:name="_Toc398105074"/>
      <w:proofErr w:type="gramStart"/>
      <w:r w:rsidRPr="00A126E3">
        <w:lastRenderedPageBreak/>
        <w:t xml:space="preserve">Table </w:t>
      </w:r>
      <w:r w:rsidR="00BE3D19" w:rsidRPr="00A126E3">
        <w:fldChar w:fldCharType="begin"/>
      </w:r>
      <w:r w:rsidRPr="00A126E3">
        <w:instrText xml:space="preserve"> STYLEREF 1 \s </w:instrText>
      </w:r>
      <w:r w:rsidR="00BE3D19" w:rsidRPr="00A126E3">
        <w:fldChar w:fldCharType="separate"/>
      </w:r>
      <w:r w:rsidR="00E150CA">
        <w:rPr>
          <w:noProof/>
        </w:rPr>
        <w:t>3</w:t>
      </w:r>
      <w:r w:rsidR="00BE3D19" w:rsidRPr="00A126E3">
        <w:fldChar w:fldCharType="end"/>
      </w:r>
      <w:r w:rsidRPr="00A126E3">
        <w:t>.</w:t>
      </w:r>
      <w:proofErr w:type="gramEnd"/>
      <w:r w:rsidR="00BE3D19" w:rsidRPr="00A126E3">
        <w:fldChar w:fldCharType="begin"/>
      </w:r>
      <w:r w:rsidRPr="00A126E3">
        <w:instrText xml:space="preserve"> SEQ Table \* ARABIC \s 1 </w:instrText>
      </w:r>
      <w:r w:rsidR="00BE3D19" w:rsidRPr="00A126E3">
        <w:fldChar w:fldCharType="separate"/>
      </w:r>
      <w:r w:rsidR="00E150CA">
        <w:rPr>
          <w:noProof/>
        </w:rPr>
        <w:t>12</w:t>
      </w:r>
      <w:r w:rsidR="00BE3D19" w:rsidRPr="00A126E3">
        <w:fldChar w:fldCharType="end"/>
      </w:r>
      <w:r w:rsidR="006244F5">
        <w:t xml:space="preserve"> </w:t>
      </w:r>
      <w:r w:rsidRPr="00163EB6">
        <w:t xml:space="preserve"> </w:t>
      </w:r>
      <w:r>
        <w:t xml:space="preserve">Use in the years </w:t>
      </w:r>
      <w:r w:rsidRPr="00A126E3">
        <w:t>before and after PIT</w:t>
      </w:r>
      <w:r>
        <w:t xml:space="preserve"> of </w:t>
      </w:r>
      <w:r w:rsidRPr="00A126E3">
        <w:t xml:space="preserve">AOD specialist, community and acute medical service </w:t>
      </w:r>
      <w:r>
        <w:t>among</w:t>
      </w:r>
      <w:r w:rsidRPr="00163EB6">
        <w:t xml:space="preserve"> residential</w:t>
      </w:r>
      <w:r>
        <w:t xml:space="preserve"> rehabilitation</w:t>
      </w:r>
      <w:r w:rsidRPr="00163EB6">
        <w:t xml:space="preserve"> </w:t>
      </w:r>
      <w:r>
        <w:t>participants</w:t>
      </w:r>
      <w:bookmarkEnd w:id="117"/>
    </w:p>
    <w:tbl>
      <w:tblPr>
        <w:tblStyle w:val="TableGrid"/>
        <w:tblW w:w="5000" w:type="pct"/>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Caption w:val="Table 3.12  Use in the years before and after PIT of AOD specialist, community and acute medical service among residential rehabilitation participants"/>
        <w:tblDescription w:val="Table 3.12  Use in the years before and after PIT of AOD specialist, community and acute medical service among residential rehabilitation participants"/>
      </w:tblPr>
      <w:tblGrid>
        <w:gridCol w:w="3510"/>
        <w:gridCol w:w="1131"/>
        <w:gridCol w:w="1634"/>
        <w:gridCol w:w="1632"/>
        <w:gridCol w:w="1335"/>
      </w:tblGrid>
      <w:tr w:rsidR="00072449" w:rsidRPr="00415291" w:rsidTr="00046CCA">
        <w:trPr>
          <w:trHeight w:hRule="exact" w:val="475"/>
          <w:tblHeader/>
        </w:trPr>
        <w:tc>
          <w:tcPr>
            <w:tcW w:w="1899" w:type="pct"/>
            <w:tcBorders>
              <w:top w:val="single" w:sz="4" w:space="0" w:color="auto"/>
              <w:bottom w:val="single" w:sz="4" w:space="0" w:color="auto"/>
            </w:tcBorders>
            <w:vAlign w:val="center"/>
          </w:tcPr>
          <w:p w:rsidR="00072449" w:rsidRPr="00163EB6" w:rsidRDefault="00072449" w:rsidP="00072449">
            <w:pPr>
              <w:spacing w:line="240" w:lineRule="auto"/>
              <w:rPr>
                <w:rFonts w:asciiTheme="minorHAnsi" w:hAnsiTheme="minorHAnsi"/>
                <w:b/>
                <w:sz w:val="22"/>
                <w:szCs w:val="22"/>
              </w:rPr>
            </w:pPr>
            <w:r w:rsidRPr="00163EB6">
              <w:rPr>
                <w:rFonts w:asciiTheme="minorHAnsi" w:hAnsiTheme="minorHAnsi"/>
                <w:b/>
                <w:sz w:val="22"/>
                <w:szCs w:val="22"/>
              </w:rPr>
              <w:t xml:space="preserve">Health / social service </w:t>
            </w:r>
          </w:p>
        </w:tc>
        <w:tc>
          <w:tcPr>
            <w:tcW w:w="612" w:type="pct"/>
            <w:tcBorders>
              <w:top w:val="single" w:sz="4" w:space="0" w:color="auto"/>
              <w:bottom w:val="single" w:sz="4" w:space="0" w:color="auto"/>
            </w:tcBorders>
            <w:vAlign w:val="center"/>
          </w:tcPr>
          <w:p w:rsidR="00072449" w:rsidRPr="00163EB6" w:rsidRDefault="00072449" w:rsidP="00072449">
            <w:pPr>
              <w:spacing w:line="240" w:lineRule="auto"/>
              <w:jc w:val="center"/>
              <w:rPr>
                <w:rFonts w:asciiTheme="minorHAnsi" w:hAnsiTheme="minorHAnsi"/>
                <w:b/>
                <w:sz w:val="22"/>
                <w:szCs w:val="22"/>
              </w:rPr>
            </w:pPr>
            <w:r w:rsidRPr="00163EB6">
              <w:rPr>
                <w:rFonts w:asciiTheme="minorHAnsi" w:hAnsiTheme="minorHAnsi"/>
                <w:b/>
                <w:i/>
                <w:sz w:val="22"/>
                <w:szCs w:val="22"/>
              </w:rPr>
              <w:t>n</w:t>
            </w:r>
          </w:p>
        </w:tc>
        <w:tc>
          <w:tcPr>
            <w:tcW w:w="884" w:type="pct"/>
            <w:tcBorders>
              <w:top w:val="single" w:sz="4" w:space="0" w:color="auto"/>
              <w:bottom w:val="single" w:sz="4" w:space="0" w:color="auto"/>
            </w:tcBorders>
            <w:vAlign w:val="center"/>
          </w:tcPr>
          <w:p w:rsidR="00072449" w:rsidRPr="00163EB6" w:rsidRDefault="00072449" w:rsidP="00072449">
            <w:pPr>
              <w:spacing w:line="240" w:lineRule="auto"/>
              <w:jc w:val="center"/>
              <w:rPr>
                <w:rFonts w:asciiTheme="minorHAnsi" w:hAnsiTheme="minorHAnsi"/>
                <w:b/>
                <w:sz w:val="22"/>
                <w:szCs w:val="22"/>
              </w:rPr>
            </w:pPr>
            <w:r w:rsidRPr="00163EB6">
              <w:rPr>
                <w:rFonts w:asciiTheme="minorHAnsi" w:hAnsiTheme="minorHAnsi"/>
                <w:b/>
                <w:sz w:val="22"/>
                <w:szCs w:val="22"/>
              </w:rPr>
              <w:t>Pre-PIT</w:t>
            </w:r>
          </w:p>
        </w:tc>
        <w:tc>
          <w:tcPr>
            <w:tcW w:w="883" w:type="pct"/>
            <w:tcBorders>
              <w:top w:val="single" w:sz="4" w:space="0" w:color="auto"/>
              <w:bottom w:val="single" w:sz="4" w:space="0" w:color="auto"/>
            </w:tcBorders>
            <w:vAlign w:val="center"/>
          </w:tcPr>
          <w:p w:rsidR="00072449" w:rsidRPr="00163EB6" w:rsidRDefault="00072449" w:rsidP="00072449">
            <w:pPr>
              <w:spacing w:line="240" w:lineRule="auto"/>
              <w:jc w:val="center"/>
              <w:rPr>
                <w:rFonts w:asciiTheme="minorHAnsi" w:hAnsiTheme="minorHAnsi"/>
                <w:b/>
                <w:sz w:val="22"/>
                <w:szCs w:val="22"/>
              </w:rPr>
            </w:pPr>
            <w:r w:rsidRPr="00163EB6">
              <w:rPr>
                <w:rFonts w:asciiTheme="minorHAnsi" w:hAnsiTheme="minorHAnsi"/>
                <w:b/>
                <w:sz w:val="22"/>
                <w:szCs w:val="22"/>
              </w:rPr>
              <w:t>Post-PIT</w:t>
            </w:r>
          </w:p>
        </w:tc>
        <w:tc>
          <w:tcPr>
            <w:tcW w:w="722" w:type="pct"/>
            <w:tcBorders>
              <w:top w:val="single" w:sz="4" w:space="0" w:color="auto"/>
              <w:bottom w:val="single" w:sz="4" w:space="0" w:color="auto"/>
            </w:tcBorders>
            <w:vAlign w:val="center"/>
          </w:tcPr>
          <w:p w:rsidR="00072449" w:rsidRPr="00163EB6" w:rsidRDefault="00072449" w:rsidP="00072449">
            <w:pPr>
              <w:spacing w:line="240" w:lineRule="auto"/>
              <w:jc w:val="center"/>
              <w:rPr>
                <w:rFonts w:asciiTheme="minorHAnsi" w:hAnsiTheme="minorHAnsi"/>
                <w:b/>
                <w:sz w:val="22"/>
                <w:szCs w:val="22"/>
              </w:rPr>
            </w:pPr>
            <w:r w:rsidRPr="00163EB6">
              <w:rPr>
                <w:rFonts w:asciiTheme="minorHAnsi" w:hAnsiTheme="minorHAnsi"/>
                <w:b/>
                <w:sz w:val="22"/>
                <w:szCs w:val="22"/>
              </w:rPr>
              <w:t>P</w:t>
            </w:r>
          </w:p>
        </w:tc>
      </w:tr>
      <w:tr w:rsidR="00072449" w:rsidRPr="00415291" w:rsidTr="00072449">
        <w:trPr>
          <w:trHeight w:hRule="exact" w:val="340"/>
        </w:trPr>
        <w:tc>
          <w:tcPr>
            <w:tcW w:w="1899" w:type="pct"/>
            <w:tcBorders>
              <w:top w:val="nil"/>
              <w:bottom w:val="nil"/>
            </w:tcBorders>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Any AOD (exc. Mutual aid)</w:t>
            </w:r>
          </w:p>
        </w:tc>
        <w:tc>
          <w:tcPr>
            <w:tcW w:w="612" w:type="pct"/>
            <w:tcBorders>
              <w:top w:val="nil"/>
              <w:bottom w:val="nil"/>
            </w:tcBorders>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13</w:t>
            </w:r>
            <w:r w:rsidR="00822E51">
              <w:rPr>
                <w:rFonts w:asciiTheme="minorHAnsi" w:hAnsiTheme="minorHAnsi"/>
                <w:sz w:val="22"/>
                <w:szCs w:val="22"/>
              </w:rPr>
              <w:t>7</w:t>
            </w:r>
          </w:p>
        </w:tc>
        <w:tc>
          <w:tcPr>
            <w:tcW w:w="884" w:type="pct"/>
            <w:tcBorders>
              <w:top w:val="nil"/>
              <w:bottom w:val="nil"/>
            </w:tcBorders>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81.</w:t>
            </w:r>
            <w:r w:rsidR="00822E51">
              <w:rPr>
                <w:rFonts w:asciiTheme="minorHAnsi" w:hAnsiTheme="minorHAnsi"/>
                <w:sz w:val="22"/>
                <w:szCs w:val="22"/>
              </w:rPr>
              <w:t>0</w:t>
            </w:r>
            <w:r w:rsidRPr="00163EB6">
              <w:rPr>
                <w:rFonts w:asciiTheme="minorHAnsi" w:hAnsiTheme="minorHAnsi"/>
                <w:sz w:val="22"/>
                <w:szCs w:val="22"/>
              </w:rPr>
              <w:t>%</w:t>
            </w:r>
          </w:p>
        </w:tc>
        <w:tc>
          <w:tcPr>
            <w:tcW w:w="883" w:type="pct"/>
            <w:tcBorders>
              <w:top w:val="nil"/>
              <w:bottom w:val="nil"/>
            </w:tcBorders>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7</w:t>
            </w:r>
            <w:r w:rsidR="00822E51">
              <w:rPr>
                <w:rFonts w:asciiTheme="minorHAnsi" w:hAnsiTheme="minorHAnsi"/>
                <w:sz w:val="22"/>
                <w:szCs w:val="22"/>
              </w:rPr>
              <w:t>3</w:t>
            </w:r>
            <w:r w:rsidRPr="00163EB6">
              <w:rPr>
                <w:rFonts w:asciiTheme="minorHAnsi" w:hAnsiTheme="minorHAnsi"/>
                <w:sz w:val="22"/>
                <w:szCs w:val="22"/>
              </w:rPr>
              <w:t>.7%</w:t>
            </w:r>
          </w:p>
        </w:tc>
        <w:tc>
          <w:tcPr>
            <w:tcW w:w="722" w:type="pct"/>
            <w:tcBorders>
              <w:top w:val="nil"/>
              <w:bottom w:val="nil"/>
            </w:tcBorders>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w:t>
            </w:r>
            <w:r w:rsidR="00822E51">
              <w:rPr>
                <w:rFonts w:asciiTheme="minorHAnsi" w:hAnsiTheme="minorHAnsi"/>
                <w:sz w:val="22"/>
                <w:szCs w:val="22"/>
              </w:rPr>
              <w:t>1</w:t>
            </w:r>
            <w:r w:rsidRPr="00163EB6">
              <w:rPr>
                <w:rFonts w:asciiTheme="minorHAnsi" w:hAnsiTheme="minorHAnsi"/>
                <w:sz w:val="22"/>
                <w:szCs w:val="22"/>
              </w:rPr>
              <w:t>6</w:t>
            </w:r>
          </w:p>
        </w:tc>
      </w:tr>
      <w:tr w:rsidR="00072449" w:rsidRPr="00415291" w:rsidTr="00072449">
        <w:trPr>
          <w:trHeight w:hRule="exact" w:val="340"/>
        </w:trPr>
        <w:tc>
          <w:tcPr>
            <w:tcW w:w="1899" w:type="pct"/>
            <w:tcBorders>
              <w:top w:val="nil"/>
            </w:tcBorders>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Withdrawal (detoxification)</w:t>
            </w:r>
          </w:p>
        </w:tc>
        <w:tc>
          <w:tcPr>
            <w:tcW w:w="612" w:type="pct"/>
            <w:tcBorders>
              <w:top w:val="nil"/>
            </w:tcBorders>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13</w:t>
            </w:r>
            <w:r w:rsidR="00822E51">
              <w:rPr>
                <w:rFonts w:asciiTheme="minorHAnsi" w:hAnsiTheme="minorHAnsi"/>
                <w:sz w:val="22"/>
                <w:szCs w:val="22"/>
              </w:rPr>
              <w:t>7</w:t>
            </w:r>
          </w:p>
        </w:tc>
        <w:tc>
          <w:tcPr>
            <w:tcW w:w="884" w:type="pct"/>
            <w:tcBorders>
              <w:top w:val="nil"/>
            </w:tcBorders>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5</w:t>
            </w:r>
            <w:r w:rsidR="00822E51">
              <w:rPr>
                <w:rFonts w:asciiTheme="minorHAnsi" w:hAnsiTheme="minorHAnsi"/>
                <w:sz w:val="22"/>
                <w:szCs w:val="22"/>
              </w:rPr>
              <w:t>6.9</w:t>
            </w:r>
            <w:r w:rsidRPr="00163EB6">
              <w:rPr>
                <w:rFonts w:asciiTheme="minorHAnsi" w:hAnsiTheme="minorHAnsi"/>
                <w:sz w:val="22"/>
                <w:szCs w:val="22"/>
              </w:rPr>
              <w:t>%</w:t>
            </w:r>
          </w:p>
        </w:tc>
        <w:tc>
          <w:tcPr>
            <w:tcW w:w="883" w:type="pct"/>
            <w:tcBorders>
              <w:top w:val="nil"/>
            </w:tcBorders>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w:t>
            </w:r>
            <w:r w:rsidR="00822E51">
              <w:rPr>
                <w:rFonts w:asciiTheme="minorHAnsi" w:hAnsiTheme="minorHAnsi"/>
                <w:sz w:val="22"/>
                <w:szCs w:val="22"/>
              </w:rPr>
              <w:t>1.9</w:t>
            </w:r>
            <w:r w:rsidRPr="00163EB6">
              <w:rPr>
                <w:rFonts w:asciiTheme="minorHAnsi" w:hAnsiTheme="minorHAnsi"/>
                <w:sz w:val="22"/>
                <w:szCs w:val="22"/>
              </w:rPr>
              <w:t>%</w:t>
            </w:r>
          </w:p>
        </w:tc>
        <w:tc>
          <w:tcPr>
            <w:tcW w:w="722" w:type="pct"/>
            <w:tcBorders>
              <w:top w:val="nil"/>
            </w:tcBorders>
          </w:tcPr>
          <w:p w:rsidR="00072449" w:rsidRPr="00163EB6" w:rsidRDefault="00072449" w:rsidP="005F6E7E">
            <w:pPr>
              <w:spacing w:line="240" w:lineRule="auto"/>
              <w:jc w:val="center"/>
              <w:rPr>
                <w:rFonts w:asciiTheme="minorHAnsi" w:hAnsiTheme="minorHAnsi"/>
                <w:sz w:val="22"/>
                <w:szCs w:val="22"/>
              </w:rPr>
            </w:pPr>
            <w:r w:rsidRPr="00163EB6">
              <w:rPr>
                <w:rFonts w:asciiTheme="minorHAnsi" w:hAnsiTheme="minorHAnsi"/>
                <w:sz w:val="22"/>
                <w:szCs w:val="22"/>
              </w:rPr>
              <w:t>&lt;</w:t>
            </w:r>
            <w:r w:rsidR="005F6E7E">
              <w:rPr>
                <w:rFonts w:asciiTheme="minorHAnsi" w:hAnsiTheme="minorHAnsi"/>
                <w:sz w:val="22"/>
                <w:szCs w:val="22"/>
              </w:rPr>
              <w:t xml:space="preserve"> </w:t>
            </w:r>
            <w:r w:rsidRPr="00163EB6">
              <w:rPr>
                <w:rFonts w:asciiTheme="minorHAnsi" w:hAnsiTheme="minorHAnsi"/>
                <w:sz w:val="22"/>
                <w:szCs w:val="22"/>
              </w:rPr>
              <w:t>.001</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Pr>
                <w:rFonts w:asciiTheme="minorHAnsi" w:hAnsiTheme="minorHAnsi"/>
                <w:sz w:val="22"/>
                <w:szCs w:val="22"/>
              </w:rPr>
              <w:t>AOD</w:t>
            </w:r>
            <w:r w:rsidRPr="00163EB6">
              <w:rPr>
                <w:rFonts w:asciiTheme="minorHAnsi" w:hAnsiTheme="minorHAnsi"/>
                <w:sz w:val="22"/>
                <w:szCs w:val="22"/>
              </w:rPr>
              <w:t xml:space="preserve"> counselling</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13</w:t>
            </w:r>
            <w:r w:rsidR="00822E51">
              <w:rPr>
                <w:rFonts w:asciiTheme="minorHAnsi" w:hAnsiTheme="minorHAnsi"/>
                <w:sz w:val="22"/>
                <w:szCs w:val="22"/>
              </w:rPr>
              <w:t>7</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58.</w:t>
            </w:r>
            <w:r w:rsidR="00822E51">
              <w:rPr>
                <w:rFonts w:asciiTheme="minorHAnsi" w:hAnsiTheme="minorHAnsi"/>
                <w:sz w:val="22"/>
                <w:szCs w:val="22"/>
              </w:rPr>
              <w:t>4</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5</w:t>
            </w:r>
            <w:r w:rsidR="00822E51">
              <w:rPr>
                <w:rFonts w:asciiTheme="minorHAnsi" w:hAnsiTheme="minorHAnsi"/>
                <w:sz w:val="22"/>
                <w:szCs w:val="22"/>
              </w:rPr>
              <w:t>7.7</w:t>
            </w:r>
            <w:r w:rsidRPr="00163EB6">
              <w:rPr>
                <w:rFonts w:asciiTheme="minorHAnsi" w:hAnsiTheme="minorHAnsi"/>
                <w:sz w:val="22"/>
                <w:szCs w:val="22"/>
              </w:rPr>
              <w:t>%</w:t>
            </w:r>
          </w:p>
        </w:tc>
        <w:tc>
          <w:tcPr>
            <w:tcW w:w="722" w:type="pct"/>
          </w:tcPr>
          <w:p w:rsidR="00072449" w:rsidRPr="00163EB6" w:rsidRDefault="00822E51" w:rsidP="00822E51">
            <w:pPr>
              <w:spacing w:line="240" w:lineRule="auto"/>
              <w:jc w:val="center"/>
              <w:rPr>
                <w:rFonts w:asciiTheme="minorHAnsi" w:hAnsiTheme="minorHAnsi"/>
                <w:sz w:val="22"/>
                <w:szCs w:val="22"/>
              </w:rPr>
            </w:pPr>
            <w:r>
              <w:rPr>
                <w:rFonts w:asciiTheme="minorHAnsi" w:hAnsiTheme="minorHAnsi"/>
                <w:sz w:val="22"/>
                <w:szCs w:val="22"/>
              </w:rPr>
              <w:t>1</w:t>
            </w:r>
            <w:r w:rsidR="00072449" w:rsidRPr="00163EB6">
              <w:rPr>
                <w:rFonts w:asciiTheme="minorHAnsi" w:hAnsiTheme="minorHAnsi"/>
                <w:sz w:val="22"/>
                <w:szCs w:val="22"/>
              </w:rPr>
              <w:t>.</w:t>
            </w:r>
            <w:r>
              <w:rPr>
                <w:rFonts w:asciiTheme="minorHAnsi" w:hAnsiTheme="minorHAnsi"/>
                <w:sz w:val="22"/>
                <w:szCs w:val="22"/>
              </w:rPr>
              <w:t>00</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Residential rehabilitation</w:t>
            </w:r>
          </w:p>
        </w:tc>
        <w:tc>
          <w:tcPr>
            <w:tcW w:w="612" w:type="pct"/>
          </w:tcPr>
          <w:p w:rsidR="00072449" w:rsidRPr="00163EB6" w:rsidRDefault="00072449" w:rsidP="00822E51">
            <w:pPr>
              <w:spacing w:line="240" w:lineRule="auto"/>
              <w:jc w:val="center"/>
              <w:rPr>
                <w:rFonts w:asciiTheme="minorHAnsi" w:hAnsiTheme="minorHAnsi"/>
                <w:sz w:val="22"/>
                <w:szCs w:val="22"/>
              </w:rPr>
            </w:pPr>
            <w:r w:rsidRPr="00163EB6">
              <w:rPr>
                <w:rFonts w:asciiTheme="minorHAnsi" w:hAnsiTheme="minorHAnsi"/>
                <w:sz w:val="22"/>
                <w:szCs w:val="22"/>
              </w:rPr>
              <w:t>13</w:t>
            </w:r>
            <w:r w:rsidR="00822E51">
              <w:rPr>
                <w:rFonts w:asciiTheme="minorHAnsi" w:hAnsiTheme="minorHAnsi"/>
                <w:sz w:val="22"/>
                <w:szCs w:val="22"/>
              </w:rPr>
              <w:t>7</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29.</w:t>
            </w:r>
            <w:r w:rsidR="00822E51">
              <w:rPr>
                <w:rFonts w:asciiTheme="minorHAnsi" w:hAnsiTheme="minorHAnsi"/>
                <w:sz w:val="22"/>
                <w:szCs w:val="22"/>
              </w:rPr>
              <w:t>2</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3</w:t>
            </w:r>
            <w:r w:rsidR="00822E51">
              <w:rPr>
                <w:rFonts w:asciiTheme="minorHAnsi" w:hAnsiTheme="minorHAnsi"/>
                <w:sz w:val="22"/>
                <w:szCs w:val="22"/>
              </w:rPr>
              <w:t>5.8</w:t>
            </w:r>
            <w:r w:rsidRPr="00163EB6">
              <w:rPr>
                <w:rFonts w:asciiTheme="minorHAnsi" w:hAnsiTheme="minorHAnsi"/>
                <w:sz w:val="22"/>
                <w:szCs w:val="22"/>
              </w:rPr>
              <w:t>%</w:t>
            </w:r>
          </w:p>
        </w:tc>
        <w:tc>
          <w:tcPr>
            <w:tcW w:w="72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.25</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Self-help and mutual aid programs</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13</w:t>
            </w:r>
            <w:r w:rsidR="00822E51">
              <w:rPr>
                <w:rFonts w:asciiTheme="minorHAnsi" w:hAnsiTheme="minorHAnsi"/>
                <w:sz w:val="22"/>
                <w:szCs w:val="22"/>
              </w:rPr>
              <w:t>5</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38.</w:t>
            </w:r>
            <w:r w:rsidR="00822E51">
              <w:rPr>
                <w:rFonts w:asciiTheme="minorHAnsi" w:hAnsiTheme="minorHAnsi"/>
                <w:sz w:val="22"/>
                <w:szCs w:val="22"/>
              </w:rPr>
              <w:t>5</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6</w:t>
            </w:r>
            <w:r w:rsidR="00822E51">
              <w:rPr>
                <w:rFonts w:asciiTheme="minorHAnsi" w:hAnsiTheme="minorHAnsi"/>
                <w:sz w:val="22"/>
                <w:szCs w:val="22"/>
              </w:rPr>
              <w:t>7</w:t>
            </w:r>
            <w:r w:rsidRPr="00163EB6">
              <w:rPr>
                <w:rFonts w:asciiTheme="minorHAnsi" w:hAnsiTheme="minorHAnsi"/>
                <w:sz w:val="22"/>
                <w:szCs w:val="22"/>
              </w:rPr>
              <w:t>.4%</w:t>
            </w:r>
          </w:p>
        </w:tc>
        <w:tc>
          <w:tcPr>
            <w:tcW w:w="722" w:type="pct"/>
          </w:tcPr>
          <w:p w:rsidR="00072449" w:rsidRPr="00163EB6" w:rsidRDefault="00072449" w:rsidP="005F6E7E">
            <w:pPr>
              <w:spacing w:line="240" w:lineRule="auto"/>
              <w:jc w:val="center"/>
              <w:rPr>
                <w:rFonts w:asciiTheme="minorHAnsi" w:hAnsiTheme="minorHAnsi"/>
                <w:sz w:val="22"/>
                <w:szCs w:val="22"/>
              </w:rPr>
            </w:pPr>
            <w:r w:rsidRPr="00163EB6">
              <w:rPr>
                <w:rFonts w:asciiTheme="minorHAnsi" w:hAnsiTheme="minorHAnsi"/>
                <w:sz w:val="22"/>
                <w:szCs w:val="22"/>
              </w:rPr>
              <w:t>&lt;</w:t>
            </w:r>
            <w:r w:rsidR="005F6E7E">
              <w:rPr>
                <w:rFonts w:asciiTheme="minorHAnsi" w:hAnsiTheme="minorHAnsi"/>
                <w:sz w:val="22"/>
                <w:szCs w:val="22"/>
              </w:rPr>
              <w:t xml:space="preserve"> </w:t>
            </w:r>
            <w:r w:rsidRPr="00163EB6">
              <w:rPr>
                <w:rFonts w:asciiTheme="minorHAnsi" w:hAnsiTheme="minorHAnsi"/>
                <w:sz w:val="22"/>
                <w:szCs w:val="22"/>
              </w:rPr>
              <w:t>.001</w:t>
            </w:r>
          </w:p>
        </w:tc>
      </w:tr>
      <w:tr w:rsidR="00072449" w:rsidRPr="00415291" w:rsidTr="00072449">
        <w:trPr>
          <w:trHeight w:hRule="exact" w:val="340"/>
        </w:trPr>
        <w:tc>
          <w:tcPr>
            <w:tcW w:w="1899" w:type="pct"/>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Any community service (exc. GP)</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13</w:t>
            </w:r>
            <w:r w:rsidR="00822E51">
              <w:rPr>
                <w:rFonts w:asciiTheme="minorHAnsi" w:hAnsiTheme="minorHAnsi"/>
                <w:sz w:val="22"/>
                <w:szCs w:val="22"/>
              </w:rPr>
              <w:t>6</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81.</w:t>
            </w:r>
            <w:r w:rsidR="006C6D1D">
              <w:rPr>
                <w:rFonts w:asciiTheme="minorHAnsi" w:hAnsiTheme="minorHAnsi"/>
                <w:sz w:val="22"/>
                <w:szCs w:val="22"/>
              </w:rPr>
              <w:t>6</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7</w:t>
            </w:r>
            <w:r w:rsidR="006C6D1D">
              <w:rPr>
                <w:rFonts w:asciiTheme="minorHAnsi" w:hAnsiTheme="minorHAnsi"/>
                <w:sz w:val="22"/>
                <w:szCs w:val="22"/>
              </w:rPr>
              <w:t>6.5</w:t>
            </w:r>
            <w:r w:rsidRPr="00163EB6">
              <w:rPr>
                <w:rFonts w:asciiTheme="minorHAnsi" w:hAnsiTheme="minorHAnsi"/>
                <w:sz w:val="22"/>
                <w:szCs w:val="22"/>
              </w:rPr>
              <w:t>%</w:t>
            </w:r>
          </w:p>
        </w:tc>
        <w:tc>
          <w:tcPr>
            <w:tcW w:w="722" w:type="pct"/>
          </w:tcPr>
          <w:p w:rsidR="00072449" w:rsidRPr="00163EB6" w:rsidRDefault="00072449" w:rsidP="005F6E7E">
            <w:pPr>
              <w:spacing w:line="240" w:lineRule="auto"/>
              <w:jc w:val="center"/>
              <w:rPr>
                <w:rFonts w:asciiTheme="minorHAnsi" w:hAnsiTheme="minorHAnsi"/>
                <w:sz w:val="22"/>
                <w:szCs w:val="22"/>
              </w:rPr>
            </w:pPr>
            <w:r w:rsidRPr="00163EB6">
              <w:rPr>
                <w:rFonts w:asciiTheme="minorHAnsi" w:hAnsiTheme="minorHAnsi"/>
                <w:sz w:val="22"/>
                <w:szCs w:val="22"/>
              </w:rPr>
              <w:t>.</w:t>
            </w:r>
            <w:r w:rsidR="006C6D1D">
              <w:rPr>
                <w:rFonts w:asciiTheme="minorHAnsi" w:hAnsiTheme="minorHAnsi"/>
                <w:sz w:val="22"/>
                <w:szCs w:val="22"/>
              </w:rPr>
              <w:t>2</w:t>
            </w:r>
            <w:r w:rsidR="005F6E7E">
              <w:rPr>
                <w:rFonts w:asciiTheme="minorHAnsi" w:hAnsiTheme="minorHAnsi"/>
                <w:sz w:val="22"/>
                <w:szCs w:val="22"/>
              </w:rPr>
              <w:t>8</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General practitioner</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13</w:t>
            </w:r>
            <w:r w:rsidR="006C6D1D">
              <w:rPr>
                <w:rFonts w:asciiTheme="minorHAnsi" w:hAnsiTheme="minorHAnsi"/>
                <w:sz w:val="22"/>
                <w:szCs w:val="22"/>
              </w:rPr>
              <w:t>7</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90.</w:t>
            </w:r>
            <w:r w:rsidR="006C6D1D">
              <w:rPr>
                <w:rFonts w:asciiTheme="minorHAnsi" w:hAnsiTheme="minorHAnsi"/>
                <w:sz w:val="22"/>
                <w:szCs w:val="22"/>
              </w:rPr>
              <w:t>5</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91.2%</w:t>
            </w:r>
          </w:p>
        </w:tc>
        <w:tc>
          <w:tcPr>
            <w:tcW w:w="72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1.00</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Mental health service</w:t>
            </w:r>
          </w:p>
        </w:tc>
        <w:tc>
          <w:tcPr>
            <w:tcW w:w="612" w:type="pct"/>
          </w:tcPr>
          <w:p w:rsidR="00072449" w:rsidRPr="00163EB6" w:rsidRDefault="00072449" w:rsidP="006C6D1D">
            <w:pPr>
              <w:spacing w:line="240" w:lineRule="auto"/>
              <w:jc w:val="center"/>
              <w:rPr>
                <w:rFonts w:asciiTheme="minorHAnsi" w:hAnsiTheme="minorHAnsi"/>
                <w:sz w:val="22"/>
                <w:szCs w:val="22"/>
              </w:rPr>
            </w:pPr>
            <w:r w:rsidRPr="00163EB6">
              <w:rPr>
                <w:rFonts w:asciiTheme="minorHAnsi" w:hAnsiTheme="minorHAnsi"/>
                <w:sz w:val="22"/>
                <w:szCs w:val="22"/>
              </w:rPr>
              <w:t>13</w:t>
            </w:r>
            <w:r w:rsidR="006C6D1D">
              <w:rPr>
                <w:rFonts w:asciiTheme="minorHAnsi" w:hAnsiTheme="minorHAnsi"/>
                <w:sz w:val="22"/>
                <w:szCs w:val="22"/>
              </w:rPr>
              <w:t>6</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33.</w:t>
            </w:r>
            <w:r w:rsidR="006C6D1D">
              <w:rPr>
                <w:rFonts w:asciiTheme="minorHAnsi" w:hAnsiTheme="minorHAnsi"/>
                <w:sz w:val="22"/>
                <w:szCs w:val="22"/>
              </w:rPr>
              <w:t>1</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w:t>
            </w:r>
            <w:r w:rsidR="006C6D1D">
              <w:rPr>
                <w:rFonts w:asciiTheme="minorHAnsi" w:hAnsiTheme="minorHAnsi"/>
                <w:sz w:val="22"/>
                <w:szCs w:val="22"/>
              </w:rPr>
              <w:t>8.7</w:t>
            </w:r>
            <w:r w:rsidRPr="00163EB6">
              <w:rPr>
                <w:rFonts w:asciiTheme="minorHAnsi" w:hAnsiTheme="minorHAnsi"/>
                <w:sz w:val="22"/>
                <w:szCs w:val="22"/>
              </w:rPr>
              <w:t>%</w:t>
            </w:r>
          </w:p>
        </w:tc>
        <w:tc>
          <w:tcPr>
            <w:tcW w:w="72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w:t>
            </w:r>
            <w:r w:rsidR="006C6D1D">
              <w:rPr>
                <w:rFonts w:asciiTheme="minorHAnsi" w:hAnsiTheme="minorHAnsi"/>
                <w:sz w:val="22"/>
                <w:szCs w:val="22"/>
              </w:rPr>
              <w:t>4</w:t>
            </w:r>
            <w:r w:rsidRPr="00163EB6">
              <w:rPr>
                <w:rFonts w:asciiTheme="minorHAnsi" w:hAnsiTheme="minorHAnsi"/>
                <w:sz w:val="22"/>
                <w:szCs w:val="22"/>
              </w:rPr>
              <w:t>1</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Legal aid</w:t>
            </w:r>
          </w:p>
        </w:tc>
        <w:tc>
          <w:tcPr>
            <w:tcW w:w="612" w:type="pct"/>
          </w:tcPr>
          <w:p w:rsidR="00072449" w:rsidRPr="00163EB6" w:rsidRDefault="00072449" w:rsidP="006C6D1D">
            <w:pPr>
              <w:spacing w:line="240" w:lineRule="auto"/>
              <w:jc w:val="center"/>
              <w:rPr>
                <w:rFonts w:asciiTheme="minorHAnsi" w:hAnsiTheme="minorHAnsi"/>
                <w:sz w:val="22"/>
                <w:szCs w:val="22"/>
              </w:rPr>
            </w:pPr>
            <w:r w:rsidRPr="00163EB6">
              <w:rPr>
                <w:rFonts w:asciiTheme="minorHAnsi" w:hAnsiTheme="minorHAnsi"/>
                <w:sz w:val="22"/>
                <w:szCs w:val="22"/>
              </w:rPr>
              <w:t>13</w:t>
            </w:r>
            <w:r w:rsidR="006C6D1D">
              <w:rPr>
                <w:rFonts w:asciiTheme="minorHAnsi" w:hAnsiTheme="minorHAnsi"/>
                <w:sz w:val="22"/>
                <w:szCs w:val="22"/>
              </w:rPr>
              <w:t>6</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31.</w:t>
            </w:r>
            <w:r w:rsidR="006C6D1D">
              <w:rPr>
                <w:rFonts w:asciiTheme="minorHAnsi" w:hAnsiTheme="minorHAnsi"/>
                <w:sz w:val="22"/>
                <w:szCs w:val="22"/>
              </w:rPr>
              <w:t>6</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21.</w:t>
            </w:r>
            <w:r w:rsidR="006C6D1D">
              <w:rPr>
                <w:rFonts w:asciiTheme="minorHAnsi" w:hAnsiTheme="minorHAnsi"/>
                <w:sz w:val="22"/>
                <w:szCs w:val="22"/>
              </w:rPr>
              <w:t>3</w:t>
            </w:r>
            <w:r w:rsidRPr="00163EB6">
              <w:rPr>
                <w:rFonts w:asciiTheme="minorHAnsi" w:hAnsiTheme="minorHAnsi"/>
                <w:sz w:val="22"/>
                <w:szCs w:val="22"/>
              </w:rPr>
              <w:t>%</w:t>
            </w:r>
          </w:p>
        </w:tc>
        <w:tc>
          <w:tcPr>
            <w:tcW w:w="722" w:type="pct"/>
          </w:tcPr>
          <w:p w:rsidR="00072449" w:rsidRPr="00163EB6" w:rsidRDefault="005F6E7E" w:rsidP="005F6E7E">
            <w:pPr>
              <w:spacing w:line="240" w:lineRule="auto"/>
              <w:jc w:val="center"/>
              <w:rPr>
                <w:rFonts w:asciiTheme="minorHAnsi" w:hAnsiTheme="minorHAnsi"/>
                <w:sz w:val="22"/>
                <w:szCs w:val="22"/>
              </w:rPr>
            </w:pPr>
            <w:r>
              <w:rPr>
                <w:rFonts w:asciiTheme="minorHAnsi" w:hAnsiTheme="minorHAnsi"/>
                <w:sz w:val="22"/>
                <w:szCs w:val="22"/>
              </w:rPr>
              <w:t xml:space="preserve">&lt; </w:t>
            </w:r>
            <w:r w:rsidR="00072449" w:rsidRPr="00163EB6">
              <w:rPr>
                <w:rFonts w:asciiTheme="minorHAnsi" w:hAnsiTheme="minorHAnsi"/>
                <w:sz w:val="22"/>
                <w:szCs w:val="22"/>
              </w:rPr>
              <w:t>.0</w:t>
            </w:r>
            <w:r>
              <w:rPr>
                <w:rFonts w:asciiTheme="minorHAnsi" w:hAnsiTheme="minorHAnsi"/>
                <w:sz w:val="22"/>
                <w:szCs w:val="22"/>
              </w:rPr>
              <w:t>5</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Financial counselling</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13</w:t>
            </w:r>
            <w:r w:rsidR="006C6D1D">
              <w:rPr>
                <w:rFonts w:asciiTheme="minorHAnsi" w:hAnsiTheme="minorHAnsi"/>
                <w:sz w:val="22"/>
                <w:szCs w:val="22"/>
              </w:rPr>
              <w:t>6</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6.</w:t>
            </w:r>
            <w:r w:rsidR="006C6D1D">
              <w:rPr>
                <w:rFonts w:asciiTheme="minorHAnsi" w:hAnsiTheme="minorHAnsi"/>
                <w:sz w:val="22"/>
                <w:szCs w:val="22"/>
              </w:rPr>
              <w:t>6</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11.</w:t>
            </w:r>
            <w:r w:rsidR="006C6D1D">
              <w:rPr>
                <w:rFonts w:asciiTheme="minorHAnsi" w:hAnsiTheme="minorHAnsi"/>
                <w:sz w:val="22"/>
                <w:szCs w:val="22"/>
              </w:rPr>
              <w:t>8</w:t>
            </w:r>
            <w:r w:rsidRPr="00163EB6">
              <w:rPr>
                <w:rFonts w:asciiTheme="minorHAnsi" w:hAnsiTheme="minorHAnsi"/>
                <w:sz w:val="22"/>
                <w:szCs w:val="22"/>
              </w:rPr>
              <w:t>%</w:t>
            </w:r>
          </w:p>
        </w:tc>
        <w:tc>
          <w:tcPr>
            <w:tcW w:w="722" w:type="pct"/>
          </w:tcPr>
          <w:p w:rsidR="00072449" w:rsidRPr="00163EB6" w:rsidRDefault="00072449" w:rsidP="005F6E7E">
            <w:pPr>
              <w:spacing w:line="240" w:lineRule="auto"/>
              <w:jc w:val="center"/>
              <w:rPr>
                <w:rFonts w:asciiTheme="minorHAnsi" w:hAnsiTheme="minorHAnsi"/>
                <w:sz w:val="22"/>
                <w:szCs w:val="22"/>
              </w:rPr>
            </w:pPr>
            <w:r w:rsidRPr="00163EB6">
              <w:rPr>
                <w:rFonts w:asciiTheme="minorHAnsi" w:hAnsiTheme="minorHAnsi"/>
                <w:sz w:val="22"/>
                <w:szCs w:val="22"/>
              </w:rPr>
              <w:t>.14</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Employment service</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13</w:t>
            </w:r>
            <w:r w:rsidR="006C6D1D">
              <w:rPr>
                <w:rFonts w:asciiTheme="minorHAnsi" w:hAnsiTheme="minorHAnsi"/>
                <w:sz w:val="22"/>
                <w:szCs w:val="22"/>
              </w:rPr>
              <w:t>6</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41.</w:t>
            </w:r>
            <w:r w:rsidR="006C6D1D">
              <w:rPr>
                <w:rFonts w:asciiTheme="minorHAnsi" w:hAnsiTheme="minorHAnsi"/>
                <w:sz w:val="22"/>
                <w:szCs w:val="22"/>
              </w:rPr>
              <w:t>9</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43.</w:t>
            </w:r>
            <w:r w:rsidR="006C6D1D">
              <w:rPr>
                <w:rFonts w:asciiTheme="minorHAnsi" w:hAnsiTheme="minorHAnsi"/>
                <w:sz w:val="22"/>
                <w:szCs w:val="22"/>
              </w:rPr>
              <w:t>4</w:t>
            </w:r>
            <w:r w:rsidRPr="00163EB6">
              <w:rPr>
                <w:rFonts w:asciiTheme="minorHAnsi" w:hAnsiTheme="minorHAnsi"/>
                <w:sz w:val="22"/>
                <w:szCs w:val="22"/>
              </w:rPr>
              <w:t>%</w:t>
            </w:r>
          </w:p>
        </w:tc>
        <w:tc>
          <w:tcPr>
            <w:tcW w:w="722" w:type="pct"/>
          </w:tcPr>
          <w:p w:rsidR="00072449" w:rsidRPr="00163EB6" w:rsidRDefault="00072449" w:rsidP="005F6E7E">
            <w:pPr>
              <w:spacing w:line="240" w:lineRule="auto"/>
              <w:jc w:val="center"/>
              <w:rPr>
                <w:rFonts w:asciiTheme="minorHAnsi" w:hAnsiTheme="minorHAnsi"/>
                <w:sz w:val="22"/>
                <w:szCs w:val="22"/>
              </w:rPr>
            </w:pPr>
            <w:r w:rsidRPr="00163EB6">
              <w:rPr>
                <w:rFonts w:asciiTheme="minorHAnsi" w:hAnsiTheme="minorHAnsi"/>
                <w:sz w:val="22"/>
                <w:szCs w:val="22"/>
              </w:rPr>
              <w:t>.</w:t>
            </w:r>
            <w:r w:rsidR="006C6D1D">
              <w:rPr>
                <w:rFonts w:asciiTheme="minorHAnsi" w:hAnsiTheme="minorHAnsi"/>
                <w:sz w:val="22"/>
                <w:szCs w:val="22"/>
              </w:rPr>
              <w:t>89</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Family/relationship counselling</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13</w:t>
            </w:r>
            <w:r w:rsidR="006C6D1D">
              <w:rPr>
                <w:rFonts w:asciiTheme="minorHAnsi" w:hAnsiTheme="minorHAnsi"/>
                <w:sz w:val="22"/>
                <w:szCs w:val="22"/>
              </w:rPr>
              <w:t>6</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8.</w:t>
            </w:r>
            <w:r w:rsidR="006C6D1D">
              <w:rPr>
                <w:rFonts w:asciiTheme="minorHAnsi" w:hAnsiTheme="minorHAnsi"/>
                <w:sz w:val="22"/>
                <w:szCs w:val="22"/>
              </w:rPr>
              <w:t>8</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9.6%</w:t>
            </w:r>
          </w:p>
        </w:tc>
        <w:tc>
          <w:tcPr>
            <w:tcW w:w="722" w:type="pct"/>
          </w:tcPr>
          <w:p w:rsidR="00072449" w:rsidRPr="00163EB6" w:rsidRDefault="00072449" w:rsidP="005F6E7E">
            <w:pPr>
              <w:spacing w:line="240" w:lineRule="auto"/>
              <w:jc w:val="center"/>
              <w:rPr>
                <w:rFonts w:asciiTheme="minorHAnsi" w:hAnsiTheme="minorHAnsi"/>
                <w:sz w:val="22"/>
                <w:szCs w:val="22"/>
              </w:rPr>
            </w:pPr>
            <w:r w:rsidRPr="00163EB6">
              <w:rPr>
                <w:rFonts w:asciiTheme="minorHAnsi" w:hAnsiTheme="minorHAnsi"/>
                <w:sz w:val="22"/>
                <w:szCs w:val="22"/>
              </w:rPr>
              <w:t>1.00</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Housing/homelessness service</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13</w:t>
            </w:r>
            <w:r w:rsidR="006C6D1D">
              <w:rPr>
                <w:rFonts w:asciiTheme="minorHAnsi" w:hAnsiTheme="minorHAnsi"/>
                <w:sz w:val="22"/>
                <w:szCs w:val="22"/>
              </w:rPr>
              <w:t>4</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16.</w:t>
            </w:r>
            <w:r w:rsidR="00851BB2">
              <w:rPr>
                <w:rFonts w:asciiTheme="minorHAnsi" w:hAnsiTheme="minorHAnsi"/>
                <w:sz w:val="22"/>
                <w:szCs w:val="22"/>
              </w:rPr>
              <w:t>4</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26.</w:t>
            </w:r>
            <w:r w:rsidR="00851BB2">
              <w:rPr>
                <w:rFonts w:asciiTheme="minorHAnsi" w:hAnsiTheme="minorHAnsi"/>
                <w:sz w:val="22"/>
                <w:szCs w:val="22"/>
              </w:rPr>
              <w:t>9</w:t>
            </w:r>
            <w:r w:rsidRPr="00163EB6">
              <w:rPr>
                <w:rFonts w:asciiTheme="minorHAnsi" w:hAnsiTheme="minorHAnsi"/>
                <w:sz w:val="22"/>
                <w:szCs w:val="22"/>
              </w:rPr>
              <w:t>%</w:t>
            </w:r>
          </w:p>
        </w:tc>
        <w:tc>
          <w:tcPr>
            <w:tcW w:w="722" w:type="pct"/>
          </w:tcPr>
          <w:p w:rsidR="00072449" w:rsidRPr="00163EB6" w:rsidRDefault="005F6E7E" w:rsidP="005F6E7E">
            <w:pPr>
              <w:spacing w:line="240" w:lineRule="auto"/>
              <w:jc w:val="center"/>
              <w:rPr>
                <w:rFonts w:asciiTheme="minorHAnsi" w:hAnsiTheme="minorHAnsi"/>
                <w:sz w:val="22"/>
                <w:szCs w:val="22"/>
              </w:rPr>
            </w:pPr>
            <w:r>
              <w:rPr>
                <w:rFonts w:asciiTheme="minorHAnsi" w:hAnsiTheme="minorHAnsi"/>
                <w:sz w:val="22"/>
                <w:szCs w:val="22"/>
              </w:rPr>
              <w:t xml:space="preserve">&lt; </w:t>
            </w:r>
            <w:r w:rsidR="00072449" w:rsidRPr="00163EB6">
              <w:rPr>
                <w:rFonts w:asciiTheme="minorHAnsi" w:hAnsiTheme="minorHAnsi"/>
                <w:sz w:val="22"/>
                <w:szCs w:val="22"/>
              </w:rPr>
              <w:t>.0</w:t>
            </w:r>
            <w:r>
              <w:rPr>
                <w:rFonts w:asciiTheme="minorHAnsi" w:hAnsiTheme="minorHAnsi"/>
                <w:sz w:val="22"/>
                <w:szCs w:val="22"/>
              </w:rPr>
              <w:t>5</w:t>
            </w:r>
          </w:p>
        </w:tc>
      </w:tr>
      <w:tr w:rsidR="00072449" w:rsidRPr="00415291" w:rsidTr="00072449">
        <w:trPr>
          <w:trHeight w:hRule="exact" w:val="340"/>
        </w:trPr>
        <w:tc>
          <w:tcPr>
            <w:tcW w:w="1899" w:type="pct"/>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Any acute service use</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136</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66.9%</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44.1%</w:t>
            </w:r>
          </w:p>
        </w:tc>
        <w:tc>
          <w:tcPr>
            <w:tcW w:w="722" w:type="pct"/>
          </w:tcPr>
          <w:p w:rsidR="00072449" w:rsidRPr="00163EB6" w:rsidRDefault="00072449" w:rsidP="005F6E7E">
            <w:pPr>
              <w:spacing w:line="240" w:lineRule="auto"/>
              <w:jc w:val="center"/>
              <w:rPr>
                <w:rFonts w:asciiTheme="minorHAnsi" w:hAnsiTheme="minorHAnsi"/>
                <w:sz w:val="22"/>
                <w:szCs w:val="22"/>
              </w:rPr>
            </w:pPr>
            <w:r w:rsidRPr="00163EB6">
              <w:rPr>
                <w:rFonts w:asciiTheme="minorHAnsi" w:hAnsiTheme="minorHAnsi"/>
                <w:sz w:val="22"/>
                <w:szCs w:val="22"/>
              </w:rPr>
              <w:t>&lt;</w:t>
            </w:r>
            <w:r w:rsidR="005F6E7E">
              <w:rPr>
                <w:rFonts w:asciiTheme="minorHAnsi" w:hAnsiTheme="minorHAnsi"/>
                <w:sz w:val="22"/>
                <w:szCs w:val="22"/>
              </w:rPr>
              <w:t xml:space="preserve"> </w:t>
            </w:r>
            <w:r w:rsidRPr="00163EB6">
              <w:rPr>
                <w:rFonts w:asciiTheme="minorHAnsi" w:hAnsiTheme="minorHAnsi"/>
                <w:sz w:val="22"/>
                <w:szCs w:val="22"/>
              </w:rPr>
              <w:t>.001</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Ambulance</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13</w:t>
            </w:r>
            <w:r w:rsidR="00851BB2">
              <w:rPr>
                <w:rFonts w:asciiTheme="minorHAnsi" w:hAnsiTheme="minorHAnsi"/>
                <w:sz w:val="22"/>
                <w:szCs w:val="22"/>
              </w:rPr>
              <w:t>7</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4</w:t>
            </w:r>
            <w:r w:rsidR="00851BB2">
              <w:rPr>
                <w:rFonts w:asciiTheme="minorHAnsi" w:hAnsiTheme="minorHAnsi"/>
                <w:sz w:val="22"/>
                <w:szCs w:val="22"/>
              </w:rPr>
              <w:t>0.9</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25.</w:t>
            </w:r>
            <w:r w:rsidR="00851BB2">
              <w:rPr>
                <w:rFonts w:asciiTheme="minorHAnsi" w:hAnsiTheme="minorHAnsi"/>
                <w:sz w:val="22"/>
                <w:szCs w:val="22"/>
              </w:rPr>
              <w:t>5</w:t>
            </w:r>
            <w:r w:rsidRPr="00163EB6">
              <w:rPr>
                <w:rFonts w:asciiTheme="minorHAnsi" w:hAnsiTheme="minorHAnsi"/>
                <w:sz w:val="22"/>
                <w:szCs w:val="22"/>
              </w:rPr>
              <w:t>%</w:t>
            </w:r>
          </w:p>
        </w:tc>
        <w:tc>
          <w:tcPr>
            <w:tcW w:w="722" w:type="pct"/>
          </w:tcPr>
          <w:p w:rsidR="00072449" w:rsidRPr="00163EB6" w:rsidRDefault="005F6E7E" w:rsidP="005F6E7E">
            <w:pPr>
              <w:spacing w:line="240" w:lineRule="auto"/>
              <w:jc w:val="center"/>
              <w:rPr>
                <w:rFonts w:asciiTheme="minorHAnsi" w:hAnsiTheme="minorHAnsi"/>
                <w:sz w:val="22"/>
                <w:szCs w:val="22"/>
              </w:rPr>
            </w:pPr>
            <w:r>
              <w:rPr>
                <w:rFonts w:asciiTheme="minorHAnsi" w:hAnsiTheme="minorHAnsi"/>
                <w:sz w:val="22"/>
                <w:szCs w:val="22"/>
              </w:rPr>
              <w:t xml:space="preserve">&lt; </w:t>
            </w:r>
            <w:r w:rsidR="00072449" w:rsidRPr="00163EB6">
              <w:rPr>
                <w:rFonts w:asciiTheme="minorHAnsi" w:hAnsiTheme="minorHAnsi"/>
                <w:sz w:val="22"/>
                <w:szCs w:val="22"/>
              </w:rPr>
              <w:t>.0</w:t>
            </w:r>
            <w:r>
              <w:rPr>
                <w:rFonts w:asciiTheme="minorHAnsi" w:hAnsiTheme="minorHAnsi"/>
                <w:sz w:val="22"/>
                <w:szCs w:val="22"/>
              </w:rPr>
              <w:t>1</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Hospital emergency department</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13</w:t>
            </w:r>
            <w:r w:rsidR="00851BB2">
              <w:rPr>
                <w:rFonts w:asciiTheme="minorHAnsi" w:hAnsiTheme="minorHAnsi"/>
                <w:sz w:val="22"/>
                <w:szCs w:val="22"/>
              </w:rPr>
              <w:t>6</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6</w:t>
            </w:r>
            <w:r w:rsidR="00851BB2">
              <w:rPr>
                <w:rFonts w:asciiTheme="minorHAnsi" w:hAnsiTheme="minorHAnsi"/>
                <w:sz w:val="22"/>
                <w:szCs w:val="22"/>
              </w:rPr>
              <w:t>1.0</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37.</w:t>
            </w:r>
            <w:r w:rsidR="00851BB2">
              <w:rPr>
                <w:rFonts w:asciiTheme="minorHAnsi" w:hAnsiTheme="minorHAnsi"/>
                <w:sz w:val="22"/>
                <w:szCs w:val="22"/>
              </w:rPr>
              <w:t>5</w:t>
            </w:r>
            <w:r w:rsidRPr="00163EB6">
              <w:rPr>
                <w:rFonts w:asciiTheme="minorHAnsi" w:hAnsiTheme="minorHAnsi"/>
                <w:sz w:val="22"/>
                <w:szCs w:val="22"/>
              </w:rPr>
              <w:t>%</w:t>
            </w:r>
          </w:p>
        </w:tc>
        <w:tc>
          <w:tcPr>
            <w:tcW w:w="722" w:type="pct"/>
          </w:tcPr>
          <w:p w:rsidR="00072449" w:rsidRPr="00163EB6" w:rsidRDefault="00072449" w:rsidP="005F6E7E">
            <w:pPr>
              <w:spacing w:line="240" w:lineRule="auto"/>
              <w:jc w:val="center"/>
              <w:rPr>
                <w:rFonts w:asciiTheme="minorHAnsi" w:hAnsiTheme="minorHAnsi"/>
                <w:sz w:val="22"/>
                <w:szCs w:val="22"/>
              </w:rPr>
            </w:pPr>
            <w:r w:rsidRPr="00163EB6">
              <w:rPr>
                <w:rFonts w:asciiTheme="minorHAnsi" w:hAnsiTheme="minorHAnsi"/>
                <w:sz w:val="22"/>
                <w:szCs w:val="22"/>
              </w:rPr>
              <w:t>&lt;</w:t>
            </w:r>
            <w:r w:rsidR="005F6E7E">
              <w:rPr>
                <w:rFonts w:asciiTheme="minorHAnsi" w:hAnsiTheme="minorHAnsi"/>
                <w:sz w:val="22"/>
                <w:szCs w:val="22"/>
              </w:rPr>
              <w:t xml:space="preserve"> </w:t>
            </w:r>
            <w:r w:rsidRPr="00163EB6">
              <w:rPr>
                <w:rFonts w:asciiTheme="minorHAnsi" w:hAnsiTheme="minorHAnsi"/>
                <w:sz w:val="22"/>
                <w:szCs w:val="22"/>
              </w:rPr>
              <w:t>.001</w:t>
            </w:r>
          </w:p>
        </w:tc>
      </w:tr>
      <w:tr w:rsidR="00072449" w:rsidRPr="00415291" w:rsidTr="00072449">
        <w:trPr>
          <w:trHeight w:hRule="exact" w:val="340"/>
        </w:trPr>
        <w:tc>
          <w:tcPr>
            <w:tcW w:w="1899" w:type="pct"/>
            <w:tcMar>
              <w:left w:w="198" w:type="dxa"/>
            </w:tcMar>
          </w:tcPr>
          <w:p w:rsidR="00072449" w:rsidRPr="00163EB6" w:rsidRDefault="00072449" w:rsidP="00072449">
            <w:pPr>
              <w:spacing w:line="240" w:lineRule="auto"/>
              <w:ind w:left="142"/>
              <w:rPr>
                <w:rFonts w:asciiTheme="minorHAnsi" w:hAnsiTheme="minorHAnsi"/>
                <w:sz w:val="22"/>
                <w:szCs w:val="22"/>
              </w:rPr>
            </w:pPr>
            <w:r w:rsidRPr="00163EB6">
              <w:rPr>
                <w:rFonts w:asciiTheme="minorHAnsi" w:hAnsiTheme="minorHAnsi"/>
                <w:sz w:val="22"/>
                <w:szCs w:val="22"/>
              </w:rPr>
              <w:t xml:space="preserve">Hospital inpatient </w:t>
            </w:r>
          </w:p>
        </w:tc>
        <w:tc>
          <w:tcPr>
            <w:tcW w:w="61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13</w:t>
            </w:r>
            <w:r w:rsidR="00851BB2">
              <w:rPr>
                <w:rFonts w:asciiTheme="minorHAnsi" w:hAnsiTheme="minorHAnsi"/>
                <w:sz w:val="22"/>
                <w:szCs w:val="22"/>
              </w:rPr>
              <w:t>6</w:t>
            </w:r>
          </w:p>
        </w:tc>
        <w:tc>
          <w:tcPr>
            <w:tcW w:w="884"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29.</w:t>
            </w:r>
            <w:r w:rsidR="00851BB2">
              <w:rPr>
                <w:rFonts w:asciiTheme="minorHAnsi" w:hAnsiTheme="minorHAnsi"/>
                <w:sz w:val="22"/>
                <w:szCs w:val="22"/>
              </w:rPr>
              <w:t>4</w:t>
            </w:r>
            <w:r w:rsidRPr="00163EB6">
              <w:rPr>
                <w:rFonts w:asciiTheme="minorHAnsi" w:hAnsiTheme="minorHAnsi"/>
                <w:sz w:val="22"/>
                <w:szCs w:val="22"/>
              </w:rPr>
              <w:t>%</w:t>
            </w:r>
          </w:p>
        </w:tc>
        <w:tc>
          <w:tcPr>
            <w:tcW w:w="883"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1</w:t>
            </w:r>
            <w:r w:rsidR="00851BB2">
              <w:rPr>
                <w:rFonts w:asciiTheme="minorHAnsi" w:hAnsiTheme="minorHAnsi"/>
                <w:sz w:val="22"/>
                <w:szCs w:val="22"/>
              </w:rPr>
              <w:t>8.4</w:t>
            </w:r>
            <w:r w:rsidRPr="00163EB6">
              <w:rPr>
                <w:rFonts w:asciiTheme="minorHAnsi" w:hAnsiTheme="minorHAnsi"/>
                <w:sz w:val="22"/>
                <w:szCs w:val="22"/>
              </w:rPr>
              <w:t>%</w:t>
            </w:r>
          </w:p>
        </w:tc>
        <w:tc>
          <w:tcPr>
            <w:tcW w:w="722" w:type="pct"/>
          </w:tcPr>
          <w:p w:rsidR="00072449" w:rsidRPr="00163EB6" w:rsidRDefault="005F6E7E" w:rsidP="005F6E7E">
            <w:pPr>
              <w:spacing w:line="240" w:lineRule="auto"/>
              <w:jc w:val="center"/>
              <w:rPr>
                <w:rFonts w:asciiTheme="minorHAnsi" w:hAnsiTheme="minorHAnsi"/>
                <w:sz w:val="22"/>
                <w:szCs w:val="22"/>
              </w:rPr>
            </w:pPr>
            <w:r>
              <w:rPr>
                <w:rFonts w:asciiTheme="minorHAnsi" w:hAnsiTheme="minorHAnsi"/>
                <w:sz w:val="22"/>
                <w:szCs w:val="22"/>
              </w:rPr>
              <w:t xml:space="preserve">&lt; </w:t>
            </w:r>
            <w:r w:rsidR="00072449" w:rsidRPr="00163EB6">
              <w:rPr>
                <w:rFonts w:asciiTheme="minorHAnsi" w:hAnsiTheme="minorHAnsi"/>
                <w:sz w:val="22"/>
                <w:szCs w:val="22"/>
              </w:rPr>
              <w:t>.0</w:t>
            </w:r>
            <w:r>
              <w:rPr>
                <w:rFonts w:asciiTheme="minorHAnsi" w:hAnsiTheme="minorHAnsi"/>
                <w:sz w:val="22"/>
                <w:szCs w:val="22"/>
              </w:rPr>
              <w:t>5</w:t>
            </w:r>
          </w:p>
        </w:tc>
      </w:tr>
    </w:tbl>
    <w:p w:rsidR="00072449" w:rsidRDefault="00072449" w:rsidP="00072449">
      <w:pPr>
        <w:autoSpaceDE w:val="0"/>
        <w:autoSpaceDN w:val="0"/>
        <w:adjustRightInd w:val="0"/>
        <w:spacing w:after="0" w:line="240" w:lineRule="auto"/>
        <w:rPr>
          <w:rFonts w:ascii="Times New Roman" w:hAnsi="Times New Roman"/>
          <w:b/>
        </w:rPr>
      </w:pPr>
    </w:p>
    <w:p w:rsidR="00072449" w:rsidRDefault="00072449" w:rsidP="0034684A">
      <w:pPr>
        <w:pStyle w:val="FAREH3"/>
      </w:pPr>
      <w:r w:rsidRPr="00163EB6">
        <w:t>Service use Post-PIT by P</w:t>
      </w:r>
      <w:r>
        <w:t>rimary drug type</w:t>
      </w:r>
    </w:p>
    <w:p w:rsidR="00072449" w:rsidRPr="00163EB6" w:rsidRDefault="00072449" w:rsidP="00072449">
      <w:pPr>
        <w:pStyle w:val="FAREnormaltext"/>
      </w:pPr>
      <w:r>
        <w:t>Participants</w:t>
      </w:r>
      <w:r w:rsidRPr="00163EB6">
        <w:t xml:space="preserve"> with opioids as their </w:t>
      </w:r>
      <w:r w:rsidR="00EE7A8F">
        <w:t>PDOC</w:t>
      </w:r>
      <w:r w:rsidRPr="00163EB6">
        <w:t xml:space="preserve"> were much more lik</w:t>
      </w:r>
      <w:r>
        <w:t>ely to engage in specialist AOD services post-PIT. Participants</w:t>
      </w:r>
      <w:r w:rsidRPr="00163EB6">
        <w:t xml:space="preserve"> with alcohol as their </w:t>
      </w:r>
      <w:r w:rsidR="00EE7A8F">
        <w:t>PDOC</w:t>
      </w:r>
      <w:r w:rsidRPr="00163EB6">
        <w:t xml:space="preserve"> were more likely </w:t>
      </w:r>
      <w:r>
        <w:t xml:space="preserve">to engage with acute services </w:t>
      </w:r>
      <w:r w:rsidRPr="00163EB6">
        <w:t xml:space="preserve">in the year following their PIT. In contrast, use of community services and mutual aid showed little variation according to </w:t>
      </w:r>
      <w:r w:rsidR="00EE7A8F">
        <w:t>PDOC</w:t>
      </w:r>
      <w:r w:rsidRPr="00163EB6">
        <w:t>. The referral source for the 36 outpatient</w:t>
      </w:r>
      <w:r>
        <w:t xml:space="preserve"> participants</w:t>
      </w:r>
      <w:r w:rsidRPr="00163EB6">
        <w:t xml:space="preserve"> who attended a</w:t>
      </w:r>
      <w:r>
        <w:t>n</w:t>
      </w:r>
      <w:r w:rsidRPr="00163EB6">
        <w:t xml:space="preserve"> </w:t>
      </w:r>
      <w:r>
        <w:t>acute withdrawal</w:t>
      </w:r>
      <w:r w:rsidRPr="00163EB6">
        <w:t xml:space="preserve"> post-PIT was most commonly self-referral (n=16, 44%) followed by referral from </w:t>
      </w:r>
      <w:r>
        <w:t xml:space="preserve">an </w:t>
      </w:r>
      <w:r w:rsidRPr="00163EB6">
        <w:t xml:space="preserve">AOD service (n=13, 36%). The referral source for the 82 </w:t>
      </w:r>
      <w:r>
        <w:t>acute withdrawal</w:t>
      </w:r>
      <w:r w:rsidRPr="00163EB6">
        <w:t xml:space="preserve"> </w:t>
      </w:r>
      <w:r w:rsidR="006D29AE">
        <w:t>participants</w:t>
      </w:r>
      <w:r w:rsidRPr="00163EB6">
        <w:t xml:space="preserve"> who attended </w:t>
      </w:r>
      <w:r>
        <w:t>residential rehabilitation</w:t>
      </w:r>
      <w:r w:rsidRPr="00163EB6">
        <w:t xml:space="preserve"> post-PIT was most commonly self-referral (n=38, 4</w:t>
      </w:r>
      <w:r>
        <w:t>7</w:t>
      </w:r>
      <w:r w:rsidRPr="00163EB6">
        <w:t>%) followed by referral from AOD service (n=21, 2</w:t>
      </w:r>
      <w:r>
        <w:t>6</w:t>
      </w:r>
      <w:r w:rsidRPr="00163EB6">
        <w:t>%), and then referral from an emergency department (n=15, 1</w:t>
      </w:r>
      <w:r>
        <w:t>9</w:t>
      </w:r>
      <w:r w:rsidRPr="00163EB6">
        <w:t>%)</w:t>
      </w:r>
      <w:r>
        <w:t>.</w:t>
      </w:r>
    </w:p>
    <w:p w:rsidR="00072449" w:rsidRPr="00415291" w:rsidRDefault="00072449" w:rsidP="00072449">
      <w:pPr>
        <w:pStyle w:val="FAREtableheading"/>
      </w:pPr>
      <w:bookmarkStart w:id="118" w:name="_Toc398105075"/>
      <w:proofErr w:type="gramStart"/>
      <w:r w:rsidRPr="00A126E3">
        <w:t xml:space="preserve">Table </w:t>
      </w:r>
      <w:r w:rsidR="00BE3D19" w:rsidRPr="00A126E3">
        <w:fldChar w:fldCharType="begin"/>
      </w:r>
      <w:r w:rsidRPr="00A126E3">
        <w:instrText xml:space="preserve"> STYLEREF 1 \s </w:instrText>
      </w:r>
      <w:r w:rsidR="00BE3D19" w:rsidRPr="00A126E3">
        <w:fldChar w:fldCharType="separate"/>
      </w:r>
      <w:r w:rsidR="00E150CA">
        <w:rPr>
          <w:noProof/>
        </w:rPr>
        <w:t>3</w:t>
      </w:r>
      <w:r w:rsidR="00BE3D19" w:rsidRPr="00A126E3">
        <w:fldChar w:fldCharType="end"/>
      </w:r>
      <w:r w:rsidRPr="00A126E3">
        <w:t>.</w:t>
      </w:r>
      <w:proofErr w:type="gramEnd"/>
      <w:r w:rsidR="00BE3D19" w:rsidRPr="00A126E3">
        <w:fldChar w:fldCharType="begin"/>
      </w:r>
      <w:r w:rsidRPr="00A126E3">
        <w:instrText xml:space="preserve"> SEQ Table \* ARABIC \s 1 </w:instrText>
      </w:r>
      <w:r w:rsidR="00BE3D19" w:rsidRPr="00A126E3">
        <w:fldChar w:fldCharType="separate"/>
      </w:r>
      <w:r w:rsidR="00E150CA">
        <w:rPr>
          <w:noProof/>
        </w:rPr>
        <w:t>13</w:t>
      </w:r>
      <w:r w:rsidR="00BE3D19" w:rsidRPr="00A126E3">
        <w:fldChar w:fldCharType="end"/>
      </w:r>
      <w:r w:rsidRPr="00415291">
        <w:t xml:space="preserve"> </w:t>
      </w:r>
      <w:r w:rsidR="006244F5">
        <w:t xml:space="preserve"> </w:t>
      </w:r>
      <w:r>
        <w:t>P</w:t>
      </w:r>
      <w:r w:rsidRPr="00415291">
        <w:t xml:space="preserve">ost PIT AOD specialist, community and acute medical service use by </w:t>
      </w:r>
      <w:r w:rsidR="00EE7A8F">
        <w:t>PDOC</w:t>
      </w:r>
      <w:bookmarkEnd w:id="118"/>
      <w:r w:rsidRPr="00415291">
        <w:t xml:space="preserve">  </w:t>
      </w:r>
    </w:p>
    <w:tbl>
      <w:tblPr>
        <w:tblStyle w:val="TableGrid"/>
        <w:tblW w:w="5000" w:type="pct"/>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Caption w:val="Table 3.13  Post PIT AOD specialist, community and acute medical service use by PDOC  "/>
        <w:tblDescription w:val="Table 3.13  Post PIT AOD specialist, community and acute medical service use by PDOC  "/>
      </w:tblPr>
      <w:tblGrid>
        <w:gridCol w:w="2984"/>
        <w:gridCol w:w="1024"/>
        <w:gridCol w:w="1046"/>
        <w:gridCol w:w="1002"/>
        <w:gridCol w:w="1519"/>
        <w:gridCol w:w="683"/>
        <w:gridCol w:w="984"/>
      </w:tblGrid>
      <w:tr w:rsidR="00072449" w:rsidRPr="00415291" w:rsidTr="00046CCA">
        <w:trPr>
          <w:trHeight w:hRule="exact" w:val="624"/>
          <w:tblHeader/>
        </w:trPr>
        <w:tc>
          <w:tcPr>
            <w:tcW w:w="1632" w:type="pct"/>
            <w:tcBorders>
              <w:top w:val="single" w:sz="4" w:space="0" w:color="auto"/>
              <w:bottom w:val="single" w:sz="4" w:space="0" w:color="auto"/>
            </w:tcBorders>
          </w:tcPr>
          <w:p w:rsidR="00072449" w:rsidRPr="00163EB6" w:rsidRDefault="00072449" w:rsidP="004516BD">
            <w:pPr>
              <w:spacing w:after="0" w:line="240" w:lineRule="auto"/>
              <w:rPr>
                <w:rFonts w:asciiTheme="minorHAnsi" w:hAnsiTheme="minorHAnsi"/>
                <w:b/>
                <w:sz w:val="22"/>
                <w:szCs w:val="22"/>
              </w:rPr>
            </w:pPr>
            <w:r w:rsidRPr="00163EB6">
              <w:rPr>
                <w:rFonts w:asciiTheme="minorHAnsi" w:hAnsiTheme="minorHAnsi"/>
                <w:b/>
                <w:sz w:val="22"/>
                <w:szCs w:val="22"/>
              </w:rPr>
              <w:t xml:space="preserve">Service </w:t>
            </w:r>
            <w:r w:rsidR="004516BD">
              <w:rPr>
                <w:rFonts w:asciiTheme="minorHAnsi" w:hAnsiTheme="minorHAnsi"/>
                <w:b/>
                <w:sz w:val="22"/>
                <w:szCs w:val="22"/>
              </w:rPr>
              <w:t>t</w:t>
            </w:r>
            <w:r w:rsidRPr="00163EB6">
              <w:rPr>
                <w:rFonts w:asciiTheme="minorHAnsi" w:hAnsiTheme="minorHAnsi"/>
                <w:b/>
                <w:sz w:val="22"/>
                <w:szCs w:val="22"/>
              </w:rPr>
              <w:t xml:space="preserve">ype </w:t>
            </w:r>
            <w:r w:rsidR="004516BD">
              <w:rPr>
                <w:rFonts w:asciiTheme="minorHAnsi" w:hAnsiTheme="minorHAnsi"/>
                <w:b/>
                <w:sz w:val="22"/>
                <w:szCs w:val="22"/>
              </w:rPr>
              <w:t>a</w:t>
            </w:r>
            <w:r w:rsidRPr="00163EB6">
              <w:rPr>
                <w:rFonts w:asciiTheme="minorHAnsi" w:hAnsiTheme="minorHAnsi"/>
                <w:b/>
                <w:sz w:val="22"/>
                <w:szCs w:val="22"/>
              </w:rPr>
              <w:t>ttended</w:t>
            </w:r>
          </w:p>
        </w:tc>
        <w:tc>
          <w:tcPr>
            <w:tcW w:w="572" w:type="pct"/>
            <w:tcBorders>
              <w:top w:val="single" w:sz="4" w:space="0" w:color="auto"/>
              <w:bottom w:val="single" w:sz="4" w:space="0" w:color="auto"/>
            </w:tcBorders>
          </w:tcPr>
          <w:p w:rsidR="00072449" w:rsidRPr="00163EB6" w:rsidRDefault="00072449" w:rsidP="00072449">
            <w:pPr>
              <w:spacing w:after="0" w:line="240" w:lineRule="auto"/>
              <w:jc w:val="center"/>
              <w:rPr>
                <w:rFonts w:asciiTheme="minorHAnsi" w:hAnsiTheme="minorHAnsi"/>
                <w:b/>
                <w:sz w:val="22"/>
                <w:szCs w:val="22"/>
              </w:rPr>
            </w:pPr>
            <w:r w:rsidRPr="00163EB6">
              <w:rPr>
                <w:rFonts w:asciiTheme="minorHAnsi" w:hAnsiTheme="minorHAnsi"/>
                <w:b/>
                <w:sz w:val="22"/>
                <w:szCs w:val="22"/>
              </w:rPr>
              <w:t>Alcohol</w:t>
            </w:r>
          </w:p>
          <w:p w:rsidR="00072449" w:rsidRPr="00163EB6" w:rsidRDefault="00072449" w:rsidP="00072449">
            <w:pPr>
              <w:spacing w:after="0" w:line="240" w:lineRule="auto"/>
              <w:jc w:val="center"/>
              <w:rPr>
                <w:rFonts w:asciiTheme="minorHAnsi" w:hAnsiTheme="minorHAnsi"/>
                <w:b/>
                <w:sz w:val="22"/>
                <w:szCs w:val="22"/>
              </w:rPr>
            </w:pPr>
            <w:r w:rsidRPr="00163EB6">
              <w:rPr>
                <w:rFonts w:asciiTheme="minorHAnsi" w:hAnsiTheme="minorHAnsi"/>
                <w:b/>
                <w:sz w:val="22"/>
                <w:szCs w:val="22"/>
              </w:rPr>
              <w:t>(%)</w:t>
            </w:r>
          </w:p>
        </w:tc>
        <w:tc>
          <w:tcPr>
            <w:tcW w:w="572" w:type="pct"/>
            <w:tcBorders>
              <w:top w:val="single" w:sz="4" w:space="0" w:color="auto"/>
              <w:bottom w:val="single" w:sz="4" w:space="0" w:color="auto"/>
            </w:tcBorders>
          </w:tcPr>
          <w:p w:rsidR="00072449" w:rsidRPr="00163EB6" w:rsidRDefault="00072449" w:rsidP="00072449">
            <w:pPr>
              <w:spacing w:after="0" w:line="240" w:lineRule="auto"/>
              <w:jc w:val="center"/>
              <w:rPr>
                <w:rFonts w:asciiTheme="minorHAnsi" w:hAnsiTheme="minorHAnsi"/>
                <w:b/>
                <w:sz w:val="22"/>
                <w:szCs w:val="22"/>
              </w:rPr>
            </w:pPr>
            <w:r w:rsidRPr="00163EB6">
              <w:rPr>
                <w:rFonts w:asciiTheme="minorHAnsi" w:hAnsiTheme="minorHAnsi"/>
                <w:b/>
                <w:sz w:val="22"/>
                <w:szCs w:val="22"/>
              </w:rPr>
              <w:t>Cannabis</w:t>
            </w:r>
          </w:p>
          <w:p w:rsidR="00072449" w:rsidRPr="00163EB6" w:rsidRDefault="00072449" w:rsidP="00072449">
            <w:pPr>
              <w:spacing w:after="0" w:line="240" w:lineRule="auto"/>
              <w:jc w:val="center"/>
              <w:rPr>
                <w:rFonts w:asciiTheme="minorHAnsi" w:hAnsiTheme="minorHAnsi"/>
                <w:b/>
                <w:sz w:val="22"/>
                <w:szCs w:val="22"/>
              </w:rPr>
            </w:pPr>
            <w:r w:rsidRPr="00163EB6">
              <w:rPr>
                <w:rFonts w:asciiTheme="minorHAnsi" w:hAnsiTheme="minorHAnsi"/>
                <w:b/>
                <w:sz w:val="22"/>
                <w:szCs w:val="22"/>
              </w:rPr>
              <w:t>(%)</w:t>
            </w:r>
          </w:p>
        </w:tc>
        <w:tc>
          <w:tcPr>
            <w:tcW w:w="572" w:type="pct"/>
            <w:tcBorders>
              <w:top w:val="single" w:sz="4" w:space="0" w:color="auto"/>
              <w:bottom w:val="single" w:sz="4" w:space="0" w:color="auto"/>
            </w:tcBorders>
          </w:tcPr>
          <w:p w:rsidR="00072449" w:rsidRPr="00163EB6" w:rsidRDefault="00072449" w:rsidP="00072449">
            <w:pPr>
              <w:spacing w:after="0" w:line="240" w:lineRule="auto"/>
              <w:jc w:val="center"/>
              <w:rPr>
                <w:rFonts w:asciiTheme="minorHAnsi" w:hAnsiTheme="minorHAnsi"/>
                <w:b/>
                <w:sz w:val="22"/>
                <w:szCs w:val="22"/>
              </w:rPr>
            </w:pPr>
            <w:r w:rsidRPr="00163EB6">
              <w:rPr>
                <w:rFonts w:asciiTheme="minorHAnsi" w:hAnsiTheme="minorHAnsi"/>
                <w:b/>
                <w:sz w:val="22"/>
                <w:szCs w:val="22"/>
              </w:rPr>
              <w:t>Opioids</w:t>
            </w:r>
          </w:p>
          <w:p w:rsidR="00072449" w:rsidRPr="00163EB6" w:rsidRDefault="00072449" w:rsidP="00072449">
            <w:pPr>
              <w:spacing w:after="0" w:line="240" w:lineRule="auto"/>
              <w:jc w:val="center"/>
              <w:rPr>
                <w:rFonts w:asciiTheme="minorHAnsi" w:hAnsiTheme="minorHAnsi"/>
                <w:b/>
                <w:sz w:val="22"/>
                <w:szCs w:val="22"/>
              </w:rPr>
            </w:pPr>
            <w:r w:rsidRPr="00163EB6">
              <w:rPr>
                <w:rFonts w:asciiTheme="minorHAnsi" w:hAnsiTheme="minorHAnsi"/>
                <w:b/>
                <w:sz w:val="22"/>
                <w:szCs w:val="22"/>
              </w:rPr>
              <w:t>(%)</w:t>
            </w:r>
          </w:p>
        </w:tc>
        <w:tc>
          <w:tcPr>
            <w:tcW w:w="715" w:type="pct"/>
            <w:tcBorders>
              <w:top w:val="single" w:sz="4" w:space="0" w:color="auto"/>
              <w:bottom w:val="single" w:sz="4" w:space="0" w:color="auto"/>
            </w:tcBorders>
          </w:tcPr>
          <w:p w:rsidR="00072449" w:rsidRPr="00163EB6" w:rsidRDefault="00087D81" w:rsidP="00072449">
            <w:pPr>
              <w:spacing w:after="0" w:line="240" w:lineRule="auto"/>
              <w:jc w:val="center"/>
              <w:rPr>
                <w:rFonts w:asciiTheme="minorHAnsi" w:hAnsiTheme="minorHAnsi"/>
                <w:b/>
                <w:sz w:val="22"/>
                <w:szCs w:val="22"/>
              </w:rPr>
            </w:pPr>
            <w:r>
              <w:rPr>
                <w:rFonts w:asciiTheme="minorHAnsi" w:hAnsiTheme="minorHAnsi"/>
                <w:b/>
                <w:sz w:val="22"/>
                <w:szCs w:val="22"/>
              </w:rPr>
              <w:t>Meth</w:t>
            </w:r>
            <w:r w:rsidR="00980B18">
              <w:rPr>
                <w:rFonts w:asciiTheme="minorHAnsi" w:hAnsiTheme="minorHAnsi"/>
                <w:b/>
                <w:sz w:val="22"/>
                <w:szCs w:val="22"/>
              </w:rPr>
              <w:t>/</w:t>
            </w:r>
            <w:proofErr w:type="spellStart"/>
            <w:r w:rsidR="00EB5549">
              <w:rPr>
                <w:rFonts w:asciiTheme="minorHAnsi" w:hAnsiTheme="minorHAnsi"/>
                <w:b/>
                <w:sz w:val="22"/>
                <w:szCs w:val="22"/>
              </w:rPr>
              <w:t>a</w:t>
            </w:r>
            <w:r w:rsidR="00072449" w:rsidRPr="00163EB6">
              <w:rPr>
                <w:rFonts w:asciiTheme="minorHAnsi" w:hAnsiTheme="minorHAnsi"/>
                <w:b/>
                <w:sz w:val="22"/>
                <w:szCs w:val="22"/>
              </w:rPr>
              <w:t>mphet</w:t>
            </w:r>
            <w:proofErr w:type="spellEnd"/>
          </w:p>
          <w:p w:rsidR="00072449" w:rsidRPr="00163EB6" w:rsidRDefault="00072449" w:rsidP="00072449">
            <w:pPr>
              <w:spacing w:after="0" w:line="240" w:lineRule="auto"/>
              <w:jc w:val="center"/>
              <w:rPr>
                <w:rFonts w:asciiTheme="minorHAnsi" w:hAnsiTheme="minorHAnsi"/>
                <w:b/>
                <w:sz w:val="22"/>
                <w:szCs w:val="22"/>
              </w:rPr>
            </w:pPr>
            <w:r w:rsidRPr="00163EB6">
              <w:rPr>
                <w:rFonts w:asciiTheme="minorHAnsi" w:hAnsiTheme="minorHAnsi"/>
                <w:b/>
                <w:sz w:val="22"/>
                <w:szCs w:val="22"/>
              </w:rPr>
              <w:t>(%)</w:t>
            </w:r>
          </w:p>
        </w:tc>
        <w:tc>
          <w:tcPr>
            <w:tcW w:w="370" w:type="pct"/>
            <w:tcBorders>
              <w:top w:val="single" w:sz="4" w:space="0" w:color="auto"/>
              <w:bottom w:val="single" w:sz="4" w:space="0" w:color="auto"/>
            </w:tcBorders>
          </w:tcPr>
          <w:p w:rsidR="00072449" w:rsidRPr="00163EB6" w:rsidRDefault="00072449" w:rsidP="00072449">
            <w:pPr>
              <w:spacing w:after="0" w:line="240" w:lineRule="auto"/>
              <w:jc w:val="center"/>
              <w:rPr>
                <w:rFonts w:asciiTheme="minorHAnsi" w:hAnsiTheme="minorHAnsi"/>
                <w:b/>
                <w:sz w:val="22"/>
                <w:szCs w:val="22"/>
              </w:rPr>
            </w:pPr>
            <w:r w:rsidRPr="00163EB6">
              <w:rPr>
                <w:rFonts w:asciiTheme="minorHAnsi" w:hAnsiTheme="minorHAnsi"/>
                <w:b/>
                <w:sz w:val="22"/>
                <w:szCs w:val="22"/>
              </w:rPr>
              <w:t>Total</w:t>
            </w:r>
          </w:p>
          <w:p w:rsidR="00072449" w:rsidRPr="00163EB6" w:rsidRDefault="00072449" w:rsidP="00072449">
            <w:pPr>
              <w:spacing w:after="0" w:line="240" w:lineRule="auto"/>
              <w:jc w:val="center"/>
              <w:rPr>
                <w:rFonts w:asciiTheme="minorHAnsi" w:hAnsiTheme="minorHAnsi"/>
                <w:b/>
                <w:sz w:val="22"/>
                <w:szCs w:val="22"/>
              </w:rPr>
            </w:pPr>
            <w:r w:rsidRPr="00163EB6">
              <w:rPr>
                <w:rFonts w:asciiTheme="minorHAnsi" w:hAnsiTheme="minorHAnsi"/>
                <w:b/>
                <w:sz w:val="22"/>
                <w:szCs w:val="22"/>
              </w:rPr>
              <w:t>(%)</w:t>
            </w:r>
          </w:p>
        </w:tc>
        <w:tc>
          <w:tcPr>
            <w:tcW w:w="568" w:type="pct"/>
            <w:tcBorders>
              <w:top w:val="single" w:sz="4" w:space="0" w:color="auto"/>
              <w:bottom w:val="single" w:sz="4" w:space="0" w:color="auto"/>
            </w:tcBorders>
          </w:tcPr>
          <w:p w:rsidR="00072449" w:rsidRPr="00163EB6" w:rsidRDefault="00072449" w:rsidP="00072449">
            <w:pPr>
              <w:spacing w:after="0" w:line="240" w:lineRule="auto"/>
              <w:jc w:val="center"/>
              <w:rPr>
                <w:rFonts w:asciiTheme="minorHAnsi" w:hAnsiTheme="minorHAnsi"/>
                <w:b/>
                <w:sz w:val="22"/>
                <w:szCs w:val="22"/>
              </w:rPr>
            </w:pPr>
            <w:r w:rsidRPr="00163EB6">
              <w:rPr>
                <w:rFonts w:asciiTheme="minorHAnsi" w:hAnsiTheme="minorHAnsi"/>
                <w:b/>
                <w:sz w:val="22"/>
                <w:szCs w:val="22"/>
              </w:rPr>
              <w:t>p</w:t>
            </w:r>
          </w:p>
        </w:tc>
      </w:tr>
      <w:tr w:rsidR="00072449" w:rsidRPr="00415291" w:rsidTr="00007E5B">
        <w:trPr>
          <w:trHeight w:hRule="exact" w:val="834"/>
        </w:trPr>
        <w:tc>
          <w:tcPr>
            <w:tcW w:w="1632" w:type="pct"/>
            <w:tcBorders>
              <w:top w:val="single" w:sz="4" w:space="0" w:color="auto"/>
            </w:tcBorders>
          </w:tcPr>
          <w:p w:rsidR="00072449" w:rsidRPr="00163EB6" w:rsidRDefault="00072449" w:rsidP="004516BD">
            <w:pPr>
              <w:spacing w:line="240" w:lineRule="auto"/>
              <w:rPr>
                <w:rFonts w:asciiTheme="minorHAnsi" w:hAnsiTheme="minorHAnsi"/>
                <w:sz w:val="22"/>
                <w:szCs w:val="22"/>
              </w:rPr>
            </w:pPr>
            <w:r w:rsidRPr="00163EB6">
              <w:rPr>
                <w:rFonts w:asciiTheme="minorHAnsi" w:hAnsiTheme="minorHAnsi"/>
                <w:sz w:val="22"/>
                <w:szCs w:val="22"/>
              </w:rPr>
              <w:t xml:space="preserve">AOD </w:t>
            </w:r>
            <w:r w:rsidR="004516BD">
              <w:rPr>
                <w:rFonts w:asciiTheme="minorHAnsi" w:hAnsiTheme="minorHAnsi"/>
                <w:sz w:val="22"/>
                <w:szCs w:val="22"/>
              </w:rPr>
              <w:t>s</w:t>
            </w:r>
            <w:r w:rsidRPr="00163EB6">
              <w:rPr>
                <w:rFonts w:asciiTheme="minorHAnsi" w:hAnsiTheme="minorHAnsi"/>
                <w:sz w:val="22"/>
                <w:szCs w:val="22"/>
              </w:rPr>
              <w:t>ervices</w:t>
            </w:r>
            <w:r w:rsidR="00FC2DF0">
              <w:rPr>
                <w:rFonts w:asciiTheme="minorHAnsi" w:hAnsiTheme="minorHAnsi"/>
                <w:sz w:val="22"/>
                <w:szCs w:val="22"/>
              </w:rPr>
              <w:t xml:space="preserve"> (not including mutual aid or pharmacotherapy)</w:t>
            </w:r>
          </w:p>
        </w:tc>
        <w:tc>
          <w:tcPr>
            <w:tcW w:w="572" w:type="pct"/>
            <w:tcBorders>
              <w:top w:val="single" w:sz="4" w:space="0" w:color="auto"/>
            </w:tcBorders>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6</w:t>
            </w:r>
            <w:r w:rsidR="00FC2DF0">
              <w:rPr>
                <w:rFonts w:asciiTheme="minorHAnsi" w:hAnsiTheme="minorHAnsi"/>
                <w:sz w:val="22"/>
                <w:szCs w:val="22"/>
              </w:rPr>
              <w:t>7.0</w:t>
            </w:r>
          </w:p>
        </w:tc>
        <w:tc>
          <w:tcPr>
            <w:tcW w:w="572" w:type="pct"/>
            <w:tcBorders>
              <w:top w:val="single" w:sz="4" w:space="0" w:color="auto"/>
            </w:tcBorders>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6</w:t>
            </w:r>
            <w:r w:rsidR="00FC2DF0">
              <w:rPr>
                <w:rFonts w:asciiTheme="minorHAnsi" w:hAnsiTheme="minorHAnsi"/>
                <w:sz w:val="22"/>
                <w:szCs w:val="22"/>
              </w:rPr>
              <w:t>4.7</w:t>
            </w:r>
          </w:p>
        </w:tc>
        <w:tc>
          <w:tcPr>
            <w:tcW w:w="572" w:type="pct"/>
            <w:tcBorders>
              <w:top w:val="single" w:sz="4" w:space="0" w:color="auto"/>
            </w:tcBorders>
          </w:tcPr>
          <w:p w:rsidR="00072449" w:rsidRPr="00163EB6" w:rsidRDefault="00FC2DF0" w:rsidP="00072449">
            <w:pPr>
              <w:spacing w:line="240" w:lineRule="auto"/>
              <w:jc w:val="center"/>
              <w:rPr>
                <w:rFonts w:asciiTheme="minorHAnsi" w:hAnsiTheme="minorHAnsi"/>
                <w:sz w:val="22"/>
                <w:szCs w:val="22"/>
              </w:rPr>
            </w:pPr>
            <w:r>
              <w:rPr>
                <w:rFonts w:asciiTheme="minorHAnsi" w:hAnsiTheme="minorHAnsi"/>
                <w:sz w:val="22"/>
                <w:szCs w:val="22"/>
              </w:rPr>
              <w:t>67.4</w:t>
            </w:r>
          </w:p>
        </w:tc>
        <w:tc>
          <w:tcPr>
            <w:tcW w:w="715" w:type="pct"/>
            <w:tcBorders>
              <w:top w:val="single" w:sz="4" w:space="0" w:color="auto"/>
            </w:tcBorders>
          </w:tcPr>
          <w:p w:rsidR="00072449" w:rsidRPr="00163EB6" w:rsidRDefault="00FC2DF0" w:rsidP="00072449">
            <w:pPr>
              <w:spacing w:line="240" w:lineRule="auto"/>
              <w:jc w:val="center"/>
              <w:rPr>
                <w:rFonts w:asciiTheme="minorHAnsi" w:hAnsiTheme="minorHAnsi"/>
                <w:sz w:val="22"/>
                <w:szCs w:val="22"/>
              </w:rPr>
            </w:pPr>
            <w:r>
              <w:rPr>
                <w:rFonts w:asciiTheme="minorHAnsi" w:hAnsiTheme="minorHAnsi"/>
                <w:sz w:val="22"/>
                <w:szCs w:val="22"/>
              </w:rPr>
              <w:t>69.6</w:t>
            </w:r>
          </w:p>
        </w:tc>
        <w:tc>
          <w:tcPr>
            <w:tcW w:w="370" w:type="pct"/>
            <w:tcBorders>
              <w:top w:val="single" w:sz="4" w:space="0" w:color="auto"/>
            </w:tcBorders>
          </w:tcPr>
          <w:p w:rsidR="00072449" w:rsidRPr="00163EB6" w:rsidRDefault="00FC2DF0" w:rsidP="00072449">
            <w:pPr>
              <w:spacing w:line="240" w:lineRule="auto"/>
              <w:jc w:val="center"/>
              <w:rPr>
                <w:rFonts w:asciiTheme="minorHAnsi" w:hAnsiTheme="minorHAnsi"/>
                <w:sz w:val="22"/>
                <w:szCs w:val="22"/>
              </w:rPr>
            </w:pPr>
            <w:r>
              <w:rPr>
                <w:rFonts w:asciiTheme="minorHAnsi" w:hAnsiTheme="minorHAnsi"/>
                <w:sz w:val="22"/>
                <w:szCs w:val="22"/>
              </w:rPr>
              <w:t>67.6</w:t>
            </w:r>
          </w:p>
        </w:tc>
        <w:tc>
          <w:tcPr>
            <w:tcW w:w="568" w:type="pct"/>
            <w:tcBorders>
              <w:top w:val="single" w:sz="4" w:space="0" w:color="auto"/>
            </w:tcBorders>
          </w:tcPr>
          <w:p w:rsidR="00072449" w:rsidRPr="00163EB6" w:rsidRDefault="00072449" w:rsidP="00FC2DF0">
            <w:pPr>
              <w:spacing w:line="240" w:lineRule="auto"/>
              <w:jc w:val="center"/>
              <w:rPr>
                <w:rFonts w:asciiTheme="minorHAnsi" w:hAnsiTheme="minorHAnsi"/>
                <w:sz w:val="22"/>
                <w:szCs w:val="22"/>
              </w:rPr>
            </w:pPr>
            <w:r w:rsidRPr="00163EB6">
              <w:rPr>
                <w:rFonts w:asciiTheme="minorHAnsi" w:hAnsiTheme="minorHAnsi"/>
                <w:sz w:val="22"/>
                <w:szCs w:val="22"/>
              </w:rPr>
              <w:t>.</w:t>
            </w:r>
            <w:r w:rsidR="00FC2DF0">
              <w:rPr>
                <w:rFonts w:asciiTheme="minorHAnsi" w:hAnsiTheme="minorHAnsi"/>
                <w:sz w:val="22"/>
                <w:szCs w:val="22"/>
              </w:rPr>
              <w:t>76</w:t>
            </w:r>
          </w:p>
        </w:tc>
      </w:tr>
      <w:tr w:rsidR="00072449" w:rsidRPr="00415291" w:rsidTr="00007E5B">
        <w:trPr>
          <w:trHeight w:hRule="exact" w:val="284"/>
        </w:trPr>
        <w:tc>
          <w:tcPr>
            <w:tcW w:w="1632" w:type="pct"/>
          </w:tcPr>
          <w:p w:rsidR="00072449" w:rsidRPr="00163EB6" w:rsidRDefault="00072449" w:rsidP="004516BD">
            <w:pPr>
              <w:spacing w:line="240" w:lineRule="auto"/>
              <w:rPr>
                <w:rFonts w:asciiTheme="minorHAnsi" w:hAnsiTheme="minorHAnsi"/>
                <w:sz w:val="22"/>
                <w:szCs w:val="22"/>
              </w:rPr>
            </w:pPr>
            <w:r w:rsidRPr="00163EB6">
              <w:rPr>
                <w:rFonts w:asciiTheme="minorHAnsi" w:hAnsiTheme="minorHAnsi"/>
                <w:sz w:val="22"/>
                <w:szCs w:val="22"/>
              </w:rPr>
              <w:t xml:space="preserve">Community </w:t>
            </w:r>
            <w:r w:rsidR="004516BD">
              <w:rPr>
                <w:rFonts w:asciiTheme="minorHAnsi" w:hAnsiTheme="minorHAnsi"/>
                <w:sz w:val="22"/>
                <w:szCs w:val="22"/>
              </w:rPr>
              <w:t>s</w:t>
            </w:r>
            <w:r w:rsidRPr="00163EB6">
              <w:rPr>
                <w:rFonts w:asciiTheme="minorHAnsi" w:hAnsiTheme="minorHAnsi"/>
                <w:sz w:val="22"/>
                <w:szCs w:val="22"/>
              </w:rPr>
              <w:t>ervice</w:t>
            </w:r>
          </w:p>
        </w:tc>
        <w:tc>
          <w:tcPr>
            <w:tcW w:w="57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7</w:t>
            </w:r>
            <w:r w:rsidR="00FC2DF0">
              <w:rPr>
                <w:rFonts w:asciiTheme="minorHAnsi" w:hAnsiTheme="minorHAnsi"/>
                <w:sz w:val="22"/>
                <w:szCs w:val="22"/>
              </w:rPr>
              <w:t>2.8</w:t>
            </w:r>
          </w:p>
        </w:tc>
        <w:tc>
          <w:tcPr>
            <w:tcW w:w="57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82.4</w:t>
            </w:r>
          </w:p>
        </w:tc>
        <w:tc>
          <w:tcPr>
            <w:tcW w:w="57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80.2</w:t>
            </w:r>
          </w:p>
        </w:tc>
        <w:tc>
          <w:tcPr>
            <w:tcW w:w="715" w:type="pct"/>
          </w:tcPr>
          <w:p w:rsidR="00072449" w:rsidRPr="00163EB6" w:rsidRDefault="00FC2DF0" w:rsidP="00072449">
            <w:pPr>
              <w:spacing w:line="240" w:lineRule="auto"/>
              <w:jc w:val="center"/>
              <w:rPr>
                <w:rFonts w:asciiTheme="minorHAnsi" w:hAnsiTheme="minorHAnsi"/>
                <w:sz w:val="22"/>
                <w:szCs w:val="22"/>
              </w:rPr>
            </w:pPr>
            <w:r>
              <w:rPr>
                <w:rFonts w:asciiTheme="minorHAnsi" w:hAnsiTheme="minorHAnsi"/>
                <w:sz w:val="22"/>
                <w:szCs w:val="22"/>
              </w:rPr>
              <w:t>79.3</w:t>
            </w:r>
          </w:p>
        </w:tc>
        <w:tc>
          <w:tcPr>
            <w:tcW w:w="370"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77.</w:t>
            </w:r>
            <w:r w:rsidR="00FC2DF0">
              <w:rPr>
                <w:rFonts w:asciiTheme="minorHAnsi" w:hAnsiTheme="minorHAnsi"/>
                <w:sz w:val="22"/>
                <w:szCs w:val="22"/>
              </w:rPr>
              <w:t>0</w:t>
            </w:r>
          </w:p>
        </w:tc>
        <w:tc>
          <w:tcPr>
            <w:tcW w:w="568" w:type="pct"/>
          </w:tcPr>
          <w:p w:rsidR="00072449" w:rsidRPr="00163EB6" w:rsidRDefault="00072449" w:rsidP="00FC2DF0">
            <w:pPr>
              <w:spacing w:line="240" w:lineRule="auto"/>
              <w:jc w:val="center"/>
              <w:rPr>
                <w:rFonts w:asciiTheme="minorHAnsi" w:hAnsiTheme="minorHAnsi"/>
                <w:sz w:val="22"/>
                <w:szCs w:val="22"/>
              </w:rPr>
            </w:pPr>
            <w:r w:rsidRPr="00163EB6">
              <w:rPr>
                <w:rFonts w:asciiTheme="minorHAnsi" w:hAnsiTheme="minorHAnsi"/>
                <w:sz w:val="22"/>
                <w:szCs w:val="22"/>
              </w:rPr>
              <w:t>.</w:t>
            </w:r>
            <w:r w:rsidR="00FC2DF0">
              <w:rPr>
                <w:rFonts w:asciiTheme="minorHAnsi" w:hAnsiTheme="minorHAnsi"/>
                <w:sz w:val="22"/>
                <w:szCs w:val="22"/>
              </w:rPr>
              <w:t>21</w:t>
            </w:r>
          </w:p>
        </w:tc>
      </w:tr>
      <w:tr w:rsidR="00072449" w:rsidRPr="00415291" w:rsidTr="00007E5B">
        <w:trPr>
          <w:trHeight w:hRule="exact" w:val="284"/>
        </w:trPr>
        <w:tc>
          <w:tcPr>
            <w:tcW w:w="1632" w:type="pct"/>
          </w:tcPr>
          <w:p w:rsidR="00072449" w:rsidRPr="00163EB6" w:rsidRDefault="00072449" w:rsidP="004516BD">
            <w:pPr>
              <w:spacing w:line="240" w:lineRule="auto"/>
              <w:rPr>
                <w:rFonts w:asciiTheme="minorHAnsi" w:hAnsiTheme="minorHAnsi"/>
                <w:sz w:val="22"/>
                <w:szCs w:val="22"/>
              </w:rPr>
            </w:pPr>
            <w:r w:rsidRPr="00163EB6">
              <w:rPr>
                <w:rFonts w:asciiTheme="minorHAnsi" w:hAnsiTheme="minorHAnsi"/>
                <w:sz w:val="22"/>
                <w:szCs w:val="22"/>
              </w:rPr>
              <w:t xml:space="preserve">Acute or </w:t>
            </w:r>
            <w:r w:rsidR="004516BD">
              <w:rPr>
                <w:rFonts w:asciiTheme="minorHAnsi" w:hAnsiTheme="minorHAnsi"/>
                <w:sz w:val="22"/>
                <w:szCs w:val="22"/>
              </w:rPr>
              <w:t>e</w:t>
            </w:r>
            <w:r w:rsidRPr="00163EB6">
              <w:rPr>
                <w:rFonts w:asciiTheme="minorHAnsi" w:hAnsiTheme="minorHAnsi"/>
                <w:sz w:val="22"/>
                <w:szCs w:val="22"/>
              </w:rPr>
              <w:t xml:space="preserve">mergency </w:t>
            </w:r>
            <w:r w:rsidR="004516BD">
              <w:rPr>
                <w:rFonts w:asciiTheme="minorHAnsi" w:hAnsiTheme="minorHAnsi"/>
                <w:sz w:val="22"/>
                <w:szCs w:val="22"/>
              </w:rPr>
              <w:t>s</w:t>
            </w:r>
            <w:r w:rsidRPr="00163EB6">
              <w:rPr>
                <w:rFonts w:asciiTheme="minorHAnsi" w:hAnsiTheme="minorHAnsi"/>
                <w:sz w:val="22"/>
                <w:szCs w:val="22"/>
              </w:rPr>
              <w:t>ervices</w:t>
            </w:r>
          </w:p>
        </w:tc>
        <w:tc>
          <w:tcPr>
            <w:tcW w:w="57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5</w:t>
            </w:r>
            <w:r w:rsidR="00FC2DF0">
              <w:rPr>
                <w:rFonts w:asciiTheme="minorHAnsi" w:hAnsiTheme="minorHAnsi"/>
                <w:sz w:val="22"/>
                <w:szCs w:val="22"/>
              </w:rPr>
              <w:t>8.1</w:t>
            </w:r>
          </w:p>
        </w:tc>
        <w:tc>
          <w:tcPr>
            <w:tcW w:w="57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42.4</w:t>
            </w:r>
          </w:p>
        </w:tc>
        <w:tc>
          <w:tcPr>
            <w:tcW w:w="57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41.9</w:t>
            </w:r>
          </w:p>
        </w:tc>
        <w:tc>
          <w:tcPr>
            <w:tcW w:w="715"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4</w:t>
            </w:r>
            <w:r w:rsidR="00FC2DF0">
              <w:rPr>
                <w:rFonts w:asciiTheme="minorHAnsi" w:hAnsiTheme="minorHAnsi"/>
                <w:sz w:val="22"/>
                <w:szCs w:val="22"/>
              </w:rPr>
              <w:t>6.7</w:t>
            </w:r>
          </w:p>
        </w:tc>
        <w:tc>
          <w:tcPr>
            <w:tcW w:w="370"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51</w:t>
            </w:r>
            <w:r w:rsidR="000C463F">
              <w:rPr>
                <w:rFonts w:asciiTheme="minorHAnsi" w:hAnsiTheme="minorHAnsi"/>
                <w:sz w:val="22"/>
                <w:szCs w:val="22"/>
              </w:rPr>
              <w:t>.0</w:t>
            </w:r>
          </w:p>
        </w:tc>
        <w:tc>
          <w:tcPr>
            <w:tcW w:w="568" w:type="pct"/>
          </w:tcPr>
          <w:p w:rsidR="00072449" w:rsidRPr="00163EB6" w:rsidRDefault="00072449" w:rsidP="00FC2DF0">
            <w:pPr>
              <w:spacing w:line="240" w:lineRule="auto"/>
              <w:jc w:val="center"/>
              <w:rPr>
                <w:rFonts w:asciiTheme="minorHAnsi" w:hAnsiTheme="minorHAnsi"/>
                <w:sz w:val="22"/>
                <w:szCs w:val="22"/>
              </w:rPr>
            </w:pPr>
            <w:r w:rsidRPr="00163EB6">
              <w:rPr>
                <w:rFonts w:asciiTheme="minorHAnsi" w:hAnsiTheme="minorHAnsi"/>
                <w:sz w:val="22"/>
                <w:szCs w:val="22"/>
              </w:rPr>
              <w:t>&lt;</w:t>
            </w:r>
            <w:r w:rsidR="00FC2DF0">
              <w:rPr>
                <w:rFonts w:asciiTheme="minorHAnsi" w:hAnsiTheme="minorHAnsi"/>
                <w:sz w:val="22"/>
                <w:szCs w:val="22"/>
              </w:rPr>
              <w:t xml:space="preserve"> </w:t>
            </w:r>
            <w:r w:rsidRPr="00163EB6">
              <w:rPr>
                <w:rFonts w:asciiTheme="minorHAnsi" w:hAnsiTheme="minorHAnsi"/>
                <w:sz w:val="22"/>
                <w:szCs w:val="22"/>
              </w:rPr>
              <w:t>.05</w:t>
            </w:r>
          </w:p>
        </w:tc>
      </w:tr>
      <w:tr w:rsidR="00072449" w:rsidRPr="00415291" w:rsidTr="00007E5B">
        <w:trPr>
          <w:trHeight w:hRule="exact" w:val="284"/>
        </w:trPr>
        <w:tc>
          <w:tcPr>
            <w:tcW w:w="1632" w:type="pct"/>
          </w:tcPr>
          <w:p w:rsidR="00072449" w:rsidRPr="00163EB6" w:rsidRDefault="00072449" w:rsidP="004516BD">
            <w:pPr>
              <w:spacing w:line="240" w:lineRule="auto"/>
              <w:rPr>
                <w:rFonts w:asciiTheme="minorHAnsi" w:hAnsiTheme="minorHAnsi"/>
                <w:sz w:val="22"/>
                <w:szCs w:val="22"/>
              </w:rPr>
            </w:pPr>
            <w:r w:rsidRPr="00163EB6">
              <w:rPr>
                <w:rFonts w:asciiTheme="minorHAnsi" w:hAnsiTheme="minorHAnsi"/>
                <w:sz w:val="22"/>
                <w:szCs w:val="22"/>
              </w:rPr>
              <w:t xml:space="preserve">Mutual </w:t>
            </w:r>
            <w:r w:rsidR="004516BD">
              <w:rPr>
                <w:rFonts w:asciiTheme="minorHAnsi" w:hAnsiTheme="minorHAnsi"/>
                <w:sz w:val="22"/>
                <w:szCs w:val="22"/>
              </w:rPr>
              <w:t>a</w:t>
            </w:r>
            <w:r w:rsidRPr="00163EB6">
              <w:rPr>
                <w:rFonts w:asciiTheme="minorHAnsi" w:hAnsiTheme="minorHAnsi"/>
                <w:sz w:val="22"/>
                <w:szCs w:val="22"/>
              </w:rPr>
              <w:t xml:space="preserve">id or </w:t>
            </w:r>
            <w:proofErr w:type="spellStart"/>
            <w:r w:rsidR="004516BD">
              <w:rPr>
                <w:rFonts w:asciiTheme="minorHAnsi" w:hAnsiTheme="minorHAnsi"/>
                <w:sz w:val="22"/>
                <w:szCs w:val="22"/>
              </w:rPr>
              <w:t>s</w:t>
            </w:r>
            <w:r w:rsidRPr="00163EB6">
              <w:rPr>
                <w:rFonts w:asciiTheme="minorHAnsi" w:hAnsiTheme="minorHAnsi"/>
                <w:sz w:val="22"/>
                <w:szCs w:val="22"/>
              </w:rPr>
              <w:t xml:space="preserve">elf </w:t>
            </w:r>
            <w:r w:rsidR="004516BD">
              <w:rPr>
                <w:rFonts w:asciiTheme="minorHAnsi" w:hAnsiTheme="minorHAnsi"/>
                <w:sz w:val="22"/>
                <w:szCs w:val="22"/>
              </w:rPr>
              <w:t>h</w:t>
            </w:r>
            <w:r w:rsidRPr="00163EB6">
              <w:rPr>
                <w:rFonts w:asciiTheme="minorHAnsi" w:hAnsiTheme="minorHAnsi"/>
                <w:sz w:val="22"/>
                <w:szCs w:val="22"/>
              </w:rPr>
              <w:t>elp</w:t>
            </w:r>
            <w:proofErr w:type="spellEnd"/>
            <w:r w:rsidRPr="00163EB6">
              <w:rPr>
                <w:rFonts w:asciiTheme="minorHAnsi" w:hAnsiTheme="minorHAnsi"/>
                <w:sz w:val="22"/>
                <w:szCs w:val="22"/>
              </w:rPr>
              <w:t xml:space="preserve"> </w:t>
            </w:r>
            <w:r w:rsidR="004516BD">
              <w:rPr>
                <w:rFonts w:asciiTheme="minorHAnsi" w:hAnsiTheme="minorHAnsi"/>
                <w:sz w:val="22"/>
                <w:szCs w:val="22"/>
              </w:rPr>
              <w:t>g</w:t>
            </w:r>
            <w:r w:rsidRPr="00163EB6">
              <w:rPr>
                <w:rFonts w:asciiTheme="minorHAnsi" w:hAnsiTheme="minorHAnsi"/>
                <w:sz w:val="22"/>
                <w:szCs w:val="22"/>
              </w:rPr>
              <w:t>roups</w:t>
            </w:r>
          </w:p>
        </w:tc>
        <w:tc>
          <w:tcPr>
            <w:tcW w:w="57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5</w:t>
            </w:r>
            <w:r w:rsidR="000C463F">
              <w:rPr>
                <w:rFonts w:asciiTheme="minorHAnsi" w:hAnsiTheme="minorHAnsi"/>
                <w:sz w:val="22"/>
                <w:szCs w:val="22"/>
              </w:rPr>
              <w:t>0.4</w:t>
            </w:r>
          </w:p>
        </w:tc>
        <w:tc>
          <w:tcPr>
            <w:tcW w:w="57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3</w:t>
            </w:r>
            <w:r w:rsidR="000C463F">
              <w:rPr>
                <w:rFonts w:asciiTheme="minorHAnsi" w:hAnsiTheme="minorHAnsi"/>
                <w:sz w:val="22"/>
                <w:szCs w:val="22"/>
              </w:rPr>
              <w:t>5</w:t>
            </w:r>
            <w:r w:rsidRPr="00163EB6">
              <w:rPr>
                <w:rFonts w:asciiTheme="minorHAnsi" w:hAnsiTheme="minorHAnsi"/>
                <w:sz w:val="22"/>
                <w:szCs w:val="22"/>
              </w:rPr>
              <w:t>.7</w:t>
            </w:r>
          </w:p>
        </w:tc>
        <w:tc>
          <w:tcPr>
            <w:tcW w:w="572"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5</w:t>
            </w:r>
            <w:r w:rsidR="000C463F">
              <w:rPr>
                <w:rFonts w:asciiTheme="minorHAnsi" w:hAnsiTheme="minorHAnsi"/>
                <w:sz w:val="22"/>
                <w:szCs w:val="22"/>
              </w:rPr>
              <w:t>1.2</w:t>
            </w:r>
          </w:p>
        </w:tc>
        <w:tc>
          <w:tcPr>
            <w:tcW w:w="715" w:type="pct"/>
          </w:tcPr>
          <w:p w:rsidR="00072449" w:rsidRPr="00163EB6" w:rsidRDefault="00072449" w:rsidP="00072449">
            <w:pPr>
              <w:spacing w:line="240" w:lineRule="auto"/>
              <w:jc w:val="center"/>
              <w:rPr>
                <w:rFonts w:asciiTheme="minorHAnsi" w:hAnsiTheme="minorHAnsi"/>
                <w:sz w:val="22"/>
                <w:szCs w:val="22"/>
              </w:rPr>
            </w:pPr>
            <w:r w:rsidRPr="00163EB6">
              <w:rPr>
                <w:rFonts w:asciiTheme="minorHAnsi" w:hAnsiTheme="minorHAnsi"/>
                <w:sz w:val="22"/>
                <w:szCs w:val="22"/>
              </w:rPr>
              <w:t>5</w:t>
            </w:r>
            <w:r w:rsidR="000C463F">
              <w:rPr>
                <w:rFonts w:asciiTheme="minorHAnsi" w:hAnsiTheme="minorHAnsi"/>
                <w:sz w:val="22"/>
                <w:szCs w:val="22"/>
              </w:rPr>
              <w:t>3.8</w:t>
            </w:r>
          </w:p>
        </w:tc>
        <w:tc>
          <w:tcPr>
            <w:tcW w:w="370" w:type="pct"/>
          </w:tcPr>
          <w:p w:rsidR="00072449" w:rsidRPr="00163EB6" w:rsidRDefault="00376554" w:rsidP="00072449">
            <w:pPr>
              <w:spacing w:line="240" w:lineRule="auto"/>
              <w:jc w:val="center"/>
              <w:rPr>
                <w:rFonts w:asciiTheme="minorHAnsi" w:hAnsiTheme="minorHAnsi"/>
                <w:sz w:val="22"/>
                <w:szCs w:val="22"/>
              </w:rPr>
            </w:pPr>
            <w:r>
              <w:rPr>
                <w:rFonts w:asciiTheme="minorHAnsi" w:hAnsiTheme="minorHAnsi"/>
                <w:sz w:val="22"/>
                <w:szCs w:val="22"/>
              </w:rPr>
              <w:t>48.6</w:t>
            </w:r>
          </w:p>
        </w:tc>
        <w:tc>
          <w:tcPr>
            <w:tcW w:w="568" w:type="pct"/>
          </w:tcPr>
          <w:p w:rsidR="00072449" w:rsidRPr="00163EB6" w:rsidRDefault="00072449" w:rsidP="000C463F">
            <w:pPr>
              <w:spacing w:line="240" w:lineRule="auto"/>
              <w:jc w:val="center"/>
              <w:rPr>
                <w:rFonts w:asciiTheme="minorHAnsi" w:hAnsiTheme="minorHAnsi"/>
                <w:sz w:val="22"/>
                <w:szCs w:val="22"/>
              </w:rPr>
            </w:pPr>
            <w:r w:rsidRPr="00163EB6">
              <w:rPr>
                <w:rFonts w:asciiTheme="minorHAnsi" w:hAnsiTheme="minorHAnsi"/>
                <w:sz w:val="22"/>
                <w:szCs w:val="22"/>
              </w:rPr>
              <w:t>.</w:t>
            </w:r>
            <w:r w:rsidR="000C463F">
              <w:rPr>
                <w:rFonts w:asciiTheme="minorHAnsi" w:hAnsiTheme="minorHAnsi"/>
                <w:sz w:val="22"/>
                <w:szCs w:val="22"/>
              </w:rPr>
              <w:t>12</w:t>
            </w:r>
          </w:p>
        </w:tc>
      </w:tr>
      <w:tr w:rsidR="00FC2DF0" w:rsidRPr="00415291" w:rsidTr="00FC2DF0">
        <w:trPr>
          <w:trHeight w:hRule="exact" w:val="284"/>
        </w:trPr>
        <w:tc>
          <w:tcPr>
            <w:tcW w:w="1632" w:type="pct"/>
          </w:tcPr>
          <w:p w:rsidR="00FC2DF0" w:rsidRPr="00163EB6" w:rsidRDefault="00FC2DF0" w:rsidP="004516BD">
            <w:pPr>
              <w:spacing w:line="240" w:lineRule="auto"/>
              <w:rPr>
                <w:rFonts w:asciiTheme="minorHAnsi" w:hAnsiTheme="minorHAnsi"/>
              </w:rPr>
            </w:pPr>
            <w:r w:rsidRPr="006E2012">
              <w:rPr>
                <w:rFonts w:asciiTheme="minorHAnsi" w:hAnsiTheme="minorHAnsi"/>
                <w:sz w:val="22"/>
                <w:szCs w:val="22"/>
              </w:rPr>
              <w:t>Pharmacotherapy</w:t>
            </w:r>
          </w:p>
        </w:tc>
        <w:tc>
          <w:tcPr>
            <w:tcW w:w="572" w:type="pct"/>
          </w:tcPr>
          <w:p w:rsidR="00FC2DF0" w:rsidRPr="006E2012" w:rsidRDefault="00376554" w:rsidP="00072449">
            <w:pPr>
              <w:spacing w:line="240" w:lineRule="auto"/>
              <w:jc w:val="center"/>
              <w:rPr>
                <w:rFonts w:asciiTheme="minorHAnsi" w:hAnsiTheme="minorHAnsi"/>
                <w:sz w:val="22"/>
                <w:szCs w:val="22"/>
              </w:rPr>
            </w:pPr>
            <w:r w:rsidRPr="006E2012">
              <w:rPr>
                <w:rFonts w:asciiTheme="minorHAnsi" w:hAnsiTheme="minorHAnsi"/>
                <w:sz w:val="22"/>
                <w:szCs w:val="22"/>
              </w:rPr>
              <w:t>17.2</w:t>
            </w:r>
          </w:p>
        </w:tc>
        <w:tc>
          <w:tcPr>
            <w:tcW w:w="572" w:type="pct"/>
          </w:tcPr>
          <w:p w:rsidR="00FC2DF0" w:rsidRPr="006E2012" w:rsidRDefault="00376554" w:rsidP="00072449">
            <w:pPr>
              <w:spacing w:line="240" w:lineRule="auto"/>
              <w:jc w:val="center"/>
              <w:rPr>
                <w:rFonts w:asciiTheme="minorHAnsi" w:hAnsiTheme="minorHAnsi"/>
                <w:sz w:val="22"/>
                <w:szCs w:val="22"/>
              </w:rPr>
            </w:pPr>
            <w:r w:rsidRPr="006E2012">
              <w:rPr>
                <w:rFonts w:asciiTheme="minorHAnsi" w:hAnsiTheme="minorHAnsi"/>
                <w:sz w:val="22"/>
                <w:szCs w:val="22"/>
              </w:rPr>
              <w:t>9.4</w:t>
            </w:r>
          </w:p>
        </w:tc>
        <w:tc>
          <w:tcPr>
            <w:tcW w:w="572" w:type="pct"/>
          </w:tcPr>
          <w:p w:rsidR="00FC2DF0" w:rsidRPr="006E2012" w:rsidRDefault="00376554" w:rsidP="00072449">
            <w:pPr>
              <w:spacing w:line="240" w:lineRule="auto"/>
              <w:jc w:val="center"/>
              <w:rPr>
                <w:rFonts w:asciiTheme="minorHAnsi" w:hAnsiTheme="minorHAnsi"/>
                <w:sz w:val="22"/>
                <w:szCs w:val="22"/>
              </w:rPr>
            </w:pPr>
            <w:r w:rsidRPr="006E2012">
              <w:rPr>
                <w:rFonts w:asciiTheme="minorHAnsi" w:hAnsiTheme="minorHAnsi"/>
                <w:sz w:val="22"/>
                <w:szCs w:val="22"/>
              </w:rPr>
              <w:t>60.7</w:t>
            </w:r>
          </w:p>
        </w:tc>
        <w:tc>
          <w:tcPr>
            <w:tcW w:w="715" w:type="pct"/>
          </w:tcPr>
          <w:p w:rsidR="00FC2DF0" w:rsidRPr="006E2012" w:rsidRDefault="00376554" w:rsidP="00072449">
            <w:pPr>
              <w:spacing w:line="240" w:lineRule="auto"/>
              <w:jc w:val="center"/>
              <w:rPr>
                <w:rFonts w:asciiTheme="minorHAnsi" w:hAnsiTheme="minorHAnsi"/>
                <w:sz w:val="22"/>
                <w:szCs w:val="22"/>
              </w:rPr>
            </w:pPr>
            <w:r w:rsidRPr="006E2012">
              <w:rPr>
                <w:rFonts w:asciiTheme="minorHAnsi" w:hAnsiTheme="minorHAnsi"/>
                <w:sz w:val="22"/>
                <w:szCs w:val="22"/>
              </w:rPr>
              <w:t>9.8</w:t>
            </w:r>
          </w:p>
        </w:tc>
        <w:tc>
          <w:tcPr>
            <w:tcW w:w="370" w:type="pct"/>
          </w:tcPr>
          <w:p w:rsidR="00FC2DF0" w:rsidRPr="006E2012" w:rsidRDefault="00376554" w:rsidP="00072449">
            <w:pPr>
              <w:spacing w:line="240" w:lineRule="auto"/>
              <w:jc w:val="center"/>
              <w:rPr>
                <w:rFonts w:asciiTheme="minorHAnsi" w:hAnsiTheme="minorHAnsi"/>
                <w:sz w:val="22"/>
                <w:szCs w:val="22"/>
              </w:rPr>
            </w:pPr>
            <w:r w:rsidRPr="006E2012">
              <w:rPr>
                <w:rFonts w:asciiTheme="minorHAnsi" w:hAnsiTheme="minorHAnsi"/>
                <w:sz w:val="22"/>
                <w:szCs w:val="22"/>
              </w:rPr>
              <w:t>21.6</w:t>
            </w:r>
          </w:p>
        </w:tc>
        <w:tc>
          <w:tcPr>
            <w:tcW w:w="568" w:type="pct"/>
          </w:tcPr>
          <w:p w:rsidR="00FC2DF0" w:rsidRPr="006E2012" w:rsidRDefault="00376554" w:rsidP="00072449">
            <w:pPr>
              <w:spacing w:line="240" w:lineRule="auto"/>
              <w:jc w:val="center"/>
              <w:rPr>
                <w:rFonts w:asciiTheme="minorHAnsi" w:hAnsiTheme="minorHAnsi"/>
                <w:sz w:val="22"/>
                <w:szCs w:val="22"/>
              </w:rPr>
            </w:pPr>
            <w:r w:rsidRPr="006E2012">
              <w:rPr>
                <w:rFonts w:asciiTheme="minorHAnsi" w:hAnsiTheme="minorHAnsi"/>
                <w:sz w:val="22"/>
                <w:szCs w:val="22"/>
              </w:rPr>
              <w:t>&lt; .001</w:t>
            </w:r>
          </w:p>
        </w:tc>
      </w:tr>
    </w:tbl>
    <w:p w:rsidR="00072449" w:rsidRPr="00163EB6" w:rsidRDefault="004516BD" w:rsidP="0034684A">
      <w:pPr>
        <w:pStyle w:val="FAREH3"/>
      </w:pPr>
      <w:r>
        <w:lastRenderedPageBreak/>
        <w:t>Participant</w:t>
      </w:r>
      <w:r w:rsidR="00072449">
        <w:t xml:space="preserve"> outcomes</w:t>
      </w:r>
    </w:p>
    <w:p w:rsidR="00072449" w:rsidRPr="00C80FA9" w:rsidRDefault="00072449" w:rsidP="00072449">
      <w:pPr>
        <w:pStyle w:val="ListParagraph"/>
        <w:keepNext/>
        <w:keepLines/>
        <w:numPr>
          <w:ilvl w:val="0"/>
          <w:numId w:val="19"/>
        </w:numPr>
        <w:spacing w:after="120" w:line="240" w:lineRule="auto"/>
        <w:outlineLvl w:val="0"/>
        <w:rPr>
          <w:rFonts w:ascii="Cambria" w:eastAsia="SimSun" w:hAnsi="Cambria"/>
          <w:bCs/>
          <w:i/>
          <w:szCs w:val="24"/>
        </w:rPr>
      </w:pPr>
      <w:r w:rsidRPr="00C80FA9">
        <w:rPr>
          <w:rFonts w:ascii="Cambria" w:eastAsia="SimSun" w:hAnsi="Cambria"/>
          <w:bCs/>
          <w:i/>
          <w:szCs w:val="24"/>
        </w:rPr>
        <w:t xml:space="preserve">Abstinence </w:t>
      </w:r>
    </w:p>
    <w:p w:rsidR="00072449" w:rsidRDefault="00072449" w:rsidP="00072449">
      <w:pPr>
        <w:pStyle w:val="FAREnormaltext"/>
      </w:pPr>
      <w:r w:rsidRPr="003721FC">
        <w:t xml:space="preserve">At follow-up 37.5% (208/554) reported that they had been abstinent from their </w:t>
      </w:r>
      <w:r w:rsidR="00EE7A8F">
        <w:t>PDOC</w:t>
      </w:r>
      <w:r w:rsidRPr="003721FC">
        <w:t xml:space="preserve"> in the month prior to interview. Abstinence rates were highest when the </w:t>
      </w:r>
      <w:r w:rsidR="00EE7A8F">
        <w:t>PDOC</w:t>
      </w:r>
      <w:r w:rsidRPr="003721FC">
        <w:t xml:space="preserve"> was meth</w:t>
      </w:r>
      <w:r w:rsidR="00E977AF">
        <w:t>/</w:t>
      </w:r>
      <w:r w:rsidRPr="003721FC">
        <w:t>amphetamine (</w:t>
      </w:r>
      <w:r w:rsidR="00F030F7">
        <w:t>61</w:t>
      </w:r>
      <w:r w:rsidRPr="003721FC">
        <w:t xml:space="preserve">%), followed by opioids (45%); cannabis (34%) and lowest for alcohol (28%). </w:t>
      </w:r>
      <w:r w:rsidR="007A69E1">
        <w:t>Participants who were prescribed their PDOC, or a pharmacologically similar substance (e.g. substitution pharmacotherapy), but only used it as prescribed (i.e. never used more than the prescribed dose or sourced additional illicit supplies of the substance) were considered abstinent for the purpose of these analyses (n = 22).</w:t>
      </w:r>
      <w:r w:rsidR="001D14D8">
        <w:t xml:space="preserve"> </w:t>
      </w:r>
      <w:r w:rsidRPr="003721FC">
        <w:t>A similar</w:t>
      </w:r>
      <w:r w:rsidR="007A69E1">
        <w:t>ly superior outcome for participants with meth</w:t>
      </w:r>
      <w:r w:rsidR="00E977AF">
        <w:t>/</w:t>
      </w:r>
      <w:r w:rsidR="007A69E1">
        <w:t>amphetamine as their PDOC</w:t>
      </w:r>
      <w:r w:rsidRPr="003721FC">
        <w:t xml:space="preserve"> was observed </w:t>
      </w:r>
      <w:r w:rsidR="00D72DE9">
        <w:t>when abstinence from</w:t>
      </w:r>
      <w:r w:rsidR="00D72DE9" w:rsidRPr="003721FC">
        <w:t xml:space="preserve"> </w:t>
      </w:r>
      <w:r w:rsidRPr="003721FC">
        <w:t>all drugs of concern other than tobacco</w:t>
      </w:r>
      <w:r w:rsidR="00D72DE9">
        <w:t xml:space="preserve"> was analysed</w:t>
      </w:r>
      <w:r w:rsidRPr="003721FC">
        <w:t xml:space="preserve"> </w:t>
      </w:r>
      <w:r w:rsidR="007A69E1">
        <w:t>(</w:t>
      </w:r>
      <w:r w:rsidRPr="003721FC">
        <w:t xml:space="preserve">see Figure </w:t>
      </w:r>
      <w:r>
        <w:t>3.</w:t>
      </w:r>
      <w:r w:rsidR="005E57E8">
        <w:t>5</w:t>
      </w:r>
      <w:r w:rsidR="007A69E1">
        <w:t>).</w:t>
      </w:r>
    </w:p>
    <w:p w:rsidR="00072449" w:rsidRDefault="00072449" w:rsidP="00072449">
      <w:pPr>
        <w:pStyle w:val="FAREnormaltext"/>
      </w:pPr>
      <w:r w:rsidRPr="000154DB">
        <w:rPr>
          <w:noProof/>
          <w:sz w:val="16"/>
          <w:lang w:val="en-AU" w:eastAsia="en-AU"/>
        </w:rPr>
        <w:drawing>
          <wp:inline distT="0" distB="0" distL="0" distR="0">
            <wp:extent cx="5731510" cy="2505086"/>
            <wp:effectExtent l="0" t="0" r="2540" b="0"/>
            <wp:docPr id="13" name="Chart 13" descr="Column graph showing the differences in rates of abstinence for PDOC and all DOCs when the PDOC is the indicated substance. Primary drugs of concern being alcohol, cannabis, opiods, meth/amphet, other and total.&#10;&#10;The vertical line being the percentage of clients and the horizontal being the primary drug of concern." title="Figure 3.5  Differences in rates of abstinence for PDOC and all DOCs when the PDOC is the indicated substance"/>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072449" w:rsidRPr="00E41BCC" w:rsidRDefault="00072449" w:rsidP="00E41BCC">
      <w:pPr>
        <w:pStyle w:val="FARETableStyle1"/>
      </w:pPr>
      <w:bookmarkStart w:id="119" w:name="_Toc398105114"/>
      <w:proofErr w:type="gramStart"/>
      <w:r w:rsidRPr="00E41BCC">
        <w:t xml:space="preserve">Figure </w:t>
      </w:r>
      <w:r w:rsidR="00BE3D19" w:rsidRPr="00E41BCC">
        <w:fldChar w:fldCharType="begin"/>
      </w:r>
      <w:r w:rsidRPr="00E41BCC">
        <w:instrText xml:space="preserve"> STYLEREF 1 \s </w:instrText>
      </w:r>
      <w:r w:rsidR="00BE3D19" w:rsidRPr="00E41BCC">
        <w:fldChar w:fldCharType="separate"/>
      </w:r>
      <w:r w:rsidR="00E150CA">
        <w:rPr>
          <w:noProof/>
        </w:rPr>
        <w:t>3</w:t>
      </w:r>
      <w:r w:rsidR="00BE3D19" w:rsidRPr="00E41BCC">
        <w:fldChar w:fldCharType="end"/>
      </w:r>
      <w:r w:rsidRPr="00E41BCC">
        <w:t>.</w:t>
      </w:r>
      <w:proofErr w:type="gramEnd"/>
      <w:r w:rsidR="00BE3D19" w:rsidRPr="00E41BCC">
        <w:fldChar w:fldCharType="begin"/>
      </w:r>
      <w:r w:rsidRPr="00E41BCC">
        <w:instrText xml:space="preserve"> SEQ Figure \* ARABIC \s 1 </w:instrText>
      </w:r>
      <w:r w:rsidR="00BE3D19" w:rsidRPr="00E41BCC">
        <w:fldChar w:fldCharType="separate"/>
      </w:r>
      <w:r w:rsidR="00E150CA">
        <w:rPr>
          <w:noProof/>
        </w:rPr>
        <w:t>5</w:t>
      </w:r>
      <w:r w:rsidR="00BE3D19" w:rsidRPr="00E41BCC">
        <w:fldChar w:fldCharType="end"/>
      </w:r>
      <w:r w:rsidR="006244F5" w:rsidRPr="00E41BCC">
        <w:t xml:space="preserve"> </w:t>
      </w:r>
      <w:r w:rsidRPr="00E41BCC">
        <w:t xml:space="preserve"> Differences in rates of abstinence for </w:t>
      </w:r>
      <w:r w:rsidR="00EE7A8F" w:rsidRPr="00E41BCC">
        <w:t>PDOC</w:t>
      </w:r>
      <w:r w:rsidRPr="00E41BCC">
        <w:t xml:space="preserve"> and all DOCs when the </w:t>
      </w:r>
      <w:r w:rsidR="00EE7A8F" w:rsidRPr="00E41BCC">
        <w:t>PDOC</w:t>
      </w:r>
      <w:r w:rsidRPr="00E41BCC">
        <w:t xml:space="preserve"> is the indicated substance</w:t>
      </w:r>
      <w:bookmarkEnd w:id="119"/>
      <w:r w:rsidRPr="00E41BCC">
        <w:t xml:space="preserve"> </w:t>
      </w:r>
    </w:p>
    <w:p w:rsidR="0075042E" w:rsidRPr="003721FC" w:rsidRDefault="0075042E" w:rsidP="00072449">
      <w:pPr>
        <w:spacing w:line="240" w:lineRule="auto"/>
        <w:rPr>
          <w:b/>
        </w:rPr>
      </w:pPr>
    </w:p>
    <w:p w:rsidR="005E2BE0" w:rsidRDefault="00072449" w:rsidP="00072449">
      <w:pPr>
        <w:pStyle w:val="FAREnormaltext"/>
      </w:pPr>
      <w:r w:rsidRPr="003721FC">
        <w:t xml:space="preserve">Rates of abstinence were significantly higher among those for whom </w:t>
      </w:r>
      <w:r w:rsidR="004516BD">
        <w:t>r</w:t>
      </w:r>
      <w:r>
        <w:t>esidential rehabilitation was their PIT (5</w:t>
      </w:r>
      <w:r w:rsidR="0075042E">
        <w:t>6</w:t>
      </w:r>
      <w:r>
        <w:t xml:space="preserve">%; </w:t>
      </w:r>
      <w:r w:rsidRPr="003721FC">
        <w:t>p</w:t>
      </w:r>
      <w:r>
        <w:t xml:space="preserve"> </w:t>
      </w:r>
      <w:r w:rsidRPr="003721FC">
        <w:t>&lt;</w:t>
      </w:r>
      <w:r w:rsidR="0075042E">
        <w:t xml:space="preserve"> </w:t>
      </w:r>
      <w:r w:rsidRPr="003721FC">
        <w:t>.001</w:t>
      </w:r>
      <w:r>
        <w:t>)</w:t>
      </w:r>
      <w:r w:rsidRPr="003721FC">
        <w:t>. Abstinen</w:t>
      </w:r>
      <w:r>
        <w:t>ce</w:t>
      </w:r>
      <w:r w:rsidRPr="003721FC">
        <w:t xml:space="preserve"> rates were 33% among those for whom outpatient c</w:t>
      </w:r>
      <w:r>
        <w:t>ounselling was their PIT and 30</w:t>
      </w:r>
      <w:r w:rsidRPr="003721FC">
        <w:t xml:space="preserve">% among those for whom </w:t>
      </w:r>
      <w:r>
        <w:t>acute withdrawal</w:t>
      </w:r>
      <w:r w:rsidRPr="003721FC">
        <w:t xml:space="preserve"> was their PIT. The rates of abstinen</w:t>
      </w:r>
      <w:r>
        <w:t>ce</w:t>
      </w:r>
      <w:r w:rsidRPr="003721FC">
        <w:t xml:space="preserve"> from all drugs of concern (DOCs) other than tobacco by PIT are sho</w:t>
      </w:r>
      <w:r>
        <w:t>wn a similar trend (see Figure 3.</w:t>
      </w:r>
      <w:r w:rsidR="005E57E8">
        <w:t>6</w:t>
      </w:r>
      <w:r w:rsidRPr="003721FC">
        <w:t xml:space="preserve">). </w:t>
      </w:r>
      <w:r w:rsidR="00967BBD">
        <w:t xml:space="preserve">Twenty-one </w:t>
      </w:r>
      <w:r>
        <w:t xml:space="preserve">percent of the </w:t>
      </w:r>
      <w:proofErr w:type="gramStart"/>
      <w:r>
        <w:t>sample were</w:t>
      </w:r>
      <w:proofErr w:type="gramEnd"/>
      <w:r>
        <w:t xml:space="preserve"> entirely abstinent from all drugs in the past month, including alcohol (but not including tobacco) at follow-up. </w:t>
      </w:r>
      <w:r w:rsidR="00967BBD">
        <w:t>T</w:t>
      </w:r>
      <w:r>
        <w:t>he highest rate of complete abstinence w</w:t>
      </w:r>
      <w:r w:rsidR="00967BBD">
        <w:t>as</w:t>
      </w:r>
      <w:r>
        <w:t xml:space="preserve"> achieved by long-term residential participants (</w:t>
      </w:r>
      <w:r w:rsidR="00967BBD">
        <w:t>30</w:t>
      </w:r>
      <w:r>
        <w:t xml:space="preserve">%), </w:t>
      </w:r>
      <w:r w:rsidR="00967BBD">
        <w:t xml:space="preserve">which </w:t>
      </w:r>
      <w:r>
        <w:t>was significantly higher than rates achieved by other PIT groups (outpatient: 1</w:t>
      </w:r>
      <w:r w:rsidR="00967BBD">
        <w:t>6</w:t>
      </w:r>
      <w:r>
        <w:t xml:space="preserve">%; acute withdrawal: </w:t>
      </w:r>
      <w:r w:rsidR="00967BBD">
        <w:t>20</w:t>
      </w:r>
      <w:r>
        <w:t>%</w:t>
      </w:r>
      <w:r w:rsidR="00DF7DB1">
        <w:t>, p &lt; .05</w:t>
      </w:r>
      <w:r>
        <w:t>).</w:t>
      </w:r>
      <w:r w:rsidR="00F20D55" w:rsidRPr="00F20D55">
        <w:t xml:space="preserve"> </w:t>
      </w:r>
      <w:r w:rsidR="00F20D55">
        <w:t xml:space="preserve">Taking a conservative estimate and assuming all participants lost to follow-up (excluding those deceased or incarcerated from the analysis) were still </w:t>
      </w:r>
      <w:proofErr w:type="gramStart"/>
      <w:r w:rsidR="00F20D55">
        <w:t>using,</w:t>
      </w:r>
      <w:proofErr w:type="gramEnd"/>
      <w:r w:rsidR="00F20D55">
        <w:t xml:space="preserve"> the overall past month abstinence rate from PDOC </w:t>
      </w:r>
      <w:r w:rsidR="00F20D55" w:rsidRPr="00FA516F">
        <w:t>was 27%.</w:t>
      </w:r>
      <w:r w:rsidR="00B115C2" w:rsidRPr="00FA516F">
        <w:t xml:space="preserve"> </w:t>
      </w:r>
    </w:p>
    <w:p w:rsidR="00072449" w:rsidRPr="003721FC" w:rsidRDefault="005E2BE0" w:rsidP="00072449">
      <w:pPr>
        <w:pStyle w:val="FAREnormaltext"/>
      </w:pPr>
      <w:r>
        <w:t>These results consistently show long-term residential treatment to be associated with higher rates of abstinence. To test this further, we compared participants who had any residential rehabilitation either in the year preceding their PIT, as th</w:t>
      </w:r>
      <w:r w:rsidR="00605A3A">
        <w:t>eir PIT, or between their PIT and follow-up (n = 253) to participants with no residential rehabilitation during this 2 year period (n = 302).</w:t>
      </w:r>
      <w:r>
        <w:t xml:space="preserve"> Participants who </w:t>
      </w:r>
      <w:r>
        <w:lastRenderedPageBreak/>
        <w:t xml:space="preserve">had been in any residential rehabilitation were significantly more likely to </w:t>
      </w:r>
      <w:r w:rsidR="00605A3A">
        <w:t>be abstinent from all DOCs (40</w:t>
      </w:r>
      <w:r>
        <w:t xml:space="preserve">% versus 22%; </w:t>
      </w:r>
      <w:r w:rsidR="00605A3A">
        <w:t>p &lt; .001) and</w:t>
      </w:r>
      <w:r w:rsidRPr="00FD6208">
        <w:t xml:space="preserve"> from their </w:t>
      </w:r>
      <w:r>
        <w:t>PDOC</w:t>
      </w:r>
      <w:r w:rsidRPr="00FD6208">
        <w:t xml:space="preserve"> </w:t>
      </w:r>
      <w:r>
        <w:t xml:space="preserve">(48% versus 29%; </w:t>
      </w:r>
      <w:r w:rsidRPr="00FD6208">
        <w:t>p</w:t>
      </w:r>
      <w:r w:rsidR="00605A3A">
        <w:t xml:space="preserve"> </w:t>
      </w:r>
      <w:r w:rsidRPr="00FD6208">
        <w:t>&lt;</w:t>
      </w:r>
      <w:r w:rsidR="00605A3A">
        <w:t xml:space="preserve"> </w:t>
      </w:r>
      <w:r w:rsidRPr="00FD6208">
        <w:t>.001)</w:t>
      </w:r>
      <w:r w:rsidR="00605A3A">
        <w:t>.</w:t>
      </w:r>
      <w:r w:rsidR="00072449">
        <w:t xml:space="preserve"> Fourteen percent reported being abstinent from their </w:t>
      </w:r>
      <w:r w:rsidR="00EE7A8F">
        <w:t>PDOC</w:t>
      </w:r>
      <w:r w:rsidR="00072449">
        <w:t xml:space="preserve"> during the past year, and rates were 26% when the </w:t>
      </w:r>
      <w:r w:rsidR="00EE7A8F">
        <w:t>PDOC</w:t>
      </w:r>
      <w:r w:rsidR="00072449">
        <w:t xml:space="preserve"> was meth</w:t>
      </w:r>
      <w:r w:rsidR="00E977AF">
        <w:t>/</w:t>
      </w:r>
      <w:r w:rsidR="00072449">
        <w:t>amphetamine, 17% for opioi</w:t>
      </w:r>
      <w:r w:rsidR="00D70DCF">
        <w:t>ds, 16% for cannabis,</w:t>
      </w:r>
      <w:r w:rsidR="00DF7DB1">
        <w:t xml:space="preserve"> and</w:t>
      </w:r>
      <w:r w:rsidR="00D70DCF">
        <w:t xml:space="preserve"> 8% for </w:t>
      </w:r>
      <w:r w:rsidR="00072449">
        <w:t>alcohol</w:t>
      </w:r>
      <w:r w:rsidR="00DF7DB1">
        <w:t xml:space="preserve"> (p &lt; .001)</w:t>
      </w:r>
      <w:r w:rsidR="00072449">
        <w:t>. Only 4% reported being entirely abstinent from all drug and alcohol use during the past year. .</w:t>
      </w:r>
    </w:p>
    <w:p w:rsidR="00072449" w:rsidRDefault="00072449" w:rsidP="00072449">
      <w:pPr>
        <w:spacing w:line="240" w:lineRule="auto"/>
        <w:rPr>
          <w:b/>
        </w:rPr>
      </w:pPr>
    </w:p>
    <w:p w:rsidR="00D70DCF" w:rsidRDefault="001C692B" w:rsidP="00072449">
      <w:pPr>
        <w:spacing w:line="240" w:lineRule="auto"/>
        <w:rPr>
          <w:b/>
        </w:rPr>
      </w:pPr>
      <w:r w:rsidRPr="00007E5B">
        <w:rPr>
          <w:b/>
          <w:noProof/>
          <w:lang w:eastAsia="en-AU"/>
        </w:rPr>
        <w:drawing>
          <wp:inline distT="0" distB="0" distL="0" distR="0">
            <wp:extent cx="5796501" cy="2743200"/>
            <wp:effectExtent l="0" t="0" r="0" b="0"/>
            <wp:docPr id="1" name="Chart 1" descr="Column graph showing the abstinence rates from PDOC and all DOCs by PIT type. &#10;&#10;Treatment types: outpatient, acute withdrawal, residential rehabilitation and total.&#10;&#10;The vertical line being the percentage of partcipants and the horizontal being the treatment type." title="Figure 3.6  Abstinence rates from PDOC and all DOCs by PIT type"/>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072449" w:rsidRPr="00E41BCC" w:rsidRDefault="00072449" w:rsidP="00E41BCC">
      <w:pPr>
        <w:pStyle w:val="FARETableStyle1"/>
      </w:pPr>
      <w:bookmarkStart w:id="120" w:name="_Toc398105115"/>
      <w:proofErr w:type="gramStart"/>
      <w:r w:rsidRPr="00E41BCC">
        <w:t xml:space="preserve">Figure </w:t>
      </w:r>
      <w:r w:rsidR="00BE3D19" w:rsidRPr="00E41BCC">
        <w:fldChar w:fldCharType="begin"/>
      </w:r>
      <w:r w:rsidRPr="00E41BCC">
        <w:instrText xml:space="preserve"> STYLEREF 1 \s </w:instrText>
      </w:r>
      <w:r w:rsidR="00BE3D19" w:rsidRPr="00E41BCC">
        <w:fldChar w:fldCharType="separate"/>
      </w:r>
      <w:r w:rsidR="00E150CA">
        <w:rPr>
          <w:noProof/>
        </w:rPr>
        <w:t>3</w:t>
      </w:r>
      <w:r w:rsidR="00BE3D19" w:rsidRPr="00E41BCC">
        <w:fldChar w:fldCharType="end"/>
      </w:r>
      <w:r w:rsidRPr="00E41BCC">
        <w:t>.</w:t>
      </w:r>
      <w:proofErr w:type="gramEnd"/>
      <w:r w:rsidR="00BE3D19" w:rsidRPr="00E41BCC">
        <w:fldChar w:fldCharType="begin"/>
      </w:r>
      <w:r w:rsidRPr="00E41BCC">
        <w:instrText xml:space="preserve"> SEQ Figure \* ARABIC \s 1 </w:instrText>
      </w:r>
      <w:r w:rsidR="00BE3D19" w:rsidRPr="00E41BCC">
        <w:fldChar w:fldCharType="separate"/>
      </w:r>
      <w:r w:rsidR="00E150CA">
        <w:rPr>
          <w:noProof/>
        </w:rPr>
        <w:t>6</w:t>
      </w:r>
      <w:r w:rsidR="00BE3D19" w:rsidRPr="00E41BCC">
        <w:fldChar w:fldCharType="end"/>
      </w:r>
      <w:r w:rsidR="006244F5" w:rsidRPr="00E41BCC">
        <w:t xml:space="preserve"> </w:t>
      </w:r>
      <w:r w:rsidRPr="00E41BCC">
        <w:t xml:space="preserve"> Abstinence rates from </w:t>
      </w:r>
      <w:r w:rsidR="00EE7A8F" w:rsidRPr="00E41BCC">
        <w:t>PDOC</w:t>
      </w:r>
      <w:r w:rsidRPr="00E41BCC">
        <w:t xml:space="preserve"> and all DOC</w:t>
      </w:r>
      <w:r w:rsidR="00627062" w:rsidRPr="00E41BCC">
        <w:t>s</w:t>
      </w:r>
      <w:r w:rsidRPr="00E41BCC">
        <w:t xml:space="preserve"> by PIT type</w:t>
      </w:r>
      <w:bookmarkEnd w:id="120"/>
    </w:p>
    <w:p w:rsidR="00072449" w:rsidRDefault="00072449" w:rsidP="00072449">
      <w:pPr>
        <w:keepNext/>
        <w:keepLines/>
        <w:spacing w:before="120" w:after="120" w:line="240" w:lineRule="auto"/>
        <w:outlineLvl w:val="0"/>
        <w:rPr>
          <w:rFonts w:ascii="Cambria" w:eastAsia="SimSun" w:hAnsi="Cambria"/>
          <w:bCs/>
          <w:i/>
          <w:sz w:val="24"/>
          <w:szCs w:val="24"/>
        </w:rPr>
      </w:pPr>
    </w:p>
    <w:p w:rsidR="00072449" w:rsidRPr="003721FC" w:rsidRDefault="00072449" w:rsidP="00072449">
      <w:pPr>
        <w:keepNext/>
        <w:keepLines/>
        <w:spacing w:before="120" w:after="120" w:line="240" w:lineRule="auto"/>
        <w:outlineLvl w:val="0"/>
        <w:rPr>
          <w:rFonts w:ascii="Cambria" w:eastAsia="SimSun" w:hAnsi="Cambria"/>
          <w:bCs/>
          <w:i/>
          <w:sz w:val="24"/>
          <w:szCs w:val="24"/>
        </w:rPr>
      </w:pPr>
      <w:r w:rsidRPr="003721FC">
        <w:rPr>
          <w:rFonts w:ascii="Cambria" w:eastAsia="SimSun" w:hAnsi="Cambria"/>
          <w:bCs/>
          <w:i/>
          <w:sz w:val="24"/>
          <w:szCs w:val="24"/>
        </w:rPr>
        <w:t>Differences in abstinence rates by age, gender, ethnicity</w:t>
      </w:r>
    </w:p>
    <w:p w:rsidR="000F5501" w:rsidRDefault="00072449" w:rsidP="004212FD">
      <w:pPr>
        <w:pStyle w:val="FAREnormaltext"/>
        <w:rPr>
          <w:b/>
        </w:rPr>
      </w:pPr>
      <w:r>
        <w:t>L</w:t>
      </w:r>
      <w:r w:rsidRPr="003721FC">
        <w:t xml:space="preserve">ogistic regression </w:t>
      </w:r>
      <w:r>
        <w:t xml:space="preserve">results </w:t>
      </w:r>
      <w:r w:rsidRPr="003721FC">
        <w:t xml:space="preserve">showed that being older predicted lower likelihood of abstinence from </w:t>
      </w:r>
      <w:r w:rsidR="00EE7A8F">
        <w:t>PDOC</w:t>
      </w:r>
      <w:r>
        <w:t xml:space="preserve"> (OR = 0.85, CI = 0.74-0.98</w:t>
      </w:r>
      <w:r w:rsidRPr="003721FC">
        <w:t>), but</w:t>
      </w:r>
      <w:r>
        <w:t xml:space="preserve"> not all DOCs (OR = .9</w:t>
      </w:r>
      <w:r w:rsidR="00F20941">
        <w:t>6</w:t>
      </w:r>
      <w:r>
        <w:t>, CI = 0.8</w:t>
      </w:r>
      <w:r w:rsidR="00F20941">
        <w:t>3</w:t>
      </w:r>
      <w:r>
        <w:t>-1.</w:t>
      </w:r>
      <w:r w:rsidR="00F20941">
        <w:t>11</w:t>
      </w:r>
      <w:r w:rsidRPr="003721FC">
        <w:t xml:space="preserve">), though this is likely to be biased by the higher drop-out rate among younger participants. There were no significant differences in gender with abstinence rates </w:t>
      </w:r>
      <w:r>
        <w:t>of</w:t>
      </w:r>
      <w:r w:rsidRPr="003721FC">
        <w:t xml:space="preserve"> 35% for men and 4</w:t>
      </w:r>
      <w:r w:rsidR="00F20941">
        <w:t>1</w:t>
      </w:r>
      <w:r>
        <w:t xml:space="preserve">% for women for </w:t>
      </w:r>
      <w:r w:rsidR="00EE7A8F">
        <w:t>PDOC</w:t>
      </w:r>
      <w:r w:rsidRPr="003721FC">
        <w:t xml:space="preserve"> </w:t>
      </w:r>
      <w:r>
        <w:t>(</w:t>
      </w:r>
      <w:r w:rsidRPr="003721FC">
        <w:t>p = .2</w:t>
      </w:r>
      <w:r w:rsidR="00F20941">
        <w:t>1</w:t>
      </w:r>
      <w:r w:rsidRPr="003721FC">
        <w:t>) and 27% of men and 3</w:t>
      </w:r>
      <w:r>
        <w:t>5</w:t>
      </w:r>
      <w:r w:rsidRPr="003721FC">
        <w:t xml:space="preserve">% of women for all DOCs </w:t>
      </w:r>
      <w:r>
        <w:t>(</w:t>
      </w:r>
      <w:r w:rsidRPr="003721FC">
        <w:t>p = .0</w:t>
      </w:r>
      <w:r w:rsidR="00F20941">
        <w:t>8</w:t>
      </w:r>
      <w:r w:rsidRPr="003721FC">
        <w:t xml:space="preserve">). There were no significant differences in the rates according to ethnicity, which for </w:t>
      </w:r>
      <w:r w:rsidR="00EE7A8F">
        <w:t>PDOC</w:t>
      </w:r>
      <w:r w:rsidRPr="003721FC">
        <w:t xml:space="preserve"> were 3</w:t>
      </w:r>
      <w:r w:rsidR="00A50DA0">
        <w:t>7</w:t>
      </w:r>
      <w:r w:rsidRPr="003721FC">
        <w:t>% for Australian-born and 4</w:t>
      </w:r>
      <w:r>
        <w:t>2</w:t>
      </w:r>
      <w:r w:rsidRPr="003721FC">
        <w:t xml:space="preserve">% for foreign-born </w:t>
      </w:r>
      <w:r w:rsidR="00A50DA0">
        <w:t>participants</w:t>
      </w:r>
      <w:r w:rsidR="00A50DA0" w:rsidRPr="003721FC">
        <w:t xml:space="preserve"> </w:t>
      </w:r>
      <w:r>
        <w:t>(</w:t>
      </w:r>
      <w:r w:rsidRPr="003721FC">
        <w:t>p = .32)</w:t>
      </w:r>
      <w:r w:rsidR="00A50DA0">
        <w:t>, though there was a near-significant trend for foreign-born participants to be more likely to abstain from all their DOCs</w:t>
      </w:r>
      <w:r w:rsidRPr="003721FC">
        <w:t xml:space="preserve"> </w:t>
      </w:r>
      <w:r w:rsidR="00A50DA0">
        <w:t>(</w:t>
      </w:r>
      <w:r w:rsidRPr="003721FC">
        <w:t>2</w:t>
      </w:r>
      <w:r>
        <w:t>9</w:t>
      </w:r>
      <w:r w:rsidRPr="003721FC">
        <w:t>% among Australian-born</w:t>
      </w:r>
      <w:r w:rsidR="00A50DA0">
        <w:t xml:space="preserve">; </w:t>
      </w:r>
      <w:r w:rsidR="00A50DA0" w:rsidRPr="003721FC">
        <w:t>3</w:t>
      </w:r>
      <w:r w:rsidR="00A50DA0">
        <w:t>8</w:t>
      </w:r>
      <w:r w:rsidRPr="003721FC">
        <w:t>% among foreign-born</w:t>
      </w:r>
      <w:r w:rsidR="00A50DA0">
        <w:t>;</w:t>
      </w:r>
      <w:r w:rsidRPr="003721FC">
        <w:t xml:space="preserve"> p = .0</w:t>
      </w:r>
      <w:r w:rsidR="00A50DA0">
        <w:t>6</w:t>
      </w:r>
      <w:r w:rsidRPr="003721FC">
        <w:t>)</w:t>
      </w:r>
      <w:r>
        <w:t xml:space="preserve"> (Table 3.1</w:t>
      </w:r>
      <w:r w:rsidR="00D70DCF">
        <w:t>4</w:t>
      </w:r>
      <w:r>
        <w:t>).</w:t>
      </w:r>
      <w:r w:rsidR="004212FD">
        <w:rPr>
          <w:b/>
        </w:rPr>
        <w:t xml:space="preserve"> </w:t>
      </w:r>
    </w:p>
    <w:p w:rsidR="00B11DEE" w:rsidRDefault="00B11DEE">
      <w:pPr>
        <w:spacing w:after="120" w:line="240" w:lineRule="auto"/>
        <w:ind w:left="1191" w:hanging="1134"/>
        <w:jc w:val="both"/>
        <w:rPr>
          <w:b/>
          <w:lang w:val="en-GB" w:eastAsia="en-AU"/>
        </w:rPr>
      </w:pPr>
      <w:r>
        <w:br w:type="page"/>
      </w:r>
    </w:p>
    <w:p w:rsidR="00072449" w:rsidRPr="00E41BCC" w:rsidRDefault="00072449" w:rsidP="00E41BCC">
      <w:pPr>
        <w:pStyle w:val="FAREtableheading"/>
      </w:pPr>
      <w:bookmarkStart w:id="121" w:name="_Toc398105076"/>
      <w:proofErr w:type="gramStart"/>
      <w:r w:rsidRPr="00E41BCC">
        <w:lastRenderedPageBreak/>
        <w:t xml:space="preserve">Table </w:t>
      </w:r>
      <w:r w:rsidR="00BE3D19" w:rsidRPr="00E41BCC">
        <w:fldChar w:fldCharType="begin"/>
      </w:r>
      <w:r w:rsidRPr="00E41BCC">
        <w:instrText xml:space="preserve"> STYLEREF 1 \s </w:instrText>
      </w:r>
      <w:r w:rsidR="00BE3D19" w:rsidRPr="00E41BCC">
        <w:fldChar w:fldCharType="separate"/>
      </w:r>
      <w:r w:rsidR="00E150CA">
        <w:rPr>
          <w:noProof/>
        </w:rPr>
        <w:t>3</w:t>
      </w:r>
      <w:r w:rsidR="00BE3D19" w:rsidRPr="00E41BCC">
        <w:fldChar w:fldCharType="end"/>
      </w:r>
      <w:r w:rsidRPr="00E41BCC">
        <w:t>.</w:t>
      </w:r>
      <w:proofErr w:type="gramEnd"/>
      <w:r w:rsidR="00BE3D19" w:rsidRPr="00E41BCC">
        <w:fldChar w:fldCharType="begin"/>
      </w:r>
      <w:r w:rsidRPr="00E41BCC">
        <w:instrText xml:space="preserve"> SEQ Table \* ARABIC \s 1 </w:instrText>
      </w:r>
      <w:r w:rsidR="00BE3D19" w:rsidRPr="00E41BCC">
        <w:fldChar w:fldCharType="separate"/>
      </w:r>
      <w:r w:rsidR="00E150CA">
        <w:rPr>
          <w:noProof/>
        </w:rPr>
        <w:t>14</w:t>
      </w:r>
      <w:r w:rsidR="00BE3D19" w:rsidRPr="00E41BCC">
        <w:fldChar w:fldCharType="end"/>
      </w:r>
      <w:r w:rsidR="006244F5" w:rsidRPr="00E41BCC">
        <w:t xml:space="preserve">  </w:t>
      </w:r>
      <w:r w:rsidRPr="00E41BCC">
        <w:t>Abstinence rates by service use post-PIT</w:t>
      </w:r>
      <w:bookmarkEnd w:id="121"/>
    </w:p>
    <w:tbl>
      <w:tblPr>
        <w:tblStyle w:val="TableGrid"/>
        <w:tblW w:w="9180"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e 3.14  Abstinence rates by service use post-PIT"/>
        <w:tblDescription w:val="Table 3.14  Abstinence rates by service use post-PIT"/>
      </w:tblPr>
      <w:tblGrid>
        <w:gridCol w:w="2376"/>
        <w:gridCol w:w="1134"/>
        <w:gridCol w:w="1418"/>
        <w:gridCol w:w="992"/>
        <w:gridCol w:w="236"/>
        <w:gridCol w:w="1078"/>
        <w:gridCol w:w="1029"/>
        <w:gridCol w:w="917"/>
      </w:tblGrid>
      <w:tr w:rsidR="00125ACF" w:rsidRPr="00415291" w:rsidTr="00046CCA">
        <w:trPr>
          <w:trHeight w:hRule="exact" w:val="567"/>
          <w:tblHeader/>
        </w:trPr>
        <w:tc>
          <w:tcPr>
            <w:tcW w:w="2376" w:type="dxa"/>
            <w:vMerge w:val="restart"/>
            <w:tcBorders>
              <w:top w:val="single" w:sz="4" w:space="0" w:color="auto"/>
            </w:tcBorders>
            <w:vAlign w:val="center"/>
          </w:tcPr>
          <w:p w:rsidR="00125ACF" w:rsidRPr="00F24B8E" w:rsidRDefault="00125ACF" w:rsidP="00072449">
            <w:pPr>
              <w:spacing w:after="0" w:line="240" w:lineRule="auto"/>
              <w:jc w:val="center"/>
              <w:rPr>
                <w:rFonts w:asciiTheme="minorHAnsi" w:hAnsiTheme="minorHAnsi"/>
                <w:b/>
                <w:sz w:val="22"/>
                <w:szCs w:val="22"/>
              </w:rPr>
            </w:pPr>
            <w:r w:rsidRPr="00F24B8E">
              <w:rPr>
                <w:rFonts w:asciiTheme="minorHAnsi" w:hAnsiTheme="minorHAnsi"/>
                <w:b/>
                <w:sz w:val="22"/>
                <w:szCs w:val="22"/>
              </w:rPr>
              <w:t>Abstinence rates in relation to</w:t>
            </w:r>
            <w:r>
              <w:rPr>
                <w:rFonts w:asciiTheme="minorHAnsi" w:hAnsiTheme="minorHAnsi"/>
                <w:b/>
                <w:sz w:val="22"/>
                <w:szCs w:val="22"/>
              </w:rPr>
              <w:t xml:space="preserve"> H</w:t>
            </w:r>
            <w:r w:rsidRPr="003721FC">
              <w:rPr>
                <w:rFonts w:asciiTheme="minorHAnsi" w:hAnsiTheme="minorHAnsi"/>
                <w:b/>
                <w:sz w:val="22"/>
                <w:szCs w:val="22"/>
              </w:rPr>
              <w:t>ealth or social service use</w:t>
            </w:r>
          </w:p>
        </w:tc>
        <w:tc>
          <w:tcPr>
            <w:tcW w:w="3544" w:type="dxa"/>
            <w:gridSpan w:val="3"/>
            <w:tcBorders>
              <w:top w:val="single" w:sz="4" w:space="0" w:color="auto"/>
              <w:bottom w:val="nil"/>
            </w:tcBorders>
            <w:vAlign w:val="center"/>
          </w:tcPr>
          <w:p w:rsidR="00125ACF" w:rsidRPr="00F24B8E" w:rsidRDefault="00125ACF" w:rsidP="00072449">
            <w:pPr>
              <w:spacing w:after="0" w:line="240" w:lineRule="auto"/>
              <w:ind w:left="32"/>
              <w:jc w:val="center"/>
              <w:rPr>
                <w:rFonts w:asciiTheme="minorHAnsi" w:hAnsiTheme="minorHAnsi"/>
                <w:b/>
                <w:sz w:val="22"/>
                <w:szCs w:val="22"/>
              </w:rPr>
            </w:pPr>
            <w:r w:rsidRPr="00F24B8E">
              <w:rPr>
                <w:rFonts w:asciiTheme="minorHAnsi" w:hAnsiTheme="minorHAnsi"/>
                <w:b/>
                <w:sz w:val="22"/>
                <w:szCs w:val="22"/>
              </w:rPr>
              <w:t>Primary Drug of Concern</w:t>
            </w:r>
            <w:r>
              <w:rPr>
                <w:rFonts w:asciiTheme="minorHAnsi" w:hAnsiTheme="minorHAnsi"/>
                <w:b/>
                <w:sz w:val="22"/>
                <w:szCs w:val="22"/>
              </w:rPr>
              <w:t xml:space="preserve"> </w:t>
            </w:r>
            <w:r w:rsidRPr="00F24B8E">
              <w:rPr>
                <w:rFonts w:asciiTheme="minorHAnsi" w:hAnsiTheme="minorHAnsi"/>
                <w:b/>
                <w:sz w:val="22"/>
                <w:szCs w:val="22"/>
              </w:rPr>
              <w:t>(</w:t>
            </w:r>
            <w:r>
              <w:rPr>
                <w:rFonts w:asciiTheme="minorHAnsi" w:hAnsiTheme="minorHAnsi"/>
                <w:b/>
                <w:sz w:val="22"/>
                <w:szCs w:val="22"/>
              </w:rPr>
              <w:t>PDOC</w:t>
            </w:r>
            <w:r w:rsidRPr="00F24B8E">
              <w:rPr>
                <w:rFonts w:asciiTheme="minorHAnsi" w:hAnsiTheme="minorHAnsi"/>
                <w:b/>
                <w:sz w:val="22"/>
                <w:szCs w:val="22"/>
              </w:rPr>
              <w:t>)</w:t>
            </w:r>
          </w:p>
        </w:tc>
        <w:tc>
          <w:tcPr>
            <w:tcW w:w="236" w:type="dxa"/>
            <w:tcBorders>
              <w:top w:val="single" w:sz="4" w:space="0" w:color="auto"/>
              <w:bottom w:val="nil"/>
              <w:right w:val="single" w:sz="4" w:space="0" w:color="auto"/>
            </w:tcBorders>
          </w:tcPr>
          <w:p w:rsidR="00125ACF" w:rsidRPr="00F24B8E" w:rsidRDefault="00125ACF" w:rsidP="00072449">
            <w:pPr>
              <w:spacing w:after="0" w:line="240" w:lineRule="auto"/>
              <w:jc w:val="center"/>
              <w:rPr>
                <w:rFonts w:asciiTheme="minorHAnsi" w:hAnsiTheme="minorHAnsi"/>
                <w:b/>
                <w:sz w:val="22"/>
                <w:szCs w:val="22"/>
              </w:rPr>
            </w:pPr>
          </w:p>
        </w:tc>
        <w:tc>
          <w:tcPr>
            <w:tcW w:w="3024" w:type="dxa"/>
            <w:gridSpan w:val="3"/>
            <w:tcBorders>
              <w:top w:val="single" w:sz="4" w:space="0" w:color="auto"/>
              <w:left w:val="single" w:sz="4" w:space="0" w:color="auto"/>
              <w:bottom w:val="nil"/>
            </w:tcBorders>
            <w:vAlign w:val="center"/>
          </w:tcPr>
          <w:p w:rsidR="00125ACF" w:rsidRPr="00F24B8E" w:rsidRDefault="00125ACF" w:rsidP="00072449">
            <w:pPr>
              <w:spacing w:after="0" w:line="240" w:lineRule="auto"/>
              <w:jc w:val="center"/>
              <w:rPr>
                <w:rFonts w:asciiTheme="minorHAnsi" w:hAnsiTheme="minorHAnsi"/>
                <w:b/>
                <w:sz w:val="22"/>
                <w:szCs w:val="22"/>
              </w:rPr>
            </w:pPr>
            <w:r w:rsidRPr="00F24B8E">
              <w:rPr>
                <w:rFonts w:asciiTheme="minorHAnsi" w:hAnsiTheme="minorHAnsi"/>
                <w:b/>
                <w:sz w:val="22"/>
                <w:szCs w:val="22"/>
              </w:rPr>
              <w:t>All Drugs of Concern</w:t>
            </w:r>
          </w:p>
          <w:p w:rsidR="00125ACF" w:rsidRPr="00F24B8E" w:rsidRDefault="00125ACF" w:rsidP="00072449">
            <w:pPr>
              <w:spacing w:after="0" w:line="240" w:lineRule="auto"/>
              <w:ind w:left="35"/>
              <w:jc w:val="center"/>
              <w:rPr>
                <w:rFonts w:asciiTheme="minorHAnsi" w:hAnsiTheme="minorHAnsi"/>
                <w:b/>
                <w:sz w:val="22"/>
                <w:szCs w:val="22"/>
              </w:rPr>
            </w:pPr>
            <w:r w:rsidRPr="00F24B8E">
              <w:rPr>
                <w:rFonts w:asciiTheme="minorHAnsi" w:hAnsiTheme="minorHAnsi"/>
                <w:b/>
                <w:sz w:val="22"/>
                <w:szCs w:val="22"/>
              </w:rPr>
              <w:t>(ALL DOCs)</w:t>
            </w:r>
          </w:p>
        </w:tc>
      </w:tr>
      <w:tr w:rsidR="00125ACF" w:rsidRPr="00415291" w:rsidTr="00046CCA">
        <w:trPr>
          <w:tblHeader/>
        </w:trPr>
        <w:tc>
          <w:tcPr>
            <w:tcW w:w="2376" w:type="dxa"/>
            <w:vMerge/>
            <w:tcBorders>
              <w:bottom w:val="single" w:sz="4" w:space="0" w:color="auto"/>
            </w:tcBorders>
          </w:tcPr>
          <w:p w:rsidR="00125ACF" w:rsidRPr="003721FC" w:rsidRDefault="00125ACF" w:rsidP="00072449">
            <w:pPr>
              <w:spacing w:after="0" w:line="240" w:lineRule="auto"/>
              <w:rPr>
                <w:rFonts w:asciiTheme="minorHAnsi" w:hAnsiTheme="minorHAnsi"/>
                <w:b/>
                <w:sz w:val="22"/>
                <w:szCs w:val="22"/>
              </w:rPr>
            </w:pPr>
          </w:p>
        </w:tc>
        <w:tc>
          <w:tcPr>
            <w:tcW w:w="1134" w:type="dxa"/>
            <w:tcBorders>
              <w:bottom w:val="single" w:sz="4" w:space="0" w:color="auto"/>
            </w:tcBorders>
          </w:tcPr>
          <w:p w:rsidR="00125ACF" w:rsidRPr="003721FC" w:rsidRDefault="00125ACF" w:rsidP="00072449">
            <w:pPr>
              <w:spacing w:after="0" w:line="240" w:lineRule="auto"/>
              <w:jc w:val="center"/>
              <w:rPr>
                <w:rFonts w:asciiTheme="minorHAnsi" w:hAnsiTheme="minorHAnsi"/>
                <w:b/>
                <w:sz w:val="22"/>
                <w:szCs w:val="22"/>
              </w:rPr>
            </w:pPr>
            <w:r w:rsidRPr="003721FC">
              <w:rPr>
                <w:rFonts w:asciiTheme="minorHAnsi" w:hAnsiTheme="minorHAnsi"/>
                <w:b/>
                <w:sz w:val="22"/>
                <w:szCs w:val="22"/>
              </w:rPr>
              <w:t xml:space="preserve">Attended </w:t>
            </w:r>
          </w:p>
        </w:tc>
        <w:tc>
          <w:tcPr>
            <w:tcW w:w="1418" w:type="dxa"/>
            <w:tcBorders>
              <w:bottom w:val="single" w:sz="4" w:space="0" w:color="auto"/>
            </w:tcBorders>
          </w:tcPr>
          <w:p w:rsidR="00125ACF" w:rsidRPr="003721FC" w:rsidRDefault="00125ACF" w:rsidP="00072449">
            <w:pPr>
              <w:spacing w:after="0" w:line="240" w:lineRule="auto"/>
              <w:jc w:val="center"/>
              <w:rPr>
                <w:rFonts w:asciiTheme="minorHAnsi" w:hAnsiTheme="minorHAnsi"/>
                <w:b/>
                <w:sz w:val="22"/>
                <w:szCs w:val="22"/>
              </w:rPr>
            </w:pPr>
            <w:r>
              <w:rPr>
                <w:rFonts w:asciiTheme="minorHAnsi" w:hAnsiTheme="minorHAnsi"/>
                <w:b/>
                <w:sz w:val="22"/>
                <w:szCs w:val="22"/>
              </w:rPr>
              <w:t>Did not attend</w:t>
            </w:r>
            <w:r w:rsidRPr="003721FC">
              <w:rPr>
                <w:rFonts w:asciiTheme="minorHAnsi" w:hAnsiTheme="minorHAnsi"/>
                <w:b/>
                <w:sz w:val="22"/>
                <w:szCs w:val="22"/>
              </w:rPr>
              <w:t xml:space="preserve"> </w:t>
            </w:r>
          </w:p>
        </w:tc>
        <w:tc>
          <w:tcPr>
            <w:tcW w:w="992" w:type="dxa"/>
            <w:tcBorders>
              <w:bottom w:val="single" w:sz="4" w:space="0" w:color="auto"/>
            </w:tcBorders>
          </w:tcPr>
          <w:p w:rsidR="00125ACF" w:rsidRPr="003721FC" w:rsidRDefault="00125ACF" w:rsidP="00072449">
            <w:pPr>
              <w:spacing w:after="0" w:line="240" w:lineRule="auto"/>
              <w:jc w:val="center"/>
              <w:rPr>
                <w:rFonts w:asciiTheme="minorHAnsi" w:hAnsiTheme="minorHAnsi"/>
                <w:b/>
                <w:sz w:val="22"/>
                <w:szCs w:val="22"/>
              </w:rPr>
            </w:pPr>
            <w:r w:rsidRPr="003721FC">
              <w:rPr>
                <w:rFonts w:asciiTheme="minorHAnsi" w:hAnsiTheme="minorHAnsi"/>
                <w:b/>
                <w:sz w:val="22"/>
                <w:szCs w:val="22"/>
              </w:rPr>
              <w:t>p</w:t>
            </w:r>
          </w:p>
        </w:tc>
        <w:tc>
          <w:tcPr>
            <w:tcW w:w="236" w:type="dxa"/>
            <w:tcBorders>
              <w:bottom w:val="single" w:sz="4" w:space="0" w:color="auto"/>
              <w:right w:val="single" w:sz="4" w:space="0" w:color="auto"/>
            </w:tcBorders>
          </w:tcPr>
          <w:p w:rsidR="00125ACF" w:rsidRPr="003721FC" w:rsidRDefault="00125ACF" w:rsidP="00072449">
            <w:pPr>
              <w:spacing w:after="0" w:line="240" w:lineRule="auto"/>
              <w:jc w:val="center"/>
              <w:rPr>
                <w:rFonts w:asciiTheme="minorHAnsi" w:hAnsiTheme="minorHAnsi"/>
                <w:b/>
              </w:rPr>
            </w:pPr>
          </w:p>
        </w:tc>
        <w:tc>
          <w:tcPr>
            <w:tcW w:w="1078" w:type="dxa"/>
            <w:tcBorders>
              <w:left w:val="single" w:sz="4" w:space="0" w:color="auto"/>
              <w:bottom w:val="single" w:sz="4" w:space="0" w:color="auto"/>
            </w:tcBorders>
          </w:tcPr>
          <w:p w:rsidR="00125ACF" w:rsidRPr="003721FC" w:rsidRDefault="00125ACF" w:rsidP="00072449">
            <w:pPr>
              <w:spacing w:after="0" w:line="240" w:lineRule="auto"/>
              <w:jc w:val="center"/>
              <w:rPr>
                <w:rFonts w:asciiTheme="minorHAnsi" w:hAnsiTheme="minorHAnsi"/>
                <w:b/>
                <w:sz w:val="22"/>
                <w:szCs w:val="22"/>
              </w:rPr>
            </w:pPr>
            <w:r w:rsidRPr="003721FC">
              <w:rPr>
                <w:rFonts w:asciiTheme="minorHAnsi" w:hAnsiTheme="minorHAnsi"/>
                <w:b/>
                <w:sz w:val="22"/>
                <w:szCs w:val="22"/>
              </w:rPr>
              <w:t xml:space="preserve">Attended </w:t>
            </w:r>
          </w:p>
        </w:tc>
        <w:tc>
          <w:tcPr>
            <w:tcW w:w="1029" w:type="dxa"/>
            <w:tcBorders>
              <w:bottom w:val="single" w:sz="4" w:space="0" w:color="auto"/>
            </w:tcBorders>
          </w:tcPr>
          <w:p w:rsidR="00125ACF" w:rsidRPr="003721FC" w:rsidRDefault="00125ACF" w:rsidP="00072449">
            <w:pPr>
              <w:spacing w:after="0" w:line="240" w:lineRule="auto"/>
              <w:jc w:val="center"/>
              <w:rPr>
                <w:rFonts w:asciiTheme="minorHAnsi" w:hAnsiTheme="minorHAnsi"/>
                <w:b/>
                <w:sz w:val="22"/>
                <w:szCs w:val="22"/>
              </w:rPr>
            </w:pPr>
            <w:r>
              <w:rPr>
                <w:rFonts w:asciiTheme="minorHAnsi" w:hAnsiTheme="minorHAnsi"/>
                <w:b/>
                <w:sz w:val="22"/>
                <w:szCs w:val="22"/>
              </w:rPr>
              <w:t>Did not attend</w:t>
            </w:r>
          </w:p>
        </w:tc>
        <w:tc>
          <w:tcPr>
            <w:tcW w:w="917" w:type="dxa"/>
            <w:tcBorders>
              <w:bottom w:val="single" w:sz="4" w:space="0" w:color="auto"/>
            </w:tcBorders>
          </w:tcPr>
          <w:p w:rsidR="00125ACF" w:rsidRPr="003721FC" w:rsidRDefault="00125ACF" w:rsidP="00072449">
            <w:pPr>
              <w:spacing w:after="0" w:line="240" w:lineRule="auto"/>
              <w:jc w:val="center"/>
              <w:rPr>
                <w:rFonts w:asciiTheme="minorHAnsi" w:hAnsiTheme="minorHAnsi"/>
                <w:b/>
                <w:sz w:val="22"/>
                <w:szCs w:val="22"/>
              </w:rPr>
            </w:pPr>
            <w:r w:rsidRPr="003721FC">
              <w:rPr>
                <w:rFonts w:asciiTheme="minorHAnsi" w:hAnsiTheme="minorHAnsi"/>
                <w:b/>
                <w:sz w:val="22"/>
                <w:szCs w:val="22"/>
              </w:rPr>
              <w:t>p</w:t>
            </w:r>
          </w:p>
        </w:tc>
      </w:tr>
      <w:tr w:rsidR="007C2F4C" w:rsidRPr="00415291" w:rsidTr="00B11DEE">
        <w:trPr>
          <w:trHeight w:hRule="exact" w:val="567"/>
        </w:trPr>
        <w:tc>
          <w:tcPr>
            <w:tcW w:w="2376" w:type="dxa"/>
            <w:tcBorders>
              <w:top w:val="single" w:sz="4" w:space="0" w:color="auto"/>
            </w:tcBorders>
          </w:tcPr>
          <w:p w:rsidR="00072449" w:rsidRPr="003721FC" w:rsidRDefault="00072449" w:rsidP="00B11DEE">
            <w:pPr>
              <w:spacing w:line="240" w:lineRule="auto"/>
              <w:ind w:left="142"/>
              <w:rPr>
                <w:rFonts w:asciiTheme="minorHAnsi" w:hAnsiTheme="minorHAnsi"/>
                <w:sz w:val="22"/>
                <w:szCs w:val="22"/>
              </w:rPr>
            </w:pPr>
            <w:r w:rsidRPr="003721FC">
              <w:rPr>
                <w:rFonts w:asciiTheme="minorHAnsi" w:hAnsiTheme="minorHAnsi"/>
                <w:sz w:val="22"/>
                <w:szCs w:val="22"/>
              </w:rPr>
              <w:t>AOD service use (N = 551)</w:t>
            </w:r>
          </w:p>
        </w:tc>
        <w:tc>
          <w:tcPr>
            <w:tcW w:w="1134" w:type="dxa"/>
            <w:tcBorders>
              <w:top w:val="single" w:sz="4" w:space="0" w:color="auto"/>
            </w:tcBorders>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3</w:t>
            </w:r>
            <w:r w:rsidR="007C2F4C">
              <w:rPr>
                <w:rFonts w:asciiTheme="minorHAnsi" w:hAnsiTheme="minorHAnsi"/>
                <w:sz w:val="22"/>
                <w:szCs w:val="22"/>
              </w:rPr>
              <w:t>8.4</w:t>
            </w:r>
            <w:r w:rsidRPr="003721FC">
              <w:rPr>
                <w:rFonts w:asciiTheme="minorHAnsi" w:hAnsiTheme="minorHAnsi"/>
                <w:sz w:val="22"/>
                <w:szCs w:val="22"/>
              </w:rPr>
              <w:t>%</w:t>
            </w:r>
          </w:p>
        </w:tc>
        <w:tc>
          <w:tcPr>
            <w:tcW w:w="1418" w:type="dxa"/>
            <w:tcBorders>
              <w:top w:val="single" w:sz="4" w:space="0" w:color="auto"/>
            </w:tcBorders>
          </w:tcPr>
          <w:p w:rsidR="00072449" w:rsidRPr="003721FC" w:rsidRDefault="007C2F4C" w:rsidP="00B11DEE">
            <w:pPr>
              <w:spacing w:line="240" w:lineRule="auto"/>
              <w:jc w:val="center"/>
              <w:rPr>
                <w:rFonts w:asciiTheme="minorHAnsi" w:hAnsiTheme="minorHAnsi"/>
                <w:sz w:val="22"/>
                <w:szCs w:val="22"/>
              </w:rPr>
            </w:pPr>
            <w:r>
              <w:rPr>
                <w:rFonts w:asciiTheme="minorHAnsi" w:hAnsiTheme="minorHAnsi"/>
                <w:sz w:val="22"/>
                <w:szCs w:val="22"/>
              </w:rPr>
              <w:t>35.1</w:t>
            </w:r>
            <w:r w:rsidR="00072449" w:rsidRPr="003721FC">
              <w:rPr>
                <w:rFonts w:asciiTheme="minorHAnsi" w:hAnsiTheme="minorHAnsi"/>
                <w:sz w:val="22"/>
                <w:szCs w:val="22"/>
              </w:rPr>
              <w:t>%</w:t>
            </w:r>
          </w:p>
        </w:tc>
        <w:tc>
          <w:tcPr>
            <w:tcW w:w="992" w:type="dxa"/>
            <w:tcBorders>
              <w:top w:val="single" w:sz="4" w:space="0" w:color="auto"/>
            </w:tcBorders>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w:t>
            </w:r>
            <w:r w:rsidR="007C2F4C">
              <w:rPr>
                <w:rFonts w:asciiTheme="minorHAnsi" w:hAnsiTheme="minorHAnsi"/>
                <w:sz w:val="22"/>
                <w:szCs w:val="22"/>
              </w:rPr>
              <w:t>46</w:t>
            </w:r>
          </w:p>
        </w:tc>
        <w:tc>
          <w:tcPr>
            <w:tcW w:w="236" w:type="dxa"/>
            <w:tcBorders>
              <w:top w:val="single" w:sz="4" w:space="0" w:color="auto"/>
              <w:right w:val="single" w:sz="4" w:space="0" w:color="auto"/>
            </w:tcBorders>
          </w:tcPr>
          <w:p w:rsidR="00072449" w:rsidRPr="003721FC" w:rsidRDefault="00072449" w:rsidP="00B11DEE">
            <w:pPr>
              <w:spacing w:line="240" w:lineRule="auto"/>
              <w:jc w:val="center"/>
              <w:rPr>
                <w:rFonts w:asciiTheme="minorHAnsi" w:hAnsiTheme="minorHAnsi"/>
              </w:rPr>
            </w:pPr>
          </w:p>
        </w:tc>
        <w:tc>
          <w:tcPr>
            <w:tcW w:w="1078" w:type="dxa"/>
            <w:tcBorders>
              <w:top w:val="single" w:sz="4" w:space="0" w:color="auto"/>
              <w:left w:val="single" w:sz="4" w:space="0" w:color="auto"/>
            </w:tcBorders>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3</w:t>
            </w:r>
            <w:r w:rsidR="00877C8C">
              <w:rPr>
                <w:rFonts w:asciiTheme="minorHAnsi" w:hAnsiTheme="minorHAnsi"/>
                <w:sz w:val="22"/>
                <w:szCs w:val="22"/>
              </w:rPr>
              <w:t>2.0</w:t>
            </w:r>
            <w:r w:rsidRPr="003721FC">
              <w:rPr>
                <w:rFonts w:asciiTheme="minorHAnsi" w:hAnsiTheme="minorHAnsi"/>
                <w:sz w:val="22"/>
                <w:szCs w:val="22"/>
              </w:rPr>
              <w:t>%</w:t>
            </w:r>
          </w:p>
        </w:tc>
        <w:tc>
          <w:tcPr>
            <w:tcW w:w="1029" w:type="dxa"/>
            <w:tcBorders>
              <w:top w:val="single" w:sz="4" w:space="0" w:color="auto"/>
            </w:tcBorders>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27.</w:t>
            </w:r>
            <w:r w:rsidR="00877C8C">
              <w:rPr>
                <w:rFonts w:asciiTheme="minorHAnsi" w:hAnsiTheme="minorHAnsi"/>
                <w:sz w:val="22"/>
                <w:szCs w:val="22"/>
              </w:rPr>
              <w:t>4</w:t>
            </w:r>
            <w:r w:rsidRPr="003721FC">
              <w:rPr>
                <w:rFonts w:asciiTheme="minorHAnsi" w:hAnsiTheme="minorHAnsi"/>
                <w:sz w:val="22"/>
                <w:szCs w:val="22"/>
              </w:rPr>
              <w:t>%</w:t>
            </w:r>
          </w:p>
        </w:tc>
        <w:tc>
          <w:tcPr>
            <w:tcW w:w="917" w:type="dxa"/>
            <w:tcBorders>
              <w:top w:val="single" w:sz="4" w:space="0" w:color="auto"/>
            </w:tcBorders>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w:t>
            </w:r>
            <w:r w:rsidR="00877C8C">
              <w:rPr>
                <w:rFonts w:asciiTheme="minorHAnsi" w:hAnsiTheme="minorHAnsi"/>
                <w:sz w:val="22"/>
                <w:szCs w:val="22"/>
              </w:rPr>
              <w:t>27</w:t>
            </w:r>
          </w:p>
        </w:tc>
      </w:tr>
      <w:tr w:rsidR="007C2F4C" w:rsidRPr="00415291" w:rsidTr="00B11DEE">
        <w:trPr>
          <w:trHeight w:hRule="exact" w:val="851"/>
        </w:trPr>
        <w:tc>
          <w:tcPr>
            <w:tcW w:w="2376" w:type="dxa"/>
          </w:tcPr>
          <w:p w:rsidR="00072449" w:rsidRPr="003721FC" w:rsidRDefault="00072449" w:rsidP="00B11DEE">
            <w:pPr>
              <w:spacing w:line="240" w:lineRule="auto"/>
              <w:ind w:left="142"/>
              <w:rPr>
                <w:rFonts w:asciiTheme="minorHAnsi" w:hAnsiTheme="minorHAnsi"/>
                <w:sz w:val="22"/>
                <w:szCs w:val="22"/>
              </w:rPr>
            </w:pPr>
            <w:r w:rsidRPr="003721FC">
              <w:rPr>
                <w:rFonts w:asciiTheme="minorHAnsi" w:hAnsiTheme="minorHAnsi"/>
                <w:sz w:val="22"/>
                <w:szCs w:val="22"/>
              </w:rPr>
              <w:t xml:space="preserve">Self-help and </w:t>
            </w:r>
            <w:r w:rsidR="004516BD">
              <w:rPr>
                <w:rFonts w:asciiTheme="minorHAnsi" w:hAnsiTheme="minorHAnsi"/>
                <w:sz w:val="22"/>
                <w:szCs w:val="22"/>
              </w:rPr>
              <w:t>m</w:t>
            </w:r>
            <w:r w:rsidRPr="003721FC">
              <w:rPr>
                <w:rFonts w:asciiTheme="minorHAnsi" w:hAnsiTheme="minorHAnsi"/>
                <w:sz w:val="22"/>
                <w:szCs w:val="22"/>
              </w:rPr>
              <w:t xml:space="preserve">utual </w:t>
            </w:r>
            <w:r w:rsidR="004516BD">
              <w:rPr>
                <w:rFonts w:asciiTheme="minorHAnsi" w:hAnsiTheme="minorHAnsi"/>
                <w:sz w:val="22"/>
                <w:szCs w:val="22"/>
              </w:rPr>
              <w:t>a</w:t>
            </w:r>
            <w:r w:rsidRPr="003721FC">
              <w:rPr>
                <w:rFonts w:asciiTheme="minorHAnsi" w:hAnsiTheme="minorHAnsi"/>
                <w:sz w:val="22"/>
                <w:szCs w:val="22"/>
              </w:rPr>
              <w:t>id programs (N = 5</w:t>
            </w:r>
            <w:r w:rsidR="007C2F4C">
              <w:rPr>
                <w:rFonts w:asciiTheme="minorHAnsi" w:hAnsiTheme="minorHAnsi"/>
                <w:sz w:val="22"/>
                <w:szCs w:val="22"/>
              </w:rPr>
              <w:t>48</w:t>
            </w:r>
            <w:r w:rsidRPr="003721FC">
              <w:rPr>
                <w:rFonts w:asciiTheme="minorHAnsi" w:hAnsiTheme="minorHAnsi"/>
                <w:sz w:val="22"/>
                <w:szCs w:val="22"/>
              </w:rPr>
              <w:t>)</w:t>
            </w:r>
          </w:p>
        </w:tc>
        <w:tc>
          <w:tcPr>
            <w:tcW w:w="1134" w:type="dxa"/>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45.</w:t>
            </w:r>
            <w:r w:rsidR="00877C8C">
              <w:rPr>
                <w:rFonts w:asciiTheme="minorHAnsi" w:hAnsiTheme="minorHAnsi"/>
                <w:sz w:val="22"/>
                <w:szCs w:val="22"/>
              </w:rPr>
              <w:t>5</w:t>
            </w:r>
            <w:r w:rsidRPr="003721FC">
              <w:rPr>
                <w:rFonts w:asciiTheme="minorHAnsi" w:hAnsiTheme="minorHAnsi"/>
                <w:sz w:val="22"/>
                <w:szCs w:val="22"/>
              </w:rPr>
              <w:t>%</w:t>
            </w:r>
          </w:p>
        </w:tc>
        <w:tc>
          <w:tcPr>
            <w:tcW w:w="1418" w:type="dxa"/>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29.</w:t>
            </w:r>
            <w:r w:rsidR="00877C8C">
              <w:rPr>
                <w:rFonts w:asciiTheme="minorHAnsi" w:hAnsiTheme="minorHAnsi"/>
                <w:sz w:val="22"/>
                <w:szCs w:val="22"/>
              </w:rPr>
              <w:t>8</w:t>
            </w:r>
            <w:r w:rsidRPr="003721FC">
              <w:rPr>
                <w:rFonts w:asciiTheme="minorHAnsi" w:hAnsiTheme="minorHAnsi"/>
                <w:sz w:val="22"/>
                <w:szCs w:val="22"/>
              </w:rPr>
              <w:t>%</w:t>
            </w:r>
          </w:p>
        </w:tc>
        <w:tc>
          <w:tcPr>
            <w:tcW w:w="992" w:type="dxa"/>
          </w:tcPr>
          <w:p w:rsidR="00072449" w:rsidRPr="00C80FA9" w:rsidRDefault="00072449" w:rsidP="00B11DEE">
            <w:pPr>
              <w:spacing w:line="240" w:lineRule="auto"/>
              <w:jc w:val="center"/>
              <w:rPr>
                <w:rFonts w:asciiTheme="minorHAnsi" w:hAnsiTheme="minorHAnsi"/>
                <w:sz w:val="22"/>
                <w:szCs w:val="22"/>
              </w:rPr>
            </w:pPr>
            <w:r w:rsidRPr="00C80FA9">
              <w:rPr>
                <w:rFonts w:asciiTheme="minorHAnsi" w:hAnsiTheme="minorHAnsi"/>
                <w:sz w:val="22"/>
                <w:szCs w:val="22"/>
              </w:rPr>
              <w:t>&lt;</w:t>
            </w:r>
            <w:r w:rsidR="007C2F4C">
              <w:rPr>
                <w:rFonts w:asciiTheme="minorHAnsi" w:hAnsiTheme="minorHAnsi"/>
                <w:sz w:val="22"/>
                <w:szCs w:val="22"/>
              </w:rPr>
              <w:t xml:space="preserve"> </w:t>
            </w:r>
            <w:r w:rsidRPr="00C80FA9">
              <w:rPr>
                <w:rFonts w:asciiTheme="minorHAnsi" w:hAnsiTheme="minorHAnsi"/>
                <w:sz w:val="22"/>
                <w:szCs w:val="22"/>
              </w:rPr>
              <w:t>.001</w:t>
            </w:r>
          </w:p>
        </w:tc>
        <w:tc>
          <w:tcPr>
            <w:tcW w:w="236" w:type="dxa"/>
            <w:tcBorders>
              <w:right w:val="single" w:sz="4" w:space="0" w:color="auto"/>
            </w:tcBorders>
          </w:tcPr>
          <w:p w:rsidR="00072449" w:rsidRPr="00C80FA9" w:rsidRDefault="00072449" w:rsidP="00B11DEE">
            <w:pPr>
              <w:spacing w:line="240" w:lineRule="auto"/>
              <w:jc w:val="center"/>
              <w:rPr>
                <w:rFonts w:asciiTheme="minorHAnsi" w:hAnsiTheme="minorHAnsi"/>
              </w:rPr>
            </w:pPr>
          </w:p>
        </w:tc>
        <w:tc>
          <w:tcPr>
            <w:tcW w:w="1078" w:type="dxa"/>
            <w:tcBorders>
              <w:left w:val="single" w:sz="4" w:space="0" w:color="auto"/>
            </w:tcBorders>
          </w:tcPr>
          <w:p w:rsidR="00072449" w:rsidRPr="00C80FA9" w:rsidRDefault="00072449" w:rsidP="00B11DEE">
            <w:pPr>
              <w:spacing w:line="240" w:lineRule="auto"/>
              <w:jc w:val="center"/>
              <w:rPr>
                <w:rFonts w:asciiTheme="minorHAnsi" w:hAnsiTheme="minorHAnsi"/>
                <w:sz w:val="22"/>
                <w:szCs w:val="22"/>
              </w:rPr>
            </w:pPr>
            <w:r w:rsidRPr="00C80FA9">
              <w:rPr>
                <w:rFonts w:asciiTheme="minorHAnsi" w:hAnsiTheme="minorHAnsi"/>
                <w:sz w:val="22"/>
                <w:szCs w:val="22"/>
              </w:rPr>
              <w:t>3</w:t>
            </w:r>
            <w:r w:rsidR="007A0415">
              <w:rPr>
                <w:rFonts w:asciiTheme="minorHAnsi" w:hAnsiTheme="minorHAnsi"/>
                <w:sz w:val="22"/>
                <w:szCs w:val="22"/>
              </w:rPr>
              <w:t>9.1</w:t>
            </w:r>
            <w:r w:rsidRPr="00C80FA9">
              <w:rPr>
                <w:rFonts w:asciiTheme="minorHAnsi" w:hAnsiTheme="minorHAnsi"/>
                <w:sz w:val="22"/>
                <w:szCs w:val="22"/>
              </w:rPr>
              <w:t>%</w:t>
            </w:r>
          </w:p>
        </w:tc>
        <w:tc>
          <w:tcPr>
            <w:tcW w:w="1029" w:type="dxa"/>
          </w:tcPr>
          <w:p w:rsidR="00072449" w:rsidRPr="00C80FA9" w:rsidRDefault="00072449" w:rsidP="00B11DEE">
            <w:pPr>
              <w:spacing w:line="240" w:lineRule="auto"/>
              <w:jc w:val="center"/>
              <w:rPr>
                <w:rFonts w:asciiTheme="minorHAnsi" w:hAnsiTheme="minorHAnsi"/>
                <w:sz w:val="22"/>
                <w:szCs w:val="22"/>
              </w:rPr>
            </w:pPr>
            <w:r w:rsidRPr="00C80FA9">
              <w:rPr>
                <w:rFonts w:asciiTheme="minorHAnsi" w:hAnsiTheme="minorHAnsi"/>
                <w:sz w:val="22"/>
                <w:szCs w:val="22"/>
              </w:rPr>
              <w:t>2</w:t>
            </w:r>
            <w:r w:rsidR="007A0415">
              <w:rPr>
                <w:rFonts w:asciiTheme="minorHAnsi" w:hAnsiTheme="minorHAnsi"/>
                <w:sz w:val="22"/>
                <w:szCs w:val="22"/>
              </w:rPr>
              <w:t>2.0</w:t>
            </w:r>
            <w:r w:rsidRPr="00C80FA9">
              <w:rPr>
                <w:rFonts w:asciiTheme="minorHAnsi" w:hAnsiTheme="minorHAnsi"/>
                <w:sz w:val="22"/>
                <w:szCs w:val="22"/>
              </w:rPr>
              <w:t>%</w:t>
            </w:r>
          </w:p>
        </w:tc>
        <w:tc>
          <w:tcPr>
            <w:tcW w:w="917" w:type="dxa"/>
          </w:tcPr>
          <w:p w:rsidR="00072449" w:rsidRPr="00C80FA9" w:rsidRDefault="00072449" w:rsidP="00B11DEE">
            <w:pPr>
              <w:spacing w:line="240" w:lineRule="auto"/>
              <w:jc w:val="center"/>
              <w:rPr>
                <w:rFonts w:asciiTheme="minorHAnsi" w:hAnsiTheme="minorHAnsi"/>
                <w:sz w:val="22"/>
                <w:szCs w:val="22"/>
              </w:rPr>
            </w:pPr>
            <w:r w:rsidRPr="00C80FA9">
              <w:rPr>
                <w:rFonts w:asciiTheme="minorHAnsi" w:hAnsiTheme="minorHAnsi"/>
                <w:sz w:val="22"/>
                <w:szCs w:val="22"/>
              </w:rPr>
              <w:t>&lt;</w:t>
            </w:r>
            <w:r w:rsidR="007C2F4C">
              <w:rPr>
                <w:rFonts w:asciiTheme="minorHAnsi" w:hAnsiTheme="minorHAnsi"/>
                <w:sz w:val="22"/>
                <w:szCs w:val="22"/>
              </w:rPr>
              <w:t xml:space="preserve"> </w:t>
            </w:r>
            <w:r w:rsidRPr="00C80FA9">
              <w:rPr>
                <w:rFonts w:asciiTheme="minorHAnsi" w:hAnsiTheme="minorHAnsi"/>
                <w:sz w:val="22"/>
                <w:szCs w:val="22"/>
              </w:rPr>
              <w:t>.001</w:t>
            </w:r>
          </w:p>
        </w:tc>
      </w:tr>
      <w:tr w:rsidR="007C2F4C" w:rsidRPr="00415291" w:rsidTr="00B11DEE">
        <w:trPr>
          <w:trHeight w:hRule="exact" w:val="567"/>
        </w:trPr>
        <w:tc>
          <w:tcPr>
            <w:tcW w:w="2376" w:type="dxa"/>
          </w:tcPr>
          <w:p w:rsidR="00072449" w:rsidRPr="003721FC" w:rsidRDefault="00072449" w:rsidP="00B11DEE">
            <w:pPr>
              <w:spacing w:line="240" w:lineRule="auto"/>
              <w:ind w:left="142"/>
              <w:rPr>
                <w:rFonts w:asciiTheme="minorHAnsi" w:hAnsiTheme="minorHAnsi"/>
                <w:sz w:val="22"/>
                <w:szCs w:val="22"/>
              </w:rPr>
            </w:pPr>
            <w:r w:rsidRPr="003721FC">
              <w:rPr>
                <w:rFonts w:asciiTheme="minorHAnsi" w:hAnsiTheme="minorHAnsi"/>
                <w:sz w:val="22"/>
                <w:szCs w:val="22"/>
              </w:rPr>
              <w:t xml:space="preserve">Acute </w:t>
            </w:r>
            <w:r w:rsidR="004516BD">
              <w:rPr>
                <w:rFonts w:asciiTheme="minorHAnsi" w:hAnsiTheme="minorHAnsi"/>
                <w:sz w:val="22"/>
                <w:szCs w:val="22"/>
              </w:rPr>
              <w:t>s</w:t>
            </w:r>
            <w:r w:rsidRPr="003721FC">
              <w:rPr>
                <w:rFonts w:asciiTheme="minorHAnsi" w:hAnsiTheme="minorHAnsi"/>
                <w:sz w:val="22"/>
                <w:szCs w:val="22"/>
              </w:rPr>
              <w:t>ervice use (N = 550)</w:t>
            </w:r>
          </w:p>
        </w:tc>
        <w:tc>
          <w:tcPr>
            <w:tcW w:w="1134" w:type="dxa"/>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35.2%</w:t>
            </w:r>
          </w:p>
        </w:tc>
        <w:tc>
          <w:tcPr>
            <w:tcW w:w="1418" w:type="dxa"/>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40.1%</w:t>
            </w:r>
          </w:p>
        </w:tc>
        <w:tc>
          <w:tcPr>
            <w:tcW w:w="992" w:type="dxa"/>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.23</w:t>
            </w:r>
          </w:p>
        </w:tc>
        <w:tc>
          <w:tcPr>
            <w:tcW w:w="236" w:type="dxa"/>
            <w:tcBorders>
              <w:right w:val="single" w:sz="4" w:space="0" w:color="auto"/>
            </w:tcBorders>
          </w:tcPr>
          <w:p w:rsidR="00072449" w:rsidRPr="003721FC" w:rsidRDefault="00072449" w:rsidP="00B11DEE">
            <w:pPr>
              <w:spacing w:line="240" w:lineRule="auto"/>
              <w:jc w:val="center"/>
              <w:rPr>
                <w:rFonts w:asciiTheme="minorHAnsi" w:hAnsiTheme="minorHAnsi"/>
              </w:rPr>
            </w:pPr>
          </w:p>
        </w:tc>
        <w:tc>
          <w:tcPr>
            <w:tcW w:w="1078" w:type="dxa"/>
            <w:tcBorders>
              <w:left w:val="single" w:sz="4" w:space="0" w:color="auto"/>
            </w:tcBorders>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29.6%</w:t>
            </w:r>
          </w:p>
        </w:tc>
        <w:tc>
          <w:tcPr>
            <w:tcW w:w="1029" w:type="dxa"/>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31.</w:t>
            </w:r>
            <w:r w:rsidR="007A0415">
              <w:rPr>
                <w:rFonts w:asciiTheme="minorHAnsi" w:hAnsiTheme="minorHAnsi"/>
                <w:sz w:val="22"/>
                <w:szCs w:val="22"/>
              </w:rPr>
              <w:t>5</w:t>
            </w:r>
            <w:r w:rsidRPr="003721FC">
              <w:rPr>
                <w:rFonts w:asciiTheme="minorHAnsi" w:hAnsiTheme="minorHAnsi"/>
                <w:sz w:val="22"/>
                <w:szCs w:val="22"/>
              </w:rPr>
              <w:t>%</w:t>
            </w:r>
          </w:p>
        </w:tc>
        <w:tc>
          <w:tcPr>
            <w:tcW w:w="917" w:type="dxa"/>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.6</w:t>
            </w:r>
            <w:r w:rsidR="007A0415">
              <w:rPr>
                <w:rFonts w:asciiTheme="minorHAnsi" w:hAnsiTheme="minorHAnsi"/>
                <w:sz w:val="22"/>
                <w:szCs w:val="22"/>
              </w:rPr>
              <w:t>4</w:t>
            </w:r>
          </w:p>
        </w:tc>
      </w:tr>
      <w:tr w:rsidR="007C2F4C" w:rsidRPr="00415291" w:rsidTr="00B11DEE">
        <w:trPr>
          <w:trHeight w:hRule="exact" w:val="851"/>
        </w:trPr>
        <w:tc>
          <w:tcPr>
            <w:tcW w:w="2376" w:type="dxa"/>
          </w:tcPr>
          <w:p w:rsidR="00072449" w:rsidRPr="003721FC" w:rsidRDefault="00072449" w:rsidP="00B11DEE">
            <w:pPr>
              <w:spacing w:line="240" w:lineRule="auto"/>
              <w:ind w:left="142"/>
              <w:rPr>
                <w:rFonts w:asciiTheme="minorHAnsi" w:hAnsiTheme="minorHAnsi"/>
                <w:sz w:val="22"/>
                <w:szCs w:val="22"/>
              </w:rPr>
            </w:pPr>
            <w:r w:rsidRPr="003721FC">
              <w:rPr>
                <w:rFonts w:asciiTheme="minorHAnsi" w:hAnsiTheme="minorHAnsi"/>
                <w:sz w:val="22"/>
                <w:szCs w:val="22"/>
              </w:rPr>
              <w:t xml:space="preserve">Community </w:t>
            </w:r>
            <w:r w:rsidR="004516BD">
              <w:rPr>
                <w:rFonts w:asciiTheme="minorHAnsi" w:hAnsiTheme="minorHAnsi"/>
                <w:sz w:val="22"/>
                <w:szCs w:val="22"/>
              </w:rPr>
              <w:t>s</w:t>
            </w:r>
            <w:r w:rsidRPr="003721FC">
              <w:rPr>
                <w:rFonts w:asciiTheme="minorHAnsi" w:hAnsiTheme="minorHAnsi"/>
                <w:sz w:val="22"/>
                <w:szCs w:val="22"/>
              </w:rPr>
              <w:t>ervice use (exc. GP) (N = 5</w:t>
            </w:r>
            <w:r w:rsidR="00877C8C">
              <w:rPr>
                <w:rFonts w:asciiTheme="minorHAnsi" w:hAnsiTheme="minorHAnsi"/>
                <w:sz w:val="22"/>
                <w:szCs w:val="22"/>
              </w:rPr>
              <w:t>50</w:t>
            </w:r>
            <w:r w:rsidRPr="003721FC">
              <w:rPr>
                <w:rFonts w:asciiTheme="minorHAnsi" w:hAnsiTheme="minorHAnsi"/>
                <w:sz w:val="22"/>
                <w:szCs w:val="22"/>
              </w:rPr>
              <w:t>)</w:t>
            </w:r>
          </w:p>
        </w:tc>
        <w:tc>
          <w:tcPr>
            <w:tcW w:w="1134" w:type="dxa"/>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38.</w:t>
            </w:r>
            <w:r w:rsidR="00877C8C">
              <w:rPr>
                <w:rFonts w:asciiTheme="minorHAnsi" w:hAnsiTheme="minorHAnsi"/>
                <w:sz w:val="22"/>
                <w:szCs w:val="22"/>
              </w:rPr>
              <w:t>1%</w:t>
            </w:r>
          </w:p>
        </w:tc>
        <w:tc>
          <w:tcPr>
            <w:tcW w:w="1418" w:type="dxa"/>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3</w:t>
            </w:r>
            <w:r w:rsidR="00877C8C">
              <w:rPr>
                <w:rFonts w:asciiTheme="minorHAnsi" w:hAnsiTheme="minorHAnsi"/>
                <w:sz w:val="22"/>
                <w:szCs w:val="22"/>
              </w:rPr>
              <w:t>6.2%</w:t>
            </w:r>
          </w:p>
        </w:tc>
        <w:tc>
          <w:tcPr>
            <w:tcW w:w="992" w:type="dxa"/>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w:t>
            </w:r>
            <w:r w:rsidR="00877C8C">
              <w:rPr>
                <w:rFonts w:asciiTheme="minorHAnsi" w:hAnsiTheme="minorHAnsi"/>
                <w:sz w:val="22"/>
                <w:szCs w:val="22"/>
              </w:rPr>
              <w:t>71</w:t>
            </w:r>
          </w:p>
        </w:tc>
        <w:tc>
          <w:tcPr>
            <w:tcW w:w="236" w:type="dxa"/>
            <w:tcBorders>
              <w:right w:val="single" w:sz="4" w:space="0" w:color="auto"/>
            </w:tcBorders>
          </w:tcPr>
          <w:p w:rsidR="00072449" w:rsidRPr="003721FC" w:rsidRDefault="00072449" w:rsidP="00B11DEE">
            <w:pPr>
              <w:spacing w:line="240" w:lineRule="auto"/>
              <w:jc w:val="center"/>
              <w:rPr>
                <w:rFonts w:asciiTheme="minorHAnsi" w:hAnsiTheme="minorHAnsi"/>
              </w:rPr>
            </w:pPr>
          </w:p>
        </w:tc>
        <w:tc>
          <w:tcPr>
            <w:tcW w:w="1078" w:type="dxa"/>
            <w:tcBorders>
              <w:left w:val="single" w:sz="4" w:space="0" w:color="auto"/>
              <w:bottom w:val="single" w:sz="4" w:space="0" w:color="auto"/>
            </w:tcBorders>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3</w:t>
            </w:r>
            <w:r w:rsidR="007A0415">
              <w:rPr>
                <w:rFonts w:asciiTheme="minorHAnsi" w:hAnsiTheme="minorHAnsi"/>
                <w:sz w:val="22"/>
                <w:szCs w:val="22"/>
              </w:rPr>
              <w:t>1.0</w:t>
            </w:r>
            <w:r w:rsidR="00877C8C">
              <w:rPr>
                <w:rFonts w:asciiTheme="minorHAnsi" w:hAnsiTheme="minorHAnsi"/>
                <w:sz w:val="22"/>
                <w:szCs w:val="22"/>
              </w:rPr>
              <w:t>%</w:t>
            </w:r>
          </w:p>
        </w:tc>
        <w:tc>
          <w:tcPr>
            <w:tcW w:w="1029" w:type="dxa"/>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29.</w:t>
            </w:r>
            <w:r w:rsidR="007A0415">
              <w:rPr>
                <w:rFonts w:asciiTheme="minorHAnsi" w:hAnsiTheme="minorHAnsi"/>
                <w:sz w:val="22"/>
                <w:szCs w:val="22"/>
              </w:rPr>
              <w:t>1</w:t>
            </w:r>
            <w:r w:rsidR="00877C8C">
              <w:rPr>
                <w:rFonts w:asciiTheme="minorHAnsi" w:hAnsiTheme="minorHAnsi"/>
                <w:sz w:val="22"/>
                <w:szCs w:val="22"/>
              </w:rPr>
              <w:t>%</w:t>
            </w:r>
          </w:p>
        </w:tc>
        <w:tc>
          <w:tcPr>
            <w:tcW w:w="917" w:type="dxa"/>
          </w:tcPr>
          <w:p w:rsidR="00072449" w:rsidRPr="003721FC" w:rsidRDefault="00072449" w:rsidP="00B11DEE">
            <w:pPr>
              <w:spacing w:line="240" w:lineRule="auto"/>
              <w:jc w:val="center"/>
              <w:rPr>
                <w:rFonts w:asciiTheme="minorHAnsi" w:hAnsiTheme="minorHAnsi"/>
                <w:sz w:val="22"/>
                <w:szCs w:val="22"/>
              </w:rPr>
            </w:pPr>
            <w:r w:rsidRPr="003721FC">
              <w:rPr>
                <w:rFonts w:asciiTheme="minorHAnsi" w:hAnsiTheme="minorHAnsi"/>
                <w:sz w:val="22"/>
                <w:szCs w:val="22"/>
              </w:rPr>
              <w:t>.69</w:t>
            </w:r>
          </w:p>
        </w:tc>
      </w:tr>
    </w:tbl>
    <w:p w:rsidR="00877C8C" w:rsidRDefault="00877C8C" w:rsidP="00072449">
      <w:pPr>
        <w:pStyle w:val="FAREnormaltext"/>
      </w:pPr>
    </w:p>
    <w:p w:rsidR="00072449" w:rsidRDefault="00072449" w:rsidP="00072449">
      <w:pPr>
        <w:pStyle w:val="FAREnormaltext"/>
      </w:pPr>
      <w:r w:rsidRPr="007C3BD6">
        <w:t xml:space="preserve">The rates of abstinence from both </w:t>
      </w:r>
      <w:r w:rsidR="00EE7A8F">
        <w:t>PDOC</w:t>
      </w:r>
      <w:r w:rsidRPr="007C3BD6">
        <w:t xml:space="preserve"> and all DOCs showed little variation according to type of services used post-PIT, with the exception of attendance at mutual aid groups</w:t>
      </w:r>
      <w:r>
        <w:t>,</w:t>
      </w:r>
      <w:r w:rsidRPr="007C3BD6">
        <w:t xml:space="preserve"> which </w:t>
      </w:r>
      <w:r>
        <w:t>was</w:t>
      </w:r>
      <w:r w:rsidRPr="007C3BD6">
        <w:t xml:space="preserve"> associated with significantly higher rates of abstinence.</w:t>
      </w:r>
      <w:r w:rsidR="00033AEC">
        <w:t xml:space="preserve"> </w:t>
      </w:r>
    </w:p>
    <w:p w:rsidR="00072449" w:rsidRPr="00C80FA9" w:rsidRDefault="00072449" w:rsidP="00072449">
      <w:pPr>
        <w:pStyle w:val="ListParagraph"/>
        <w:keepNext/>
        <w:keepLines/>
        <w:numPr>
          <w:ilvl w:val="0"/>
          <w:numId w:val="19"/>
        </w:numPr>
        <w:spacing w:after="120" w:line="240" w:lineRule="auto"/>
        <w:outlineLvl w:val="0"/>
        <w:rPr>
          <w:rFonts w:ascii="Cambria" w:eastAsia="SimSun" w:hAnsi="Cambria"/>
          <w:bCs/>
          <w:i/>
          <w:szCs w:val="24"/>
        </w:rPr>
      </w:pPr>
      <w:r>
        <w:rPr>
          <w:rFonts w:ascii="Cambria" w:eastAsia="SimSun" w:hAnsi="Cambria"/>
          <w:bCs/>
          <w:i/>
          <w:szCs w:val="24"/>
        </w:rPr>
        <w:t>Treatment Success</w:t>
      </w:r>
      <w:bookmarkStart w:id="122" w:name="_GoBack"/>
      <w:bookmarkEnd w:id="122"/>
    </w:p>
    <w:p w:rsidR="00072449" w:rsidRPr="00415291" w:rsidRDefault="00072449" w:rsidP="00072449">
      <w:pPr>
        <w:tabs>
          <w:tab w:val="left" w:pos="3890"/>
        </w:tabs>
        <w:spacing w:after="0" w:line="240" w:lineRule="auto"/>
        <w:rPr>
          <w:rFonts w:ascii="Times New Roman" w:hAnsi="Times New Roman"/>
          <w:color w:val="1F497D"/>
        </w:rPr>
      </w:pPr>
      <w:r>
        <w:rPr>
          <w:rFonts w:ascii="Times New Roman" w:hAnsi="Times New Roman"/>
          <w:color w:val="1F497D"/>
        </w:rPr>
        <w:tab/>
      </w:r>
    </w:p>
    <w:p w:rsidR="00072449" w:rsidRPr="00415291" w:rsidRDefault="00072449" w:rsidP="00072449">
      <w:pPr>
        <w:spacing w:line="240" w:lineRule="auto"/>
        <w:rPr>
          <w:rFonts w:ascii="Times New Roman" w:hAnsi="Times New Roman"/>
          <w:i/>
        </w:rPr>
      </w:pPr>
      <w:r w:rsidRPr="00606B4C">
        <w:rPr>
          <w:rFonts w:ascii="Times New Roman" w:hAnsi="Times New Roman"/>
          <w:i/>
          <w:noProof/>
          <w:lang w:eastAsia="en-AU"/>
        </w:rPr>
        <w:drawing>
          <wp:inline distT="0" distB="0" distL="0" distR="0">
            <wp:extent cx="5581816" cy="2313830"/>
            <wp:effectExtent l="0" t="0" r="0" b="0"/>
            <wp:docPr id="3" name="Chart 1" descr="Column graph showing the proportion of participants (total sample) achieving different degrees of treatment success (frequency of use). &#10;&#10;Abstinent, Reduced 50% and Did not reduce 50%.&#10;&#10;The vertical line being the percentage of participants and the horizontal showing outpatient, acute withdrawal, residential rehabilitation and total." title="Figure 3.7  Proportion of participants (total sample) achieving different degrees of treatment success (frequency of use)"/>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072449" w:rsidRDefault="00072449" w:rsidP="00E41BCC">
      <w:pPr>
        <w:pStyle w:val="FARETableStyle1"/>
      </w:pPr>
      <w:bookmarkStart w:id="123" w:name="_Toc398105116"/>
      <w:proofErr w:type="gramStart"/>
      <w:r w:rsidRPr="00E41BCC">
        <w:t xml:space="preserve">Figure </w:t>
      </w:r>
      <w:r w:rsidR="00BE3D19" w:rsidRPr="00E41BCC">
        <w:fldChar w:fldCharType="begin"/>
      </w:r>
      <w:r w:rsidRPr="00E41BCC">
        <w:instrText xml:space="preserve"> STYLEREF 1 \s </w:instrText>
      </w:r>
      <w:r w:rsidR="00BE3D19" w:rsidRPr="00E41BCC">
        <w:fldChar w:fldCharType="separate"/>
      </w:r>
      <w:r w:rsidR="00E150CA">
        <w:rPr>
          <w:noProof/>
        </w:rPr>
        <w:t>3</w:t>
      </w:r>
      <w:r w:rsidR="00BE3D19" w:rsidRPr="00E41BCC">
        <w:fldChar w:fldCharType="end"/>
      </w:r>
      <w:r w:rsidRPr="00E41BCC">
        <w:t>.</w:t>
      </w:r>
      <w:proofErr w:type="gramEnd"/>
      <w:r w:rsidR="00BE3D19" w:rsidRPr="00E41BCC">
        <w:fldChar w:fldCharType="begin"/>
      </w:r>
      <w:r w:rsidRPr="00E41BCC">
        <w:instrText xml:space="preserve"> SEQ Figure \* ARABIC \s 1 </w:instrText>
      </w:r>
      <w:r w:rsidR="00BE3D19" w:rsidRPr="00E41BCC">
        <w:fldChar w:fldCharType="separate"/>
      </w:r>
      <w:r w:rsidR="00E150CA">
        <w:rPr>
          <w:noProof/>
        </w:rPr>
        <w:t>7</w:t>
      </w:r>
      <w:r w:rsidR="00BE3D19" w:rsidRPr="00E41BCC">
        <w:fldChar w:fldCharType="end"/>
      </w:r>
      <w:r w:rsidR="006244F5" w:rsidRPr="00E41BCC">
        <w:t xml:space="preserve"> </w:t>
      </w:r>
      <w:r w:rsidRPr="00E41BCC">
        <w:t xml:space="preserve"> Proportion of </w:t>
      </w:r>
      <w:r w:rsidR="006D29AE">
        <w:t xml:space="preserve">participants </w:t>
      </w:r>
      <w:r w:rsidRPr="00E41BCC">
        <w:t>(total sample) achieving different degrees of treatment success (frequency of use)</w:t>
      </w:r>
      <w:bookmarkEnd w:id="123"/>
    </w:p>
    <w:p w:rsidR="00E41BCC" w:rsidRPr="00E41BCC" w:rsidRDefault="00E41BCC" w:rsidP="00E41BCC">
      <w:pPr>
        <w:pStyle w:val="FARETableStyle1"/>
      </w:pPr>
    </w:p>
    <w:p w:rsidR="00072449" w:rsidRDefault="00072449" w:rsidP="00072449">
      <w:pPr>
        <w:pStyle w:val="FAREnormaltext"/>
      </w:pPr>
      <w:r>
        <w:t xml:space="preserve">Success in reducing frequency of use of the </w:t>
      </w:r>
      <w:r w:rsidR="00EE7A8F">
        <w:t>PDOC</w:t>
      </w:r>
      <w:r>
        <w:t xml:space="preserve"> by at least 50% (or being abstinent from the </w:t>
      </w:r>
      <w:r w:rsidR="00EE7A8F">
        <w:t>PDOC</w:t>
      </w:r>
      <w:r>
        <w:t>) at follow-up was achieved by 5</w:t>
      </w:r>
      <w:r w:rsidR="00183D73">
        <w:t>3</w:t>
      </w:r>
      <w:r>
        <w:t>% of the total sample. The rate of success achieved by long-term residential participants (62%)</w:t>
      </w:r>
      <w:r w:rsidR="00183D73">
        <w:t xml:space="preserve"> was higher than those achieved </w:t>
      </w:r>
      <w:r>
        <w:t>by outpatient participants (5</w:t>
      </w:r>
      <w:r w:rsidR="00183D73">
        <w:t>0</w:t>
      </w:r>
      <w:r>
        <w:t>%) and acute withdrawal participants (5</w:t>
      </w:r>
      <w:r w:rsidR="00183D73">
        <w:t>0</w:t>
      </w:r>
      <w:r>
        <w:t>%</w:t>
      </w:r>
      <w:r w:rsidR="00183D73">
        <w:t>)</w:t>
      </w:r>
      <w:r>
        <w:t>, though these differences did not reach statistical significance (</w:t>
      </w:r>
      <w:r w:rsidRPr="00FD6208">
        <w:t>p = .</w:t>
      </w:r>
      <w:r w:rsidR="00183D73">
        <w:t>06</w:t>
      </w:r>
      <w:r w:rsidRPr="00FD6208">
        <w:t xml:space="preserve">). </w:t>
      </w:r>
      <w:r w:rsidR="00F20D55">
        <w:t>However, those who had residential rehabilitation</w:t>
      </w:r>
      <w:r w:rsidR="007022B0">
        <w:t xml:space="preserve"> during any part of their 2-year treatment journey (pre-PIT, PIT, or post-PIT) were significantly more likely to succeed than those with no long-term residential treatment in this period (59% vs. 48%, p &lt; .01). </w:t>
      </w:r>
      <w:r w:rsidRPr="00FD6208">
        <w:t xml:space="preserve">When the sample was grouped by </w:t>
      </w:r>
      <w:r w:rsidR="00EE7A8F">
        <w:t>PDOC</w:t>
      </w:r>
      <w:r w:rsidRPr="00FD6208">
        <w:t xml:space="preserve">, success rates were </w:t>
      </w:r>
      <w:r>
        <w:t>significantly higher (p &lt;</w:t>
      </w:r>
      <w:r w:rsidR="00183D73">
        <w:t xml:space="preserve"> </w:t>
      </w:r>
      <w:r>
        <w:t xml:space="preserve">.001) </w:t>
      </w:r>
      <w:r w:rsidRPr="00FD6208">
        <w:t>for meth</w:t>
      </w:r>
      <w:r w:rsidR="00E977AF">
        <w:t>/</w:t>
      </w:r>
      <w:r w:rsidRPr="00FD6208">
        <w:t xml:space="preserve">amphetamine </w:t>
      </w:r>
      <w:r w:rsidRPr="00FD6208">
        <w:lastRenderedPageBreak/>
        <w:t>(73%), followed by opioids (</w:t>
      </w:r>
      <w:r w:rsidR="00D07904">
        <w:t>58</w:t>
      </w:r>
      <w:r w:rsidRPr="00FD6208">
        <w:t>%</w:t>
      </w:r>
      <w:r>
        <w:t>)</w:t>
      </w:r>
      <w:r w:rsidRPr="00FD6208">
        <w:t>, cannabis (51%), and alcohol (46</w:t>
      </w:r>
      <w:r>
        <w:t>%).</w:t>
      </w:r>
      <w:r w:rsidR="00F20D55" w:rsidRPr="00F20D55">
        <w:t xml:space="preserve"> </w:t>
      </w:r>
      <w:r w:rsidR="00F20D55">
        <w:t>Taking a conservative estimate and assuming all participants lost to follow-up (excluding those deceased or incarcerated from the analysis) were treatment failures, the treatment success rate was 38%</w:t>
      </w:r>
      <w:r w:rsidR="00D07904">
        <w:t>.</w:t>
      </w:r>
    </w:p>
    <w:p w:rsidR="00072449" w:rsidRDefault="00072449" w:rsidP="00072449">
      <w:pPr>
        <w:keepNext/>
        <w:keepLines/>
        <w:spacing w:before="120" w:after="120" w:line="240" w:lineRule="auto"/>
        <w:outlineLvl w:val="0"/>
        <w:rPr>
          <w:rFonts w:ascii="Cambria" w:eastAsia="SimSun" w:hAnsi="Cambria"/>
          <w:bCs/>
          <w:i/>
          <w:sz w:val="24"/>
          <w:szCs w:val="24"/>
        </w:rPr>
      </w:pPr>
      <w:r>
        <w:rPr>
          <w:rFonts w:ascii="Cambria" w:eastAsia="SimSun" w:hAnsi="Cambria"/>
          <w:bCs/>
          <w:i/>
          <w:sz w:val="24"/>
          <w:szCs w:val="24"/>
        </w:rPr>
        <w:t xml:space="preserve">(c) </w:t>
      </w:r>
      <w:r w:rsidRPr="007C3BD6">
        <w:rPr>
          <w:rFonts w:ascii="Cambria" w:eastAsia="SimSun" w:hAnsi="Cambria"/>
          <w:bCs/>
          <w:i/>
          <w:sz w:val="24"/>
          <w:szCs w:val="24"/>
        </w:rPr>
        <w:t xml:space="preserve">Changes in severity of dependence </w:t>
      </w:r>
    </w:p>
    <w:p w:rsidR="00072449" w:rsidRPr="007C3BD6" w:rsidRDefault="00072449" w:rsidP="00072449">
      <w:pPr>
        <w:pStyle w:val="FAREnormaltext"/>
      </w:pPr>
      <w:r w:rsidRPr="007C3BD6">
        <w:t xml:space="preserve">Table </w:t>
      </w:r>
      <w:r>
        <w:t>3.1</w:t>
      </w:r>
      <w:r w:rsidR="005A0C62">
        <w:t>5</w:t>
      </w:r>
      <w:r w:rsidRPr="007C3BD6">
        <w:t xml:space="preserve"> shows that there were significant reductions in the severity of dependence (SDS score) </w:t>
      </w:r>
      <w:r>
        <w:t>for</w:t>
      </w:r>
      <w:r w:rsidRPr="007C3BD6">
        <w:t xml:space="preserve"> </w:t>
      </w:r>
      <w:r w:rsidR="00EE7A8F">
        <w:t>PDOC</w:t>
      </w:r>
      <w:r w:rsidRPr="007C3BD6">
        <w:t xml:space="preserve"> between baseline and follow-up and that this was observed across all PIT</w:t>
      </w:r>
      <w:r>
        <w:t xml:space="preserve"> </w:t>
      </w:r>
      <w:r w:rsidRPr="007C3BD6">
        <w:t>types. A clinically meaningful reduction in SDS score (i.e</w:t>
      </w:r>
      <w:r w:rsidR="00062E4B">
        <w:t>.</w:t>
      </w:r>
      <w:r w:rsidRPr="007C3BD6">
        <w:t xml:space="preserve"> </w:t>
      </w:r>
      <w:r w:rsidR="001934F3" w:rsidRPr="00007E5B">
        <w:rPr>
          <w:u w:val="single"/>
        </w:rPr>
        <w:t>&gt;</w:t>
      </w:r>
      <w:r w:rsidRPr="007C3BD6">
        <w:t xml:space="preserve"> 50%) was achieved by 32% (173/540) of the overall follow-up sample; 4</w:t>
      </w:r>
      <w:r w:rsidR="00C604CB">
        <w:t>2</w:t>
      </w:r>
      <w:r w:rsidRPr="007C3BD6">
        <w:t xml:space="preserve">% </w:t>
      </w:r>
      <w:r>
        <w:t>of residential rehabilitation</w:t>
      </w:r>
      <w:r w:rsidRPr="007C3BD6">
        <w:t xml:space="preserve">, 29% </w:t>
      </w:r>
      <w:r>
        <w:t>of</w:t>
      </w:r>
      <w:r w:rsidRPr="007C3BD6">
        <w:t xml:space="preserve"> </w:t>
      </w:r>
      <w:r>
        <w:t xml:space="preserve">acute withdrawal </w:t>
      </w:r>
      <w:r w:rsidRPr="007C3BD6">
        <w:t xml:space="preserve">and 28% </w:t>
      </w:r>
      <w:r>
        <w:t xml:space="preserve">of </w:t>
      </w:r>
      <w:r w:rsidRPr="007C3BD6">
        <w:t>outpatient</w:t>
      </w:r>
      <w:r>
        <w:t xml:space="preserve"> participants</w:t>
      </w:r>
      <w:r w:rsidR="00C604CB">
        <w:t xml:space="preserve"> (p &lt; .05)</w:t>
      </w:r>
      <w:r w:rsidRPr="007C3BD6">
        <w:t>.</w:t>
      </w:r>
    </w:p>
    <w:p w:rsidR="00072449" w:rsidRPr="007C3BD6" w:rsidRDefault="00072449" w:rsidP="00072449">
      <w:pPr>
        <w:pStyle w:val="FAREtableheading"/>
      </w:pPr>
      <w:bookmarkStart w:id="124" w:name="_Toc398105077"/>
      <w:proofErr w:type="gramStart"/>
      <w:r w:rsidRPr="00A126E3">
        <w:t xml:space="preserve">Table </w:t>
      </w:r>
      <w:r w:rsidR="00BE3D19" w:rsidRPr="00A126E3">
        <w:fldChar w:fldCharType="begin"/>
      </w:r>
      <w:r w:rsidRPr="00A126E3">
        <w:instrText xml:space="preserve"> STYLEREF 1 \s </w:instrText>
      </w:r>
      <w:r w:rsidR="00BE3D19" w:rsidRPr="00A126E3">
        <w:fldChar w:fldCharType="separate"/>
      </w:r>
      <w:r w:rsidR="00E150CA">
        <w:rPr>
          <w:noProof/>
        </w:rPr>
        <w:t>3</w:t>
      </w:r>
      <w:r w:rsidR="00BE3D19" w:rsidRPr="00A126E3">
        <w:fldChar w:fldCharType="end"/>
      </w:r>
      <w:r w:rsidRPr="00A126E3">
        <w:t>.</w:t>
      </w:r>
      <w:proofErr w:type="gramEnd"/>
      <w:r w:rsidR="00BE3D19" w:rsidRPr="00A126E3">
        <w:fldChar w:fldCharType="begin"/>
      </w:r>
      <w:r w:rsidRPr="00A126E3">
        <w:instrText xml:space="preserve"> SEQ Table \* ARABIC \s 1 </w:instrText>
      </w:r>
      <w:r w:rsidR="00BE3D19" w:rsidRPr="00A126E3">
        <w:fldChar w:fldCharType="separate"/>
      </w:r>
      <w:r w:rsidR="00E150CA">
        <w:rPr>
          <w:noProof/>
        </w:rPr>
        <w:t>15</w:t>
      </w:r>
      <w:r w:rsidR="00BE3D19" w:rsidRPr="00A126E3">
        <w:fldChar w:fldCharType="end"/>
      </w:r>
      <w:r w:rsidR="006244F5">
        <w:t xml:space="preserve"> </w:t>
      </w:r>
      <w:r w:rsidRPr="007C3BD6">
        <w:rPr>
          <w:rFonts w:ascii="Times New Roman" w:hAnsi="Times New Roman"/>
        </w:rPr>
        <w:t xml:space="preserve"> </w:t>
      </w:r>
      <w:r w:rsidRPr="007C3BD6">
        <w:rPr>
          <w:lang w:val="en-AU" w:eastAsia="en-US"/>
        </w:rPr>
        <w:t xml:space="preserve">Changes in severity of dependence on </w:t>
      </w:r>
      <w:r w:rsidR="00EE7A8F">
        <w:rPr>
          <w:lang w:val="en-AU" w:eastAsia="en-US"/>
        </w:rPr>
        <w:t>PDOC</w:t>
      </w:r>
      <w:r w:rsidRPr="007C3BD6">
        <w:rPr>
          <w:lang w:val="en-AU" w:eastAsia="en-US"/>
        </w:rPr>
        <w:t xml:space="preserve"> by PIT type</w:t>
      </w:r>
      <w:bookmarkEnd w:id="124"/>
      <w:r w:rsidRPr="00415291">
        <w:rPr>
          <w:rFonts w:ascii="Times New Roman" w:hAnsi="Times New Roman"/>
          <w:b w:val="0"/>
        </w:rPr>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Table 3.15  Changes in severity of dependence on PDOC by PIT type "/>
        <w:tblDescription w:val="Table 3.15  Changes in severity of dependence on PDOC by PIT type "/>
      </w:tblPr>
      <w:tblGrid>
        <w:gridCol w:w="3371"/>
        <w:gridCol w:w="2126"/>
        <w:gridCol w:w="2266"/>
        <w:gridCol w:w="1479"/>
      </w:tblGrid>
      <w:tr w:rsidR="00072449" w:rsidRPr="007C3BD6" w:rsidTr="00046CCA">
        <w:trPr>
          <w:trHeight w:hRule="exact" w:val="340"/>
          <w:tblHeader/>
        </w:trPr>
        <w:tc>
          <w:tcPr>
            <w:tcW w:w="1823" w:type="pct"/>
            <w:tcBorders>
              <w:top w:val="single" w:sz="4" w:space="0" w:color="auto"/>
              <w:bottom w:val="single" w:sz="4" w:space="0" w:color="auto"/>
            </w:tcBorders>
            <w:vAlign w:val="center"/>
            <w:hideMark/>
          </w:tcPr>
          <w:p w:rsidR="00072449" w:rsidRPr="007C3BD6" w:rsidRDefault="00072449" w:rsidP="00072449">
            <w:pPr>
              <w:spacing w:line="240" w:lineRule="auto"/>
              <w:rPr>
                <w:rFonts w:asciiTheme="minorHAnsi" w:hAnsiTheme="minorHAnsi"/>
                <w:b/>
                <w:sz w:val="22"/>
                <w:szCs w:val="22"/>
                <w:lang w:val="en-US"/>
              </w:rPr>
            </w:pPr>
            <w:r w:rsidRPr="007C3BD6">
              <w:rPr>
                <w:rFonts w:asciiTheme="minorHAnsi" w:hAnsiTheme="minorHAnsi"/>
                <w:b/>
                <w:sz w:val="22"/>
                <w:szCs w:val="22"/>
              </w:rPr>
              <w:t>PIT-type</w:t>
            </w:r>
          </w:p>
        </w:tc>
        <w:tc>
          <w:tcPr>
            <w:tcW w:w="1150" w:type="pct"/>
            <w:tcBorders>
              <w:top w:val="single" w:sz="4" w:space="0" w:color="auto"/>
              <w:bottom w:val="single" w:sz="4" w:space="0" w:color="auto"/>
            </w:tcBorders>
            <w:vAlign w:val="center"/>
            <w:hideMark/>
          </w:tcPr>
          <w:p w:rsidR="00072449" w:rsidRPr="007C3BD6" w:rsidRDefault="00072449" w:rsidP="00072449">
            <w:pPr>
              <w:spacing w:line="240" w:lineRule="auto"/>
              <w:jc w:val="center"/>
              <w:rPr>
                <w:rFonts w:asciiTheme="minorHAnsi" w:hAnsiTheme="minorHAnsi"/>
                <w:b/>
                <w:sz w:val="22"/>
                <w:szCs w:val="22"/>
                <w:lang w:val="en-US"/>
              </w:rPr>
            </w:pPr>
            <w:r w:rsidRPr="007C3BD6">
              <w:rPr>
                <w:rFonts w:asciiTheme="minorHAnsi" w:hAnsiTheme="minorHAnsi"/>
                <w:b/>
                <w:sz w:val="22"/>
                <w:szCs w:val="22"/>
              </w:rPr>
              <w:t xml:space="preserve">Baseline </w:t>
            </w:r>
            <w:r w:rsidR="00CE2C8E">
              <w:rPr>
                <w:rFonts w:asciiTheme="minorHAnsi" w:hAnsiTheme="minorHAnsi"/>
                <w:b/>
                <w:sz w:val="22"/>
                <w:szCs w:val="22"/>
              </w:rPr>
              <w:t>(</w:t>
            </w:r>
            <w:r>
              <w:rPr>
                <w:rFonts w:asciiTheme="minorHAnsi" w:hAnsiTheme="minorHAnsi"/>
                <w:b/>
                <w:sz w:val="22"/>
                <w:szCs w:val="22"/>
              </w:rPr>
              <w:t>median</w:t>
            </w:r>
            <w:r w:rsidR="00CE2C8E">
              <w:rPr>
                <w:rFonts w:asciiTheme="minorHAnsi" w:hAnsiTheme="minorHAnsi"/>
                <w:b/>
                <w:sz w:val="22"/>
                <w:szCs w:val="22"/>
              </w:rPr>
              <w:t>)</w:t>
            </w:r>
          </w:p>
        </w:tc>
        <w:tc>
          <w:tcPr>
            <w:tcW w:w="1226" w:type="pct"/>
            <w:tcBorders>
              <w:top w:val="single" w:sz="4" w:space="0" w:color="auto"/>
              <w:bottom w:val="single" w:sz="4" w:space="0" w:color="auto"/>
            </w:tcBorders>
            <w:vAlign w:val="center"/>
            <w:hideMark/>
          </w:tcPr>
          <w:p w:rsidR="00072449" w:rsidRPr="007C3BD6" w:rsidRDefault="00072449" w:rsidP="00072449">
            <w:pPr>
              <w:spacing w:line="240" w:lineRule="auto"/>
              <w:jc w:val="center"/>
              <w:rPr>
                <w:rFonts w:asciiTheme="minorHAnsi" w:hAnsiTheme="minorHAnsi"/>
                <w:b/>
                <w:sz w:val="22"/>
                <w:szCs w:val="22"/>
                <w:lang w:val="en-US"/>
              </w:rPr>
            </w:pPr>
            <w:r w:rsidRPr="007C3BD6">
              <w:rPr>
                <w:rFonts w:asciiTheme="minorHAnsi" w:hAnsiTheme="minorHAnsi"/>
                <w:b/>
                <w:sz w:val="22"/>
                <w:szCs w:val="22"/>
              </w:rPr>
              <w:t>Follow-up</w:t>
            </w:r>
            <w:r w:rsidR="00CE2C8E">
              <w:rPr>
                <w:rFonts w:asciiTheme="minorHAnsi" w:hAnsiTheme="minorHAnsi"/>
                <w:b/>
                <w:sz w:val="22"/>
                <w:szCs w:val="22"/>
              </w:rPr>
              <w:t xml:space="preserve"> (median)</w:t>
            </w:r>
          </w:p>
        </w:tc>
        <w:tc>
          <w:tcPr>
            <w:tcW w:w="800" w:type="pct"/>
            <w:tcBorders>
              <w:top w:val="single" w:sz="4" w:space="0" w:color="auto"/>
              <w:bottom w:val="single" w:sz="4" w:space="0" w:color="auto"/>
            </w:tcBorders>
            <w:vAlign w:val="center"/>
            <w:hideMark/>
          </w:tcPr>
          <w:p w:rsidR="00072449" w:rsidRPr="007C3BD6" w:rsidRDefault="00072449" w:rsidP="00072449">
            <w:pPr>
              <w:spacing w:line="240" w:lineRule="auto"/>
              <w:jc w:val="center"/>
              <w:rPr>
                <w:rFonts w:asciiTheme="minorHAnsi" w:hAnsiTheme="minorHAnsi"/>
                <w:b/>
                <w:sz w:val="22"/>
                <w:szCs w:val="22"/>
                <w:lang w:val="en-US"/>
              </w:rPr>
            </w:pPr>
            <w:r>
              <w:rPr>
                <w:rFonts w:asciiTheme="minorHAnsi" w:hAnsiTheme="minorHAnsi"/>
                <w:b/>
                <w:sz w:val="22"/>
                <w:szCs w:val="22"/>
              </w:rPr>
              <w:t>p</w:t>
            </w:r>
          </w:p>
        </w:tc>
      </w:tr>
      <w:tr w:rsidR="00072449" w:rsidRPr="007C3BD6" w:rsidTr="00B11DEE">
        <w:trPr>
          <w:trHeight w:hRule="exact" w:val="340"/>
        </w:trPr>
        <w:tc>
          <w:tcPr>
            <w:tcW w:w="1823" w:type="pct"/>
            <w:tcBorders>
              <w:top w:val="single" w:sz="4" w:space="0" w:color="auto"/>
            </w:tcBorders>
            <w:hideMark/>
          </w:tcPr>
          <w:p w:rsidR="00072449" w:rsidRPr="007C3BD6" w:rsidRDefault="00072449" w:rsidP="00072449">
            <w:pPr>
              <w:spacing w:line="240" w:lineRule="auto"/>
              <w:rPr>
                <w:rFonts w:asciiTheme="minorHAnsi" w:hAnsiTheme="minorHAnsi"/>
                <w:sz w:val="22"/>
                <w:szCs w:val="22"/>
                <w:lang w:val="en-US"/>
              </w:rPr>
            </w:pPr>
            <w:r>
              <w:rPr>
                <w:rFonts w:asciiTheme="minorHAnsi" w:hAnsiTheme="minorHAnsi"/>
                <w:sz w:val="22"/>
                <w:szCs w:val="22"/>
              </w:rPr>
              <w:t>Out</w:t>
            </w:r>
            <w:r w:rsidRPr="007C3BD6">
              <w:rPr>
                <w:rFonts w:asciiTheme="minorHAnsi" w:hAnsiTheme="minorHAnsi"/>
                <w:sz w:val="22"/>
                <w:szCs w:val="22"/>
              </w:rPr>
              <w:t>patient (n</w:t>
            </w:r>
            <w:r w:rsidR="00C604CB">
              <w:rPr>
                <w:rFonts w:asciiTheme="minorHAnsi" w:hAnsiTheme="minorHAnsi"/>
                <w:sz w:val="22"/>
                <w:szCs w:val="22"/>
              </w:rPr>
              <w:t xml:space="preserve"> </w:t>
            </w:r>
            <w:r w:rsidRPr="007C3BD6">
              <w:rPr>
                <w:rFonts w:asciiTheme="minorHAnsi" w:hAnsiTheme="minorHAnsi"/>
                <w:sz w:val="22"/>
                <w:szCs w:val="22"/>
              </w:rPr>
              <w:t>=</w:t>
            </w:r>
            <w:r w:rsidR="00C604CB">
              <w:rPr>
                <w:rFonts w:asciiTheme="minorHAnsi" w:hAnsiTheme="minorHAnsi"/>
                <w:sz w:val="22"/>
                <w:szCs w:val="22"/>
              </w:rPr>
              <w:t xml:space="preserve"> </w:t>
            </w:r>
            <w:r w:rsidRPr="007C3BD6">
              <w:rPr>
                <w:rFonts w:asciiTheme="minorHAnsi" w:hAnsiTheme="minorHAnsi"/>
                <w:sz w:val="22"/>
                <w:szCs w:val="22"/>
              </w:rPr>
              <w:t>1</w:t>
            </w:r>
            <w:r w:rsidR="00C604CB">
              <w:rPr>
                <w:rFonts w:asciiTheme="minorHAnsi" w:hAnsiTheme="minorHAnsi"/>
                <w:sz w:val="22"/>
                <w:szCs w:val="22"/>
              </w:rPr>
              <w:t>74</w:t>
            </w:r>
            <w:r w:rsidRPr="007C3BD6">
              <w:rPr>
                <w:rFonts w:asciiTheme="minorHAnsi" w:hAnsiTheme="minorHAnsi"/>
                <w:sz w:val="22"/>
                <w:szCs w:val="22"/>
              </w:rPr>
              <w:t>)</w:t>
            </w:r>
          </w:p>
        </w:tc>
        <w:tc>
          <w:tcPr>
            <w:tcW w:w="1150" w:type="pct"/>
            <w:tcBorders>
              <w:top w:val="single" w:sz="4" w:space="0" w:color="auto"/>
            </w:tcBorders>
            <w:hideMark/>
          </w:tcPr>
          <w:p w:rsidR="00072449" w:rsidRPr="007C3BD6" w:rsidRDefault="00072449" w:rsidP="00072449">
            <w:pPr>
              <w:spacing w:line="240" w:lineRule="auto"/>
              <w:jc w:val="center"/>
              <w:rPr>
                <w:rFonts w:asciiTheme="minorHAnsi" w:hAnsiTheme="minorHAnsi"/>
                <w:sz w:val="22"/>
                <w:szCs w:val="22"/>
                <w:lang w:val="en-US"/>
              </w:rPr>
            </w:pPr>
            <w:r>
              <w:rPr>
                <w:rFonts w:asciiTheme="minorHAnsi" w:hAnsiTheme="minorHAnsi"/>
                <w:sz w:val="22"/>
                <w:szCs w:val="22"/>
              </w:rPr>
              <w:t>10.0</w:t>
            </w:r>
          </w:p>
        </w:tc>
        <w:tc>
          <w:tcPr>
            <w:tcW w:w="1226" w:type="pct"/>
            <w:tcBorders>
              <w:top w:val="single" w:sz="4" w:space="0" w:color="auto"/>
            </w:tcBorders>
            <w:hideMark/>
          </w:tcPr>
          <w:p w:rsidR="00072449" w:rsidRPr="007C3BD6" w:rsidRDefault="00072449" w:rsidP="00072449">
            <w:pPr>
              <w:spacing w:line="240" w:lineRule="auto"/>
              <w:jc w:val="center"/>
              <w:rPr>
                <w:rFonts w:asciiTheme="minorHAnsi" w:hAnsiTheme="minorHAnsi"/>
                <w:sz w:val="22"/>
                <w:szCs w:val="22"/>
                <w:lang w:val="en-US"/>
              </w:rPr>
            </w:pPr>
            <w:r w:rsidRPr="007C3BD6">
              <w:rPr>
                <w:rFonts w:asciiTheme="minorHAnsi" w:hAnsiTheme="minorHAnsi"/>
                <w:sz w:val="22"/>
                <w:szCs w:val="22"/>
              </w:rPr>
              <w:t>7.</w:t>
            </w:r>
            <w:r w:rsidR="00C604CB">
              <w:rPr>
                <w:rFonts w:asciiTheme="minorHAnsi" w:hAnsiTheme="minorHAnsi"/>
                <w:sz w:val="22"/>
                <w:szCs w:val="22"/>
              </w:rPr>
              <w:t>5</w:t>
            </w:r>
          </w:p>
        </w:tc>
        <w:tc>
          <w:tcPr>
            <w:tcW w:w="800" w:type="pct"/>
            <w:tcBorders>
              <w:top w:val="single" w:sz="4" w:space="0" w:color="auto"/>
            </w:tcBorders>
            <w:hideMark/>
          </w:tcPr>
          <w:p w:rsidR="00072449" w:rsidRPr="007C3BD6" w:rsidRDefault="00072449" w:rsidP="00D07904">
            <w:pPr>
              <w:spacing w:line="240" w:lineRule="auto"/>
              <w:jc w:val="center"/>
              <w:rPr>
                <w:rFonts w:asciiTheme="minorHAnsi" w:hAnsiTheme="minorHAnsi"/>
                <w:sz w:val="22"/>
                <w:szCs w:val="22"/>
                <w:lang w:val="en-US"/>
              </w:rPr>
            </w:pPr>
            <w:r w:rsidRPr="007C3BD6">
              <w:rPr>
                <w:rFonts w:asciiTheme="minorHAnsi" w:hAnsiTheme="minorHAnsi"/>
                <w:sz w:val="22"/>
                <w:szCs w:val="22"/>
              </w:rPr>
              <w:t>&lt;</w:t>
            </w:r>
            <w:r w:rsidR="00D07904">
              <w:rPr>
                <w:rFonts w:asciiTheme="minorHAnsi" w:hAnsiTheme="minorHAnsi"/>
                <w:sz w:val="22"/>
                <w:szCs w:val="22"/>
              </w:rPr>
              <w:t xml:space="preserve"> </w:t>
            </w:r>
            <w:r w:rsidRPr="007C3BD6">
              <w:rPr>
                <w:rFonts w:asciiTheme="minorHAnsi" w:hAnsiTheme="minorHAnsi"/>
                <w:sz w:val="22"/>
                <w:szCs w:val="22"/>
              </w:rPr>
              <w:t>.001</w:t>
            </w:r>
          </w:p>
        </w:tc>
      </w:tr>
      <w:tr w:rsidR="00072449" w:rsidRPr="007C3BD6" w:rsidTr="00B11DEE">
        <w:trPr>
          <w:trHeight w:hRule="exact" w:val="340"/>
        </w:trPr>
        <w:tc>
          <w:tcPr>
            <w:tcW w:w="1823" w:type="pct"/>
            <w:hideMark/>
          </w:tcPr>
          <w:p w:rsidR="00072449" w:rsidRPr="007C3BD6" w:rsidRDefault="00072449" w:rsidP="00C604CB">
            <w:pPr>
              <w:spacing w:line="240" w:lineRule="auto"/>
              <w:rPr>
                <w:rFonts w:asciiTheme="minorHAnsi" w:hAnsiTheme="minorHAnsi"/>
                <w:sz w:val="22"/>
                <w:szCs w:val="22"/>
                <w:lang w:val="en-US"/>
              </w:rPr>
            </w:pPr>
            <w:r>
              <w:rPr>
                <w:rFonts w:asciiTheme="minorHAnsi" w:hAnsiTheme="minorHAnsi"/>
                <w:sz w:val="22"/>
                <w:szCs w:val="22"/>
              </w:rPr>
              <w:t xml:space="preserve">Acute </w:t>
            </w:r>
            <w:r w:rsidR="004516BD">
              <w:rPr>
                <w:rFonts w:asciiTheme="minorHAnsi" w:hAnsiTheme="minorHAnsi"/>
                <w:sz w:val="22"/>
                <w:szCs w:val="22"/>
              </w:rPr>
              <w:t>w</w:t>
            </w:r>
            <w:r>
              <w:rPr>
                <w:rFonts w:asciiTheme="minorHAnsi" w:hAnsiTheme="minorHAnsi"/>
                <w:sz w:val="22"/>
                <w:szCs w:val="22"/>
              </w:rPr>
              <w:t>ithdrawal</w:t>
            </w:r>
            <w:r w:rsidRPr="007C3BD6">
              <w:rPr>
                <w:rFonts w:asciiTheme="minorHAnsi" w:hAnsiTheme="minorHAnsi"/>
                <w:sz w:val="22"/>
                <w:szCs w:val="22"/>
              </w:rPr>
              <w:t xml:space="preserve">  (n</w:t>
            </w:r>
            <w:r w:rsidR="00C604CB">
              <w:rPr>
                <w:rFonts w:asciiTheme="minorHAnsi" w:hAnsiTheme="minorHAnsi"/>
                <w:sz w:val="22"/>
                <w:szCs w:val="22"/>
              </w:rPr>
              <w:t xml:space="preserve"> </w:t>
            </w:r>
            <w:r w:rsidRPr="007C3BD6">
              <w:rPr>
                <w:rFonts w:asciiTheme="minorHAnsi" w:hAnsiTheme="minorHAnsi"/>
                <w:sz w:val="22"/>
                <w:szCs w:val="22"/>
              </w:rPr>
              <w:t>=</w:t>
            </w:r>
            <w:r w:rsidR="00C604CB">
              <w:rPr>
                <w:rFonts w:asciiTheme="minorHAnsi" w:hAnsiTheme="minorHAnsi"/>
                <w:sz w:val="22"/>
                <w:szCs w:val="22"/>
              </w:rPr>
              <w:t xml:space="preserve"> </w:t>
            </w:r>
            <w:r w:rsidRPr="007C3BD6">
              <w:rPr>
                <w:rFonts w:asciiTheme="minorHAnsi" w:hAnsiTheme="minorHAnsi"/>
                <w:sz w:val="22"/>
                <w:szCs w:val="22"/>
              </w:rPr>
              <w:t>2</w:t>
            </w:r>
            <w:r w:rsidR="00C604CB">
              <w:rPr>
                <w:rFonts w:asciiTheme="minorHAnsi" w:hAnsiTheme="minorHAnsi"/>
                <w:sz w:val="22"/>
                <w:szCs w:val="22"/>
              </w:rPr>
              <w:t>37</w:t>
            </w:r>
            <w:r w:rsidRPr="007C3BD6">
              <w:rPr>
                <w:rFonts w:asciiTheme="minorHAnsi" w:hAnsiTheme="minorHAnsi"/>
                <w:sz w:val="22"/>
                <w:szCs w:val="22"/>
              </w:rPr>
              <w:t>)</w:t>
            </w:r>
          </w:p>
        </w:tc>
        <w:tc>
          <w:tcPr>
            <w:tcW w:w="1150" w:type="pct"/>
            <w:hideMark/>
          </w:tcPr>
          <w:p w:rsidR="00072449" w:rsidRPr="007C3BD6" w:rsidRDefault="00072449" w:rsidP="00072449">
            <w:pPr>
              <w:spacing w:line="240" w:lineRule="auto"/>
              <w:jc w:val="center"/>
              <w:rPr>
                <w:rFonts w:asciiTheme="minorHAnsi" w:hAnsiTheme="minorHAnsi"/>
                <w:sz w:val="22"/>
                <w:szCs w:val="22"/>
                <w:lang w:val="en-US"/>
              </w:rPr>
            </w:pPr>
            <w:r>
              <w:rPr>
                <w:rFonts w:asciiTheme="minorHAnsi" w:hAnsiTheme="minorHAnsi"/>
                <w:sz w:val="22"/>
                <w:szCs w:val="22"/>
              </w:rPr>
              <w:t>12.0</w:t>
            </w:r>
          </w:p>
        </w:tc>
        <w:tc>
          <w:tcPr>
            <w:tcW w:w="1226" w:type="pct"/>
            <w:hideMark/>
          </w:tcPr>
          <w:p w:rsidR="00072449" w:rsidRPr="007C3BD6" w:rsidRDefault="00072449" w:rsidP="00072449">
            <w:pPr>
              <w:spacing w:line="240" w:lineRule="auto"/>
              <w:jc w:val="center"/>
              <w:rPr>
                <w:rFonts w:asciiTheme="minorHAnsi" w:hAnsiTheme="minorHAnsi"/>
                <w:sz w:val="22"/>
                <w:szCs w:val="22"/>
                <w:lang w:val="en-US"/>
              </w:rPr>
            </w:pPr>
            <w:r w:rsidRPr="007C3BD6">
              <w:rPr>
                <w:rFonts w:asciiTheme="minorHAnsi" w:hAnsiTheme="minorHAnsi"/>
                <w:sz w:val="22"/>
                <w:szCs w:val="22"/>
              </w:rPr>
              <w:t>9.0</w:t>
            </w:r>
          </w:p>
        </w:tc>
        <w:tc>
          <w:tcPr>
            <w:tcW w:w="800" w:type="pct"/>
            <w:hideMark/>
          </w:tcPr>
          <w:p w:rsidR="00072449" w:rsidRPr="007C3BD6" w:rsidRDefault="00072449" w:rsidP="00D07904">
            <w:pPr>
              <w:spacing w:line="240" w:lineRule="auto"/>
              <w:jc w:val="center"/>
              <w:rPr>
                <w:rFonts w:asciiTheme="minorHAnsi" w:hAnsiTheme="minorHAnsi"/>
                <w:sz w:val="22"/>
                <w:szCs w:val="22"/>
                <w:lang w:val="en-US"/>
              </w:rPr>
            </w:pPr>
            <w:r w:rsidRPr="007C3BD6">
              <w:rPr>
                <w:rFonts w:asciiTheme="minorHAnsi" w:hAnsiTheme="minorHAnsi"/>
                <w:sz w:val="22"/>
                <w:szCs w:val="22"/>
              </w:rPr>
              <w:t>&lt;</w:t>
            </w:r>
            <w:r w:rsidR="00D07904">
              <w:rPr>
                <w:rFonts w:asciiTheme="minorHAnsi" w:hAnsiTheme="minorHAnsi"/>
                <w:sz w:val="22"/>
                <w:szCs w:val="22"/>
              </w:rPr>
              <w:t xml:space="preserve"> </w:t>
            </w:r>
            <w:r w:rsidRPr="007C3BD6">
              <w:rPr>
                <w:rFonts w:asciiTheme="minorHAnsi" w:hAnsiTheme="minorHAnsi"/>
                <w:sz w:val="22"/>
                <w:szCs w:val="22"/>
              </w:rPr>
              <w:t>.001</w:t>
            </w:r>
          </w:p>
        </w:tc>
      </w:tr>
      <w:tr w:rsidR="00072449" w:rsidRPr="007C3BD6" w:rsidTr="00B11DEE">
        <w:trPr>
          <w:trHeight w:hRule="exact" w:val="340"/>
        </w:trPr>
        <w:tc>
          <w:tcPr>
            <w:tcW w:w="1823" w:type="pct"/>
            <w:hideMark/>
          </w:tcPr>
          <w:p w:rsidR="00072449" w:rsidRPr="007C3BD6" w:rsidRDefault="00072449" w:rsidP="00C604CB">
            <w:pPr>
              <w:spacing w:line="240" w:lineRule="auto"/>
              <w:rPr>
                <w:rFonts w:asciiTheme="minorHAnsi" w:hAnsiTheme="minorHAnsi"/>
                <w:sz w:val="22"/>
                <w:szCs w:val="22"/>
                <w:lang w:val="en-US"/>
              </w:rPr>
            </w:pPr>
            <w:r>
              <w:rPr>
                <w:rFonts w:asciiTheme="minorHAnsi" w:hAnsiTheme="minorHAnsi"/>
                <w:sz w:val="22"/>
                <w:szCs w:val="22"/>
              </w:rPr>
              <w:t>Residential</w:t>
            </w:r>
            <w:r w:rsidR="004516BD">
              <w:rPr>
                <w:rFonts w:asciiTheme="minorHAnsi" w:hAnsiTheme="minorHAnsi"/>
                <w:sz w:val="22"/>
                <w:szCs w:val="22"/>
              </w:rPr>
              <w:t xml:space="preserve"> rehabilitation</w:t>
            </w:r>
            <w:r>
              <w:rPr>
                <w:rFonts w:asciiTheme="minorHAnsi" w:hAnsiTheme="minorHAnsi"/>
                <w:sz w:val="22"/>
                <w:szCs w:val="22"/>
              </w:rPr>
              <w:t xml:space="preserve"> </w:t>
            </w:r>
            <w:r w:rsidRPr="007C3BD6">
              <w:rPr>
                <w:rFonts w:asciiTheme="minorHAnsi" w:hAnsiTheme="minorHAnsi"/>
                <w:sz w:val="22"/>
                <w:szCs w:val="22"/>
              </w:rPr>
              <w:t>(n</w:t>
            </w:r>
            <w:r w:rsidR="00C604CB">
              <w:rPr>
                <w:rFonts w:asciiTheme="minorHAnsi" w:hAnsiTheme="minorHAnsi"/>
                <w:sz w:val="22"/>
                <w:szCs w:val="22"/>
              </w:rPr>
              <w:t xml:space="preserve"> </w:t>
            </w:r>
            <w:r w:rsidRPr="007C3BD6">
              <w:rPr>
                <w:rFonts w:asciiTheme="minorHAnsi" w:hAnsiTheme="minorHAnsi"/>
                <w:sz w:val="22"/>
                <w:szCs w:val="22"/>
              </w:rPr>
              <w:t>=</w:t>
            </w:r>
            <w:r w:rsidR="00C604CB">
              <w:rPr>
                <w:rFonts w:asciiTheme="minorHAnsi" w:hAnsiTheme="minorHAnsi"/>
                <w:sz w:val="22"/>
                <w:szCs w:val="22"/>
              </w:rPr>
              <w:t xml:space="preserve"> 136</w:t>
            </w:r>
            <w:r w:rsidRPr="007C3BD6">
              <w:rPr>
                <w:rFonts w:asciiTheme="minorHAnsi" w:hAnsiTheme="minorHAnsi"/>
                <w:sz w:val="22"/>
                <w:szCs w:val="22"/>
              </w:rPr>
              <w:t>)</w:t>
            </w:r>
          </w:p>
        </w:tc>
        <w:tc>
          <w:tcPr>
            <w:tcW w:w="1150" w:type="pct"/>
            <w:hideMark/>
          </w:tcPr>
          <w:p w:rsidR="00072449" w:rsidRPr="007C3BD6" w:rsidRDefault="00072449" w:rsidP="00072449">
            <w:pPr>
              <w:spacing w:line="240" w:lineRule="auto"/>
              <w:jc w:val="center"/>
              <w:rPr>
                <w:rFonts w:asciiTheme="minorHAnsi" w:hAnsiTheme="minorHAnsi"/>
                <w:sz w:val="22"/>
                <w:szCs w:val="22"/>
                <w:lang w:val="en-US"/>
              </w:rPr>
            </w:pPr>
            <w:r>
              <w:rPr>
                <w:rFonts w:asciiTheme="minorHAnsi" w:hAnsiTheme="minorHAnsi"/>
                <w:sz w:val="22"/>
                <w:szCs w:val="22"/>
              </w:rPr>
              <w:t>11.0</w:t>
            </w:r>
          </w:p>
        </w:tc>
        <w:tc>
          <w:tcPr>
            <w:tcW w:w="1226" w:type="pct"/>
            <w:hideMark/>
          </w:tcPr>
          <w:p w:rsidR="00072449" w:rsidRPr="007C3BD6" w:rsidRDefault="00072449" w:rsidP="00072449">
            <w:pPr>
              <w:spacing w:line="240" w:lineRule="auto"/>
              <w:jc w:val="center"/>
              <w:rPr>
                <w:rFonts w:asciiTheme="minorHAnsi" w:hAnsiTheme="minorHAnsi"/>
                <w:sz w:val="22"/>
                <w:szCs w:val="22"/>
                <w:lang w:val="en-US"/>
              </w:rPr>
            </w:pPr>
            <w:r w:rsidRPr="007C3BD6">
              <w:rPr>
                <w:rFonts w:asciiTheme="minorHAnsi" w:hAnsiTheme="minorHAnsi"/>
                <w:sz w:val="22"/>
                <w:szCs w:val="22"/>
              </w:rPr>
              <w:t>7.</w:t>
            </w:r>
            <w:r>
              <w:rPr>
                <w:rFonts w:asciiTheme="minorHAnsi" w:hAnsiTheme="minorHAnsi"/>
                <w:sz w:val="22"/>
                <w:szCs w:val="22"/>
              </w:rPr>
              <w:t>0</w:t>
            </w:r>
          </w:p>
        </w:tc>
        <w:tc>
          <w:tcPr>
            <w:tcW w:w="800" w:type="pct"/>
            <w:hideMark/>
          </w:tcPr>
          <w:p w:rsidR="00072449" w:rsidRPr="007C3BD6" w:rsidRDefault="00072449" w:rsidP="00D07904">
            <w:pPr>
              <w:spacing w:line="240" w:lineRule="auto"/>
              <w:jc w:val="center"/>
              <w:rPr>
                <w:rFonts w:asciiTheme="minorHAnsi" w:hAnsiTheme="minorHAnsi"/>
                <w:sz w:val="22"/>
                <w:szCs w:val="22"/>
                <w:lang w:val="en-US"/>
              </w:rPr>
            </w:pPr>
            <w:r w:rsidRPr="007C3BD6">
              <w:rPr>
                <w:rFonts w:asciiTheme="minorHAnsi" w:hAnsiTheme="minorHAnsi"/>
                <w:sz w:val="22"/>
                <w:szCs w:val="22"/>
              </w:rPr>
              <w:t>&lt;</w:t>
            </w:r>
            <w:r w:rsidR="00D07904">
              <w:rPr>
                <w:rFonts w:asciiTheme="minorHAnsi" w:hAnsiTheme="minorHAnsi"/>
                <w:sz w:val="22"/>
                <w:szCs w:val="22"/>
              </w:rPr>
              <w:t xml:space="preserve"> </w:t>
            </w:r>
            <w:r w:rsidRPr="007C3BD6">
              <w:rPr>
                <w:rFonts w:asciiTheme="minorHAnsi" w:hAnsiTheme="minorHAnsi"/>
                <w:sz w:val="22"/>
                <w:szCs w:val="22"/>
              </w:rPr>
              <w:t>.001</w:t>
            </w:r>
          </w:p>
        </w:tc>
      </w:tr>
      <w:tr w:rsidR="00072449" w:rsidRPr="007C3BD6" w:rsidTr="00B11DEE">
        <w:trPr>
          <w:trHeight w:hRule="exact" w:val="340"/>
        </w:trPr>
        <w:tc>
          <w:tcPr>
            <w:tcW w:w="1823" w:type="pct"/>
            <w:tcBorders>
              <w:bottom w:val="single" w:sz="4" w:space="0" w:color="auto"/>
            </w:tcBorders>
            <w:hideMark/>
          </w:tcPr>
          <w:p w:rsidR="00072449" w:rsidRPr="007C3BD6" w:rsidRDefault="00072449" w:rsidP="00C604CB">
            <w:pPr>
              <w:spacing w:line="240" w:lineRule="auto"/>
              <w:rPr>
                <w:rFonts w:asciiTheme="minorHAnsi" w:hAnsiTheme="minorHAnsi"/>
                <w:sz w:val="22"/>
                <w:szCs w:val="22"/>
                <w:lang w:val="en-US"/>
              </w:rPr>
            </w:pPr>
            <w:r w:rsidRPr="007C3BD6">
              <w:rPr>
                <w:rFonts w:asciiTheme="minorHAnsi" w:hAnsiTheme="minorHAnsi"/>
                <w:sz w:val="22"/>
                <w:szCs w:val="22"/>
              </w:rPr>
              <w:t>Total (n</w:t>
            </w:r>
            <w:r w:rsidR="00C604CB">
              <w:rPr>
                <w:rFonts w:asciiTheme="minorHAnsi" w:hAnsiTheme="minorHAnsi"/>
                <w:sz w:val="22"/>
                <w:szCs w:val="22"/>
              </w:rPr>
              <w:t xml:space="preserve"> </w:t>
            </w:r>
            <w:r w:rsidRPr="007C3BD6">
              <w:rPr>
                <w:rFonts w:asciiTheme="minorHAnsi" w:hAnsiTheme="minorHAnsi"/>
                <w:sz w:val="22"/>
                <w:szCs w:val="22"/>
              </w:rPr>
              <w:t>=</w:t>
            </w:r>
            <w:r w:rsidR="00C604CB">
              <w:rPr>
                <w:rFonts w:asciiTheme="minorHAnsi" w:hAnsiTheme="minorHAnsi"/>
                <w:sz w:val="22"/>
                <w:szCs w:val="22"/>
              </w:rPr>
              <w:t xml:space="preserve"> 547</w:t>
            </w:r>
            <w:r w:rsidRPr="007C3BD6">
              <w:rPr>
                <w:rFonts w:asciiTheme="minorHAnsi" w:hAnsiTheme="minorHAnsi"/>
                <w:sz w:val="22"/>
                <w:szCs w:val="22"/>
              </w:rPr>
              <w:t>)</w:t>
            </w:r>
          </w:p>
        </w:tc>
        <w:tc>
          <w:tcPr>
            <w:tcW w:w="1150" w:type="pct"/>
            <w:tcBorders>
              <w:bottom w:val="single" w:sz="4" w:space="0" w:color="auto"/>
            </w:tcBorders>
            <w:hideMark/>
          </w:tcPr>
          <w:p w:rsidR="00072449" w:rsidRPr="007C3BD6" w:rsidRDefault="00072449" w:rsidP="00072449">
            <w:pPr>
              <w:spacing w:line="240" w:lineRule="auto"/>
              <w:jc w:val="center"/>
              <w:rPr>
                <w:rFonts w:asciiTheme="minorHAnsi" w:hAnsiTheme="minorHAnsi"/>
                <w:sz w:val="22"/>
                <w:szCs w:val="22"/>
                <w:lang w:val="en-US"/>
              </w:rPr>
            </w:pPr>
            <w:r>
              <w:rPr>
                <w:rFonts w:asciiTheme="minorHAnsi" w:hAnsiTheme="minorHAnsi"/>
                <w:sz w:val="22"/>
                <w:szCs w:val="22"/>
              </w:rPr>
              <w:t>11.0</w:t>
            </w:r>
          </w:p>
        </w:tc>
        <w:tc>
          <w:tcPr>
            <w:tcW w:w="1226" w:type="pct"/>
            <w:tcBorders>
              <w:bottom w:val="single" w:sz="4" w:space="0" w:color="auto"/>
            </w:tcBorders>
            <w:hideMark/>
          </w:tcPr>
          <w:p w:rsidR="00072449" w:rsidRPr="007C3BD6" w:rsidRDefault="00072449" w:rsidP="00072449">
            <w:pPr>
              <w:spacing w:line="240" w:lineRule="auto"/>
              <w:jc w:val="center"/>
              <w:rPr>
                <w:rFonts w:asciiTheme="minorHAnsi" w:hAnsiTheme="minorHAnsi"/>
                <w:sz w:val="22"/>
                <w:szCs w:val="22"/>
                <w:lang w:val="en-US"/>
              </w:rPr>
            </w:pPr>
            <w:r w:rsidRPr="007C3BD6">
              <w:rPr>
                <w:rFonts w:asciiTheme="minorHAnsi" w:hAnsiTheme="minorHAnsi"/>
                <w:sz w:val="22"/>
                <w:szCs w:val="22"/>
              </w:rPr>
              <w:t>8.</w:t>
            </w:r>
            <w:r>
              <w:rPr>
                <w:rFonts w:asciiTheme="minorHAnsi" w:hAnsiTheme="minorHAnsi"/>
                <w:sz w:val="22"/>
                <w:szCs w:val="22"/>
              </w:rPr>
              <w:t>0</w:t>
            </w:r>
          </w:p>
        </w:tc>
        <w:tc>
          <w:tcPr>
            <w:tcW w:w="800" w:type="pct"/>
            <w:tcBorders>
              <w:bottom w:val="single" w:sz="4" w:space="0" w:color="auto"/>
            </w:tcBorders>
            <w:hideMark/>
          </w:tcPr>
          <w:p w:rsidR="00072449" w:rsidRPr="007C3BD6" w:rsidRDefault="00072449" w:rsidP="00D07904">
            <w:pPr>
              <w:spacing w:line="240" w:lineRule="auto"/>
              <w:jc w:val="center"/>
              <w:rPr>
                <w:rFonts w:asciiTheme="minorHAnsi" w:hAnsiTheme="minorHAnsi"/>
                <w:sz w:val="22"/>
                <w:szCs w:val="22"/>
                <w:lang w:val="en-US"/>
              </w:rPr>
            </w:pPr>
            <w:r w:rsidRPr="007C3BD6">
              <w:rPr>
                <w:rFonts w:asciiTheme="minorHAnsi" w:hAnsiTheme="minorHAnsi"/>
                <w:sz w:val="22"/>
                <w:szCs w:val="22"/>
              </w:rPr>
              <w:t>&lt;</w:t>
            </w:r>
            <w:r w:rsidR="00D07904">
              <w:rPr>
                <w:rFonts w:asciiTheme="minorHAnsi" w:hAnsiTheme="minorHAnsi"/>
                <w:sz w:val="22"/>
                <w:szCs w:val="22"/>
              </w:rPr>
              <w:t xml:space="preserve"> </w:t>
            </w:r>
            <w:r w:rsidRPr="007C3BD6">
              <w:rPr>
                <w:rFonts w:asciiTheme="minorHAnsi" w:hAnsiTheme="minorHAnsi"/>
                <w:sz w:val="22"/>
                <w:szCs w:val="22"/>
              </w:rPr>
              <w:t>.001</w:t>
            </w:r>
          </w:p>
        </w:tc>
      </w:tr>
    </w:tbl>
    <w:p w:rsidR="00072449" w:rsidRPr="00C8727A" w:rsidRDefault="00072449" w:rsidP="00072449">
      <w:pPr>
        <w:spacing w:line="240" w:lineRule="auto"/>
        <w:rPr>
          <w:lang w:val="en-GB"/>
        </w:rPr>
      </w:pPr>
    </w:p>
    <w:p w:rsidR="00072449" w:rsidRDefault="00072449" w:rsidP="00072449">
      <w:pPr>
        <w:keepNext/>
        <w:keepLines/>
        <w:spacing w:before="120" w:after="120" w:line="240" w:lineRule="auto"/>
        <w:outlineLvl w:val="0"/>
        <w:rPr>
          <w:rFonts w:ascii="Times New Roman" w:hAnsi="Times New Roman"/>
          <w:b/>
          <w:u w:val="single"/>
        </w:rPr>
      </w:pPr>
      <w:r>
        <w:rPr>
          <w:rFonts w:ascii="Cambria" w:eastAsia="SimSun" w:hAnsi="Cambria"/>
          <w:bCs/>
          <w:i/>
          <w:sz w:val="24"/>
          <w:szCs w:val="24"/>
        </w:rPr>
        <w:t xml:space="preserve">(D) </w:t>
      </w:r>
      <w:r w:rsidRPr="00542036">
        <w:rPr>
          <w:rFonts w:ascii="Cambria" w:eastAsia="SimSun" w:hAnsi="Cambria"/>
          <w:bCs/>
          <w:i/>
          <w:sz w:val="24"/>
          <w:szCs w:val="24"/>
        </w:rPr>
        <w:t>Changes in Quality of Life (</w:t>
      </w:r>
      <w:r w:rsidR="00EE7A8F">
        <w:rPr>
          <w:rFonts w:ascii="Cambria" w:eastAsia="SimSun" w:hAnsi="Cambria"/>
          <w:bCs/>
          <w:i/>
          <w:sz w:val="24"/>
          <w:szCs w:val="24"/>
        </w:rPr>
        <w:t>QOL</w:t>
      </w:r>
      <w:r w:rsidRPr="00542036">
        <w:rPr>
          <w:rFonts w:ascii="Cambria" w:eastAsia="SimSun" w:hAnsi="Cambria"/>
          <w:bCs/>
          <w:i/>
          <w:sz w:val="24"/>
          <w:szCs w:val="24"/>
        </w:rPr>
        <w:t>)</w:t>
      </w:r>
    </w:p>
    <w:p w:rsidR="00072449" w:rsidRPr="00542036" w:rsidRDefault="005A0C62" w:rsidP="00072449">
      <w:pPr>
        <w:pStyle w:val="FAREnormaltext"/>
      </w:pPr>
      <w:r>
        <w:t>Participants</w:t>
      </w:r>
      <w:r w:rsidR="00072449" w:rsidRPr="00542036">
        <w:t xml:space="preserve"> within each PIT type</w:t>
      </w:r>
      <w:r w:rsidR="00072449">
        <w:t xml:space="preserve"> </w:t>
      </w:r>
      <w:r w:rsidR="00072449" w:rsidRPr="00542036">
        <w:t>had a significantly higher me</w:t>
      </w:r>
      <w:r w:rsidR="00072449">
        <w:t>dian</w:t>
      </w:r>
      <w:r w:rsidR="00072449" w:rsidRPr="00542036">
        <w:t xml:space="preserve"> scores on each of the WHO</w:t>
      </w:r>
      <w:r w:rsidR="00072449">
        <w:t>-</w:t>
      </w:r>
      <w:r w:rsidR="00EE7A8F">
        <w:t>QOL</w:t>
      </w:r>
      <w:r w:rsidR="00072449" w:rsidRPr="00542036">
        <w:t xml:space="preserve"> domains </w:t>
      </w:r>
      <w:r w:rsidR="00072449">
        <w:t>than they had at baseline,</w:t>
      </w:r>
      <w:r w:rsidR="00072449" w:rsidRPr="00542036">
        <w:t xml:space="preserve"> reflecting improved </w:t>
      </w:r>
      <w:r w:rsidR="00EE7A8F">
        <w:t>QOL</w:t>
      </w:r>
      <w:r w:rsidR="00072449" w:rsidRPr="00542036">
        <w:t xml:space="preserve"> (see Table </w:t>
      </w:r>
      <w:r w:rsidR="00072449">
        <w:t>3.1</w:t>
      </w:r>
      <w:r>
        <w:t>6</w:t>
      </w:r>
      <w:r w:rsidR="00072449" w:rsidRPr="00542036">
        <w:t xml:space="preserve">), with the exception of physical </w:t>
      </w:r>
      <w:r w:rsidR="00EE7A8F">
        <w:t>QOL</w:t>
      </w:r>
      <w:r w:rsidR="00072449" w:rsidRPr="00542036">
        <w:t xml:space="preserve"> among the </w:t>
      </w:r>
      <w:r w:rsidR="00072449">
        <w:t>residential rehabilitation</w:t>
      </w:r>
      <w:r w:rsidR="00072449" w:rsidRPr="00542036">
        <w:t xml:space="preserve"> </w:t>
      </w:r>
      <w:r w:rsidR="006D29AE">
        <w:t>participants</w:t>
      </w:r>
      <w:r w:rsidR="00072449" w:rsidRPr="00542036">
        <w:t>. Australian general population means for each domain appear in parentheses in the “total” section. At follow-up,</w:t>
      </w:r>
      <w:r w:rsidR="00A26035">
        <w:t xml:space="preserve"> median</w:t>
      </w:r>
      <w:r w:rsidR="00072449" w:rsidRPr="00542036">
        <w:t xml:space="preserve"> physical, psychological, social, and environmental </w:t>
      </w:r>
      <w:r w:rsidR="00EE7A8F">
        <w:t>QOL</w:t>
      </w:r>
      <w:r w:rsidR="00072449" w:rsidRPr="00542036">
        <w:t xml:space="preserve"> remain significantly lower than Australian general population means (all </w:t>
      </w:r>
      <w:proofErr w:type="spellStart"/>
      <w:r w:rsidR="00072449" w:rsidRPr="00542036">
        <w:t>p</w:t>
      </w:r>
      <w:r w:rsidR="00072449">
        <w:t>s</w:t>
      </w:r>
      <w:proofErr w:type="spellEnd"/>
      <w:r w:rsidR="00072449" w:rsidRPr="00542036">
        <w:t xml:space="preserve"> &lt; .001). Me</w:t>
      </w:r>
      <w:r w:rsidR="00A26035">
        <w:t>di</w:t>
      </w:r>
      <w:r w:rsidR="00072449" w:rsidRPr="00542036">
        <w:t xml:space="preserve">an scores at follow-up </w:t>
      </w:r>
      <w:r w:rsidR="00072449">
        <w:t>were</w:t>
      </w:r>
      <w:r w:rsidR="00072449" w:rsidRPr="00542036">
        <w:t xml:space="preserve"> 0.7</w:t>
      </w:r>
      <w:r w:rsidR="00A26035">
        <w:t>1</w:t>
      </w:r>
      <w:r w:rsidR="00072449" w:rsidRPr="00542036">
        <w:t>, 1.17, 0.</w:t>
      </w:r>
      <w:r w:rsidR="00A26035">
        <w:t>73</w:t>
      </w:r>
      <w:r w:rsidR="00072449" w:rsidRPr="00542036">
        <w:t>, and 0.7</w:t>
      </w:r>
      <w:r w:rsidR="00A26035">
        <w:t>3</w:t>
      </w:r>
      <w:r w:rsidR="00072449" w:rsidRPr="00542036">
        <w:t xml:space="preserve"> SDs below general population norms, respectively.</w:t>
      </w:r>
    </w:p>
    <w:p w:rsidR="000F5501" w:rsidRDefault="000F5501">
      <w:pPr>
        <w:spacing w:after="120" w:line="240" w:lineRule="auto"/>
        <w:ind w:left="1191" w:hanging="1134"/>
        <w:jc w:val="both"/>
        <w:rPr>
          <w:b/>
          <w:lang w:val="en-GB" w:eastAsia="en-AU"/>
        </w:rPr>
      </w:pPr>
      <w:r>
        <w:br w:type="page"/>
      </w:r>
    </w:p>
    <w:p w:rsidR="00072449" w:rsidRPr="00542036" w:rsidRDefault="00072449" w:rsidP="00072449">
      <w:pPr>
        <w:pStyle w:val="FAREtableheading"/>
        <w:rPr>
          <w:b w:val="0"/>
        </w:rPr>
      </w:pPr>
      <w:bookmarkStart w:id="125" w:name="_Toc398105078"/>
      <w:proofErr w:type="gramStart"/>
      <w:r w:rsidRPr="00A126E3">
        <w:lastRenderedPageBreak/>
        <w:t xml:space="preserve">Table </w:t>
      </w:r>
      <w:r w:rsidR="00BE3D19" w:rsidRPr="00A126E3">
        <w:fldChar w:fldCharType="begin"/>
      </w:r>
      <w:r w:rsidRPr="00A126E3">
        <w:instrText xml:space="preserve"> STYLEREF 1 \s </w:instrText>
      </w:r>
      <w:r w:rsidR="00BE3D19" w:rsidRPr="00A126E3">
        <w:fldChar w:fldCharType="separate"/>
      </w:r>
      <w:r w:rsidR="00E150CA">
        <w:rPr>
          <w:noProof/>
        </w:rPr>
        <w:t>3</w:t>
      </w:r>
      <w:r w:rsidR="00BE3D19" w:rsidRPr="00A126E3">
        <w:fldChar w:fldCharType="end"/>
      </w:r>
      <w:r w:rsidRPr="00A126E3">
        <w:t>.</w:t>
      </w:r>
      <w:proofErr w:type="gramEnd"/>
      <w:r w:rsidR="00BE3D19" w:rsidRPr="00A126E3">
        <w:fldChar w:fldCharType="begin"/>
      </w:r>
      <w:r w:rsidRPr="00A126E3">
        <w:instrText xml:space="preserve"> SEQ Table \* ARABIC \s 1 </w:instrText>
      </w:r>
      <w:r w:rsidR="00BE3D19" w:rsidRPr="00A126E3">
        <w:fldChar w:fldCharType="separate"/>
      </w:r>
      <w:r w:rsidR="00E150CA">
        <w:rPr>
          <w:noProof/>
        </w:rPr>
        <w:t>16</w:t>
      </w:r>
      <w:r w:rsidR="00BE3D19" w:rsidRPr="00A126E3">
        <w:fldChar w:fldCharType="end"/>
      </w:r>
      <w:r w:rsidR="006244F5">
        <w:rPr>
          <w:lang w:val="en-AU" w:eastAsia="en-US"/>
        </w:rPr>
        <w:t xml:space="preserve"> </w:t>
      </w:r>
      <w:r w:rsidRPr="00542036">
        <w:rPr>
          <w:lang w:val="en-AU" w:eastAsia="en-US"/>
        </w:rPr>
        <w:t xml:space="preserve"> </w:t>
      </w:r>
      <w:r w:rsidR="005A0C62">
        <w:rPr>
          <w:lang w:val="en-AU" w:eastAsia="en-US"/>
        </w:rPr>
        <w:t>C</w:t>
      </w:r>
      <w:r w:rsidRPr="00542036">
        <w:rPr>
          <w:lang w:val="en-AU" w:eastAsia="en-US"/>
        </w:rPr>
        <w:t xml:space="preserve">hanges in </w:t>
      </w:r>
      <w:r>
        <w:rPr>
          <w:lang w:val="en-AU" w:eastAsia="en-US"/>
        </w:rPr>
        <w:t>median</w:t>
      </w:r>
      <w:r w:rsidRPr="00542036">
        <w:rPr>
          <w:lang w:val="en-AU" w:eastAsia="en-US"/>
        </w:rPr>
        <w:t xml:space="preserve"> score on each WHO</w:t>
      </w:r>
      <w:r w:rsidR="00EE7A8F">
        <w:rPr>
          <w:lang w:val="en-AU" w:eastAsia="en-US"/>
        </w:rPr>
        <w:t>QOL</w:t>
      </w:r>
      <w:r w:rsidRPr="00542036">
        <w:rPr>
          <w:lang w:val="en-AU" w:eastAsia="en-US"/>
        </w:rPr>
        <w:t xml:space="preserve"> domain between baseline and follow-up for each PIT type</w:t>
      </w:r>
      <w:bookmarkEnd w:id="12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Table 3.16  Changes in median score on each WHOQOL domain between baseline and follow-up for each PIT type"/>
        <w:tblDescription w:val="Table 3.16  Changes in median score on each WHOQOL domain between baseline and follow-up for each PIT type"/>
      </w:tblPr>
      <w:tblGrid>
        <w:gridCol w:w="2802"/>
        <w:gridCol w:w="2126"/>
        <w:gridCol w:w="1417"/>
        <w:gridCol w:w="1418"/>
        <w:gridCol w:w="1192"/>
      </w:tblGrid>
      <w:tr w:rsidR="00072449" w:rsidRPr="00415291" w:rsidTr="00046CCA">
        <w:trPr>
          <w:trHeight w:hRule="exact" w:val="567"/>
          <w:tblHeader/>
        </w:trPr>
        <w:tc>
          <w:tcPr>
            <w:tcW w:w="2802" w:type="dxa"/>
            <w:tcBorders>
              <w:top w:val="single" w:sz="4" w:space="0" w:color="auto"/>
              <w:bottom w:val="single" w:sz="4" w:space="0" w:color="auto"/>
            </w:tcBorders>
            <w:hideMark/>
          </w:tcPr>
          <w:p w:rsidR="00072449" w:rsidRPr="00542036" w:rsidRDefault="00072449" w:rsidP="00B11DEE">
            <w:pPr>
              <w:spacing w:line="240" w:lineRule="auto"/>
              <w:rPr>
                <w:rFonts w:asciiTheme="minorHAnsi" w:hAnsiTheme="minorHAnsi"/>
                <w:b/>
                <w:sz w:val="22"/>
                <w:szCs w:val="22"/>
                <w:lang w:val="en-US"/>
              </w:rPr>
            </w:pPr>
            <w:r w:rsidRPr="00542036">
              <w:rPr>
                <w:rFonts w:asciiTheme="minorHAnsi" w:hAnsiTheme="minorHAnsi"/>
                <w:b/>
                <w:sz w:val="22"/>
                <w:szCs w:val="22"/>
              </w:rPr>
              <w:t>PIT-type</w:t>
            </w:r>
          </w:p>
        </w:tc>
        <w:tc>
          <w:tcPr>
            <w:tcW w:w="2126" w:type="dxa"/>
            <w:tcBorders>
              <w:top w:val="single" w:sz="4" w:space="0" w:color="auto"/>
              <w:bottom w:val="single" w:sz="4" w:space="0" w:color="auto"/>
            </w:tcBorders>
            <w:hideMark/>
          </w:tcPr>
          <w:p w:rsidR="00072449" w:rsidRPr="00542036" w:rsidRDefault="00072449" w:rsidP="00B11DEE">
            <w:pPr>
              <w:spacing w:line="240" w:lineRule="auto"/>
              <w:rPr>
                <w:rFonts w:asciiTheme="minorHAnsi" w:hAnsiTheme="minorHAnsi"/>
                <w:b/>
                <w:sz w:val="22"/>
                <w:szCs w:val="22"/>
                <w:lang w:val="en-US"/>
              </w:rPr>
            </w:pPr>
            <w:r w:rsidRPr="00542036">
              <w:rPr>
                <w:rFonts w:asciiTheme="minorHAnsi" w:hAnsiTheme="minorHAnsi"/>
                <w:b/>
                <w:sz w:val="22"/>
                <w:szCs w:val="22"/>
              </w:rPr>
              <w:t xml:space="preserve">WHO </w:t>
            </w:r>
            <w:r w:rsidR="00EE7A8F">
              <w:rPr>
                <w:rFonts w:asciiTheme="minorHAnsi" w:hAnsiTheme="minorHAnsi"/>
                <w:b/>
                <w:sz w:val="22"/>
                <w:szCs w:val="22"/>
              </w:rPr>
              <w:t>QOL</w:t>
            </w:r>
            <w:r w:rsidRPr="00542036">
              <w:rPr>
                <w:rFonts w:asciiTheme="minorHAnsi" w:hAnsiTheme="minorHAnsi"/>
                <w:b/>
                <w:sz w:val="22"/>
                <w:szCs w:val="22"/>
              </w:rPr>
              <w:t xml:space="preserve"> Domain  </w:t>
            </w:r>
          </w:p>
        </w:tc>
        <w:tc>
          <w:tcPr>
            <w:tcW w:w="1417" w:type="dxa"/>
            <w:tcBorders>
              <w:top w:val="single" w:sz="4" w:space="0" w:color="auto"/>
              <w:bottom w:val="single" w:sz="4" w:space="0" w:color="auto"/>
            </w:tcBorders>
            <w:vAlign w:val="center"/>
            <w:hideMark/>
          </w:tcPr>
          <w:p w:rsidR="00072449" w:rsidRPr="00542036" w:rsidRDefault="00072449" w:rsidP="00B11DEE">
            <w:pPr>
              <w:spacing w:line="240" w:lineRule="auto"/>
              <w:jc w:val="center"/>
              <w:rPr>
                <w:rFonts w:asciiTheme="minorHAnsi" w:hAnsiTheme="minorHAnsi"/>
                <w:b/>
                <w:sz w:val="22"/>
                <w:szCs w:val="22"/>
                <w:lang w:val="en-US"/>
              </w:rPr>
            </w:pPr>
            <w:r w:rsidRPr="00542036">
              <w:rPr>
                <w:rFonts w:asciiTheme="minorHAnsi" w:hAnsiTheme="minorHAnsi"/>
                <w:b/>
                <w:sz w:val="22"/>
                <w:szCs w:val="22"/>
              </w:rPr>
              <w:t>Baseline me</w:t>
            </w:r>
            <w:r>
              <w:rPr>
                <w:rFonts w:asciiTheme="minorHAnsi" w:hAnsiTheme="minorHAnsi"/>
                <w:b/>
                <w:sz w:val="22"/>
                <w:szCs w:val="22"/>
              </w:rPr>
              <w:t>di</w:t>
            </w:r>
            <w:r w:rsidRPr="00542036">
              <w:rPr>
                <w:rFonts w:asciiTheme="minorHAnsi" w:hAnsiTheme="minorHAnsi"/>
                <w:b/>
                <w:sz w:val="22"/>
                <w:szCs w:val="22"/>
              </w:rPr>
              <w:t>an</w:t>
            </w:r>
          </w:p>
        </w:tc>
        <w:tc>
          <w:tcPr>
            <w:tcW w:w="1418" w:type="dxa"/>
            <w:tcBorders>
              <w:top w:val="single" w:sz="4" w:space="0" w:color="auto"/>
              <w:bottom w:val="single" w:sz="4" w:space="0" w:color="auto"/>
            </w:tcBorders>
            <w:vAlign w:val="center"/>
            <w:hideMark/>
          </w:tcPr>
          <w:p w:rsidR="00072449" w:rsidRPr="00542036" w:rsidRDefault="00072449" w:rsidP="00B11DEE">
            <w:pPr>
              <w:spacing w:line="240" w:lineRule="auto"/>
              <w:jc w:val="center"/>
              <w:rPr>
                <w:rFonts w:asciiTheme="minorHAnsi" w:hAnsiTheme="minorHAnsi"/>
                <w:b/>
                <w:sz w:val="22"/>
                <w:szCs w:val="22"/>
                <w:lang w:val="en-US"/>
              </w:rPr>
            </w:pPr>
            <w:r w:rsidRPr="00542036">
              <w:rPr>
                <w:rFonts w:asciiTheme="minorHAnsi" w:hAnsiTheme="minorHAnsi"/>
                <w:b/>
                <w:sz w:val="22"/>
                <w:szCs w:val="22"/>
              </w:rPr>
              <w:t>Follow-up me</w:t>
            </w:r>
            <w:r>
              <w:rPr>
                <w:rFonts w:asciiTheme="minorHAnsi" w:hAnsiTheme="minorHAnsi"/>
                <w:b/>
                <w:sz w:val="22"/>
                <w:szCs w:val="22"/>
              </w:rPr>
              <w:t>di</w:t>
            </w:r>
            <w:r w:rsidRPr="00542036">
              <w:rPr>
                <w:rFonts w:asciiTheme="minorHAnsi" w:hAnsiTheme="minorHAnsi"/>
                <w:b/>
                <w:sz w:val="22"/>
                <w:szCs w:val="22"/>
              </w:rPr>
              <w:t>an</w:t>
            </w:r>
          </w:p>
        </w:tc>
        <w:tc>
          <w:tcPr>
            <w:tcW w:w="1192" w:type="dxa"/>
            <w:tcBorders>
              <w:top w:val="single" w:sz="4" w:space="0" w:color="auto"/>
              <w:bottom w:val="single" w:sz="4" w:space="0" w:color="auto"/>
            </w:tcBorders>
            <w:vAlign w:val="center"/>
          </w:tcPr>
          <w:p w:rsidR="00072449" w:rsidRPr="00542036" w:rsidRDefault="00072449" w:rsidP="00B11DEE">
            <w:pPr>
              <w:spacing w:line="240" w:lineRule="auto"/>
              <w:jc w:val="center"/>
              <w:rPr>
                <w:rFonts w:asciiTheme="minorHAnsi" w:hAnsiTheme="minorHAnsi"/>
                <w:b/>
                <w:sz w:val="22"/>
                <w:szCs w:val="22"/>
              </w:rPr>
            </w:pPr>
            <w:r w:rsidRPr="00542036">
              <w:rPr>
                <w:rFonts w:asciiTheme="minorHAnsi" w:hAnsiTheme="minorHAnsi"/>
                <w:b/>
                <w:sz w:val="22"/>
                <w:szCs w:val="22"/>
              </w:rPr>
              <w:t>p</w:t>
            </w:r>
          </w:p>
        </w:tc>
      </w:tr>
      <w:tr w:rsidR="00072449" w:rsidRPr="00415291" w:rsidTr="00B11DEE">
        <w:trPr>
          <w:trHeight w:hRule="exact" w:val="340"/>
        </w:trPr>
        <w:tc>
          <w:tcPr>
            <w:tcW w:w="2802" w:type="dxa"/>
            <w:tcBorders>
              <w:top w:val="single" w:sz="4" w:space="0" w:color="auto"/>
            </w:tcBorders>
            <w:vAlign w:val="center"/>
            <w:hideMark/>
          </w:tcPr>
          <w:p w:rsidR="00072449" w:rsidRPr="00542036" w:rsidRDefault="00072449" w:rsidP="00072449">
            <w:pPr>
              <w:spacing w:line="240" w:lineRule="auto"/>
              <w:rPr>
                <w:rFonts w:asciiTheme="minorHAnsi" w:hAnsiTheme="minorHAnsi"/>
                <w:b/>
                <w:sz w:val="22"/>
                <w:szCs w:val="22"/>
                <w:lang w:val="en-US"/>
              </w:rPr>
            </w:pPr>
            <w:r w:rsidRPr="00542036">
              <w:rPr>
                <w:rFonts w:asciiTheme="minorHAnsi" w:hAnsiTheme="minorHAnsi"/>
                <w:b/>
                <w:sz w:val="22"/>
                <w:szCs w:val="22"/>
              </w:rPr>
              <w:t>Outpatient</w:t>
            </w:r>
          </w:p>
        </w:tc>
        <w:tc>
          <w:tcPr>
            <w:tcW w:w="2126" w:type="dxa"/>
            <w:tcBorders>
              <w:top w:val="single" w:sz="4" w:space="0" w:color="auto"/>
            </w:tcBorders>
            <w:vAlign w:val="center"/>
            <w:hideMark/>
          </w:tcPr>
          <w:p w:rsidR="00072449" w:rsidRPr="00542036" w:rsidRDefault="00072449" w:rsidP="00072449">
            <w:pPr>
              <w:spacing w:line="240" w:lineRule="auto"/>
              <w:rPr>
                <w:rFonts w:asciiTheme="minorHAnsi" w:hAnsiTheme="minorHAnsi"/>
                <w:sz w:val="22"/>
                <w:szCs w:val="22"/>
                <w:lang w:val="en-US"/>
              </w:rPr>
            </w:pPr>
            <w:r w:rsidRPr="00542036">
              <w:rPr>
                <w:rFonts w:asciiTheme="minorHAnsi" w:hAnsiTheme="minorHAnsi"/>
                <w:sz w:val="22"/>
                <w:szCs w:val="22"/>
              </w:rPr>
              <w:t>Physical</w:t>
            </w:r>
          </w:p>
        </w:tc>
        <w:tc>
          <w:tcPr>
            <w:tcW w:w="1417" w:type="dxa"/>
            <w:tcBorders>
              <w:top w:val="single" w:sz="4" w:space="0" w:color="auto"/>
            </w:tcBorders>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rPr>
              <w:t>50.</w:t>
            </w:r>
            <w:r>
              <w:rPr>
                <w:rFonts w:asciiTheme="minorHAnsi" w:hAnsiTheme="minorHAnsi"/>
                <w:sz w:val="22"/>
                <w:szCs w:val="22"/>
              </w:rPr>
              <w:t>0</w:t>
            </w:r>
          </w:p>
        </w:tc>
        <w:tc>
          <w:tcPr>
            <w:tcW w:w="1418" w:type="dxa"/>
            <w:tcBorders>
              <w:top w:val="single" w:sz="4" w:space="0" w:color="auto"/>
            </w:tcBorders>
            <w:vAlign w:val="center"/>
            <w:hideMark/>
          </w:tcPr>
          <w:p w:rsidR="00072449" w:rsidRPr="00542036" w:rsidRDefault="00072449" w:rsidP="00072449">
            <w:pPr>
              <w:spacing w:line="240" w:lineRule="auto"/>
              <w:jc w:val="center"/>
              <w:rPr>
                <w:rFonts w:asciiTheme="minorHAnsi" w:hAnsiTheme="minorHAnsi"/>
                <w:sz w:val="22"/>
                <w:szCs w:val="22"/>
                <w:lang w:val="en-US"/>
              </w:rPr>
            </w:pPr>
            <w:r>
              <w:rPr>
                <w:rFonts w:asciiTheme="minorHAnsi" w:hAnsiTheme="minorHAnsi"/>
                <w:sz w:val="22"/>
                <w:szCs w:val="22"/>
              </w:rPr>
              <w:t>60.7</w:t>
            </w:r>
          </w:p>
        </w:tc>
        <w:tc>
          <w:tcPr>
            <w:tcW w:w="1192" w:type="dxa"/>
            <w:tcBorders>
              <w:top w:val="single" w:sz="4" w:space="0" w:color="auto"/>
            </w:tcBorders>
            <w:vAlign w:val="center"/>
          </w:tcPr>
          <w:p w:rsidR="00072449" w:rsidRPr="00542036" w:rsidRDefault="00072449" w:rsidP="00062E4B">
            <w:pPr>
              <w:spacing w:line="240" w:lineRule="auto"/>
              <w:jc w:val="center"/>
              <w:rPr>
                <w:rFonts w:asciiTheme="minorHAnsi" w:hAnsiTheme="minorHAnsi"/>
                <w:sz w:val="22"/>
                <w:szCs w:val="22"/>
              </w:rPr>
            </w:pPr>
            <w:r w:rsidRPr="00542036">
              <w:rPr>
                <w:rFonts w:asciiTheme="minorHAnsi" w:hAnsiTheme="minorHAnsi"/>
                <w:sz w:val="22"/>
                <w:szCs w:val="22"/>
              </w:rPr>
              <w:t>&lt; .001</w:t>
            </w:r>
          </w:p>
        </w:tc>
      </w:tr>
      <w:tr w:rsidR="00072449" w:rsidRPr="00415291" w:rsidTr="00B11DEE">
        <w:trPr>
          <w:trHeight w:hRule="exact" w:val="340"/>
        </w:trPr>
        <w:tc>
          <w:tcPr>
            <w:tcW w:w="2802" w:type="dxa"/>
            <w:vAlign w:val="center"/>
          </w:tcPr>
          <w:p w:rsidR="00072449" w:rsidRPr="00542036" w:rsidRDefault="00072449" w:rsidP="00072449">
            <w:pPr>
              <w:spacing w:line="240" w:lineRule="auto"/>
              <w:rPr>
                <w:rFonts w:asciiTheme="minorHAnsi" w:hAnsiTheme="minorHAnsi"/>
                <w:b/>
                <w:sz w:val="22"/>
                <w:szCs w:val="22"/>
                <w:lang w:val="en-US"/>
              </w:rPr>
            </w:pPr>
          </w:p>
        </w:tc>
        <w:tc>
          <w:tcPr>
            <w:tcW w:w="2126" w:type="dxa"/>
            <w:vAlign w:val="center"/>
            <w:hideMark/>
          </w:tcPr>
          <w:p w:rsidR="00072449" w:rsidRPr="00542036" w:rsidRDefault="00072449" w:rsidP="00072449">
            <w:pPr>
              <w:spacing w:line="240" w:lineRule="auto"/>
              <w:rPr>
                <w:rFonts w:asciiTheme="minorHAnsi" w:hAnsiTheme="minorHAnsi"/>
                <w:sz w:val="22"/>
                <w:szCs w:val="22"/>
                <w:lang w:val="en-US"/>
              </w:rPr>
            </w:pPr>
            <w:r w:rsidRPr="00542036">
              <w:rPr>
                <w:rFonts w:asciiTheme="minorHAnsi" w:hAnsiTheme="minorHAnsi"/>
                <w:sz w:val="22"/>
                <w:szCs w:val="22"/>
              </w:rPr>
              <w:t>Psychological</w:t>
            </w:r>
          </w:p>
        </w:tc>
        <w:tc>
          <w:tcPr>
            <w:tcW w:w="1417" w:type="dxa"/>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rPr>
              <w:t>4</w:t>
            </w:r>
            <w:r>
              <w:rPr>
                <w:rFonts w:asciiTheme="minorHAnsi" w:hAnsiTheme="minorHAnsi"/>
                <w:sz w:val="22"/>
                <w:szCs w:val="22"/>
              </w:rPr>
              <w:t>1.7</w:t>
            </w:r>
          </w:p>
        </w:tc>
        <w:tc>
          <w:tcPr>
            <w:tcW w:w="1418" w:type="dxa"/>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rPr>
              <w:t>5</w:t>
            </w:r>
            <w:r>
              <w:rPr>
                <w:rFonts w:asciiTheme="minorHAnsi" w:hAnsiTheme="minorHAnsi"/>
                <w:sz w:val="22"/>
                <w:szCs w:val="22"/>
              </w:rPr>
              <w:t>4</w:t>
            </w:r>
            <w:r w:rsidRPr="00542036">
              <w:rPr>
                <w:rFonts w:asciiTheme="minorHAnsi" w:hAnsiTheme="minorHAnsi"/>
                <w:sz w:val="22"/>
                <w:szCs w:val="22"/>
              </w:rPr>
              <w:t>.</w:t>
            </w:r>
            <w:r>
              <w:rPr>
                <w:rFonts w:asciiTheme="minorHAnsi" w:hAnsiTheme="minorHAnsi"/>
                <w:sz w:val="22"/>
                <w:szCs w:val="22"/>
              </w:rPr>
              <w:t>2</w:t>
            </w:r>
          </w:p>
        </w:tc>
        <w:tc>
          <w:tcPr>
            <w:tcW w:w="1192" w:type="dxa"/>
            <w:vAlign w:val="center"/>
          </w:tcPr>
          <w:p w:rsidR="00072449" w:rsidRPr="00542036" w:rsidRDefault="00072449" w:rsidP="00062E4B">
            <w:pPr>
              <w:spacing w:line="240" w:lineRule="auto"/>
              <w:jc w:val="center"/>
              <w:rPr>
                <w:rFonts w:asciiTheme="minorHAnsi" w:hAnsiTheme="minorHAnsi"/>
                <w:sz w:val="22"/>
                <w:szCs w:val="22"/>
              </w:rPr>
            </w:pPr>
            <w:r w:rsidRPr="00542036">
              <w:rPr>
                <w:rFonts w:asciiTheme="minorHAnsi" w:hAnsiTheme="minorHAnsi"/>
                <w:sz w:val="22"/>
                <w:szCs w:val="22"/>
              </w:rPr>
              <w:t>&lt; .001</w:t>
            </w:r>
          </w:p>
        </w:tc>
      </w:tr>
      <w:tr w:rsidR="00072449" w:rsidRPr="00415291" w:rsidTr="00B11DEE">
        <w:trPr>
          <w:trHeight w:hRule="exact" w:val="340"/>
        </w:trPr>
        <w:tc>
          <w:tcPr>
            <w:tcW w:w="2802" w:type="dxa"/>
            <w:vAlign w:val="center"/>
          </w:tcPr>
          <w:p w:rsidR="00072449" w:rsidRPr="00542036" w:rsidRDefault="00072449" w:rsidP="00072449">
            <w:pPr>
              <w:spacing w:line="240" w:lineRule="auto"/>
              <w:rPr>
                <w:rFonts w:asciiTheme="minorHAnsi" w:hAnsiTheme="minorHAnsi"/>
                <w:b/>
                <w:sz w:val="22"/>
                <w:szCs w:val="22"/>
                <w:lang w:val="en-US"/>
              </w:rPr>
            </w:pPr>
          </w:p>
        </w:tc>
        <w:tc>
          <w:tcPr>
            <w:tcW w:w="2126" w:type="dxa"/>
            <w:vAlign w:val="center"/>
            <w:hideMark/>
          </w:tcPr>
          <w:p w:rsidR="00072449" w:rsidRPr="00542036" w:rsidRDefault="00072449" w:rsidP="00072449">
            <w:pPr>
              <w:spacing w:line="240" w:lineRule="auto"/>
              <w:rPr>
                <w:rFonts w:asciiTheme="minorHAnsi" w:hAnsiTheme="minorHAnsi"/>
                <w:sz w:val="22"/>
                <w:szCs w:val="22"/>
                <w:lang w:val="en-US"/>
              </w:rPr>
            </w:pPr>
            <w:r w:rsidRPr="00542036">
              <w:rPr>
                <w:rFonts w:asciiTheme="minorHAnsi" w:hAnsiTheme="minorHAnsi"/>
                <w:sz w:val="22"/>
                <w:szCs w:val="22"/>
              </w:rPr>
              <w:t>Social</w:t>
            </w:r>
          </w:p>
        </w:tc>
        <w:tc>
          <w:tcPr>
            <w:tcW w:w="1417" w:type="dxa"/>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rPr>
              <w:t>4</w:t>
            </w:r>
            <w:r>
              <w:rPr>
                <w:rFonts w:asciiTheme="minorHAnsi" w:hAnsiTheme="minorHAnsi"/>
                <w:sz w:val="22"/>
                <w:szCs w:val="22"/>
              </w:rPr>
              <w:t>1.7</w:t>
            </w:r>
          </w:p>
        </w:tc>
        <w:tc>
          <w:tcPr>
            <w:tcW w:w="1418" w:type="dxa"/>
            <w:vAlign w:val="center"/>
            <w:hideMark/>
          </w:tcPr>
          <w:p w:rsidR="00072449" w:rsidRPr="00542036" w:rsidRDefault="00072449" w:rsidP="00072449">
            <w:pPr>
              <w:spacing w:line="240" w:lineRule="auto"/>
              <w:jc w:val="center"/>
              <w:rPr>
                <w:rFonts w:asciiTheme="minorHAnsi" w:hAnsiTheme="minorHAnsi"/>
                <w:sz w:val="22"/>
                <w:szCs w:val="22"/>
                <w:lang w:val="en-US"/>
              </w:rPr>
            </w:pPr>
            <w:r>
              <w:rPr>
                <w:rFonts w:asciiTheme="minorHAnsi" w:hAnsiTheme="minorHAnsi"/>
                <w:sz w:val="22"/>
                <w:szCs w:val="22"/>
              </w:rPr>
              <w:t>58.3</w:t>
            </w:r>
          </w:p>
        </w:tc>
        <w:tc>
          <w:tcPr>
            <w:tcW w:w="1192" w:type="dxa"/>
            <w:vAlign w:val="center"/>
          </w:tcPr>
          <w:p w:rsidR="00072449" w:rsidRPr="00542036" w:rsidRDefault="00072449" w:rsidP="00062E4B">
            <w:pPr>
              <w:spacing w:line="240" w:lineRule="auto"/>
              <w:jc w:val="center"/>
              <w:rPr>
                <w:rFonts w:asciiTheme="minorHAnsi" w:hAnsiTheme="minorHAnsi"/>
                <w:sz w:val="22"/>
                <w:szCs w:val="22"/>
              </w:rPr>
            </w:pPr>
            <w:r w:rsidRPr="00542036">
              <w:rPr>
                <w:rFonts w:asciiTheme="minorHAnsi" w:hAnsiTheme="minorHAnsi"/>
                <w:sz w:val="22"/>
                <w:szCs w:val="22"/>
              </w:rPr>
              <w:t>&lt; .001</w:t>
            </w:r>
          </w:p>
        </w:tc>
      </w:tr>
      <w:tr w:rsidR="00072449" w:rsidRPr="00415291" w:rsidTr="00B11DEE">
        <w:trPr>
          <w:trHeight w:hRule="exact" w:val="340"/>
        </w:trPr>
        <w:tc>
          <w:tcPr>
            <w:tcW w:w="2802" w:type="dxa"/>
            <w:tcBorders>
              <w:bottom w:val="single" w:sz="4" w:space="0" w:color="auto"/>
            </w:tcBorders>
            <w:vAlign w:val="center"/>
          </w:tcPr>
          <w:p w:rsidR="00072449" w:rsidRPr="00542036" w:rsidRDefault="00072449" w:rsidP="00072449">
            <w:pPr>
              <w:spacing w:line="240" w:lineRule="auto"/>
              <w:rPr>
                <w:rFonts w:asciiTheme="minorHAnsi" w:hAnsiTheme="minorHAnsi"/>
                <w:b/>
                <w:sz w:val="22"/>
                <w:szCs w:val="22"/>
                <w:lang w:val="en-US"/>
              </w:rPr>
            </w:pPr>
          </w:p>
        </w:tc>
        <w:tc>
          <w:tcPr>
            <w:tcW w:w="2126" w:type="dxa"/>
            <w:tcBorders>
              <w:bottom w:val="single" w:sz="4" w:space="0" w:color="auto"/>
            </w:tcBorders>
            <w:vAlign w:val="center"/>
            <w:hideMark/>
          </w:tcPr>
          <w:p w:rsidR="00072449" w:rsidRPr="00542036" w:rsidRDefault="00072449" w:rsidP="00072449">
            <w:pPr>
              <w:spacing w:line="240" w:lineRule="auto"/>
              <w:rPr>
                <w:rFonts w:asciiTheme="minorHAnsi" w:hAnsiTheme="minorHAnsi"/>
                <w:sz w:val="22"/>
                <w:szCs w:val="22"/>
                <w:lang w:val="en-US"/>
              </w:rPr>
            </w:pPr>
            <w:r w:rsidRPr="00542036">
              <w:rPr>
                <w:rFonts w:asciiTheme="minorHAnsi" w:hAnsiTheme="minorHAnsi"/>
                <w:sz w:val="22"/>
                <w:szCs w:val="22"/>
              </w:rPr>
              <w:t>Environmental</w:t>
            </w:r>
          </w:p>
        </w:tc>
        <w:tc>
          <w:tcPr>
            <w:tcW w:w="1417" w:type="dxa"/>
            <w:tcBorders>
              <w:bottom w:val="single" w:sz="4" w:space="0" w:color="auto"/>
            </w:tcBorders>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rPr>
              <w:t>5</w:t>
            </w:r>
            <w:r>
              <w:rPr>
                <w:rFonts w:asciiTheme="minorHAnsi" w:hAnsiTheme="minorHAnsi"/>
                <w:sz w:val="22"/>
                <w:szCs w:val="22"/>
              </w:rPr>
              <w:t>9.4</w:t>
            </w:r>
          </w:p>
        </w:tc>
        <w:tc>
          <w:tcPr>
            <w:tcW w:w="1418" w:type="dxa"/>
            <w:tcBorders>
              <w:bottom w:val="single" w:sz="4" w:space="0" w:color="auto"/>
            </w:tcBorders>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rPr>
              <w:t>6</w:t>
            </w:r>
            <w:r>
              <w:rPr>
                <w:rFonts w:asciiTheme="minorHAnsi" w:hAnsiTheme="minorHAnsi"/>
                <w:sz w:val="22"/>
                <w:szCs w:val="22"/>
              </w:rPr>
              <w:t>8.8</w:t>
            </w:r>
          </w:p>
        </w:tc>
        <w:tc>
          <w:tcPr>
            <w:tcW w:w="1192" w:type="dxa"/>
            <w:tcBorders>
              <w:bottom w:val="single" w:sz="4" w:space="0" w:color="auto"/>
            </w:tcBorders>
            <w:vAlign w:val="center"/>
          </w:tcPr>
          <w:p w:rsidR="00072449" w:rsidRPr="00542036" w:rsidRDefault="00072449" w:rsidP="00062E4B">
            <w:pPr>
              <w:spacing w:line="240" w:lineRule="auto"/>
              <w:jc w:val="center"/>
              <w:rPr>
                <w:rFonts w:asciiTheme="minorHAnsi" w:hAnsiTheme="minorHAnsi"/>
                <w:sz w:val="22"/>
                <w:szCs w:val="22"/>
              </w:rPr>
            </w:pPr>
            <w:r w:rsidRPr="00542036">
              <w:rPr>
                <w:rFonts w:asciiTheme="minorHAnsi" w:hAnsiTheme="minorHAnsi"/>
                <w:sz w:val="22"/>
                <w:szCs w:val="22"/>
              </w:rPr>
              <w:t>&lt; .001</w:t>
            </w:r>
          </w:p>
        </w:tc>
      </w:tr>
      <w:tr w:rsidR="00072449" w:rsidRPr="00415291" w:rsidTr="00B11DEE">
        <w:trPr>
          <w:trHeight w:hRule="exact" w:val="340"/>
        </w:trPr>
        <w:tc>
          <w:tcPr>
            <w:tcW w:w="2802" w:type="dxa"/>
            <w:tcBorders>
              <w:top w:val="single" w:sz="4" w:space="0" w:color="auto"/>
            </w:tcBorders>
            <w:vAlign w:val="center"/>
            <w:hideMark/>
          </w:tcPr>
          <w:p w:rsidR="00072449" w:rsidRPr="00542036" w:rsidRDefault="00072449" w:rsidP="00062E4B">
            <w:pPr>
              <w:spacing w:after="0" w:line="240" w:lineRule="auto"/>
              <w:rPr>
                <w:rFonts w:asciiTheme="minorHAnsi" w:hAnsiTheme="minorHAnsi"/>
                <w:b/>
                <w:sz w:val="22"/>
                <w:szCs w:val="22"/>
                <w:lang w:val="en-US"/>
              </w:rPr>
            </w:pPr>
            <w:r>
              <w:rPr>
                <w:rFonts w:asciiTheme="minorHAnsi" w:hAnsiTheme="minorHAnsi"/>
                <w:b/>
                <w:sz w:val="22"/>
                <w:szCs w:val="22"/>
              </w:rPr>
              <w:t>Acute withdrawal</w:t>
            </w:r>
          </w:p>
        </w:tc>
        <w:tc>
          <w:tcPr>
            <w:tcW w:w="2126" w:type="dxa"/>
            <w:tcBorders>
              <w:top w:val="single" w:sz="4" w:space="0" w:color="auto"/>
            </w:tcBorders>
            <w:vAlign w:val="center"/>
            <w:hideMark/>
          </w:tcPr>
          <w:p w:rsidR="00072449" w:rsidRPr="00542036" w:rsidRDefault="00072449" w:rsidP="00072449">
            <w:pPr>
              <w:spacing w:after="0" w:line="240" w:lineRule="auto"/>
              <w:rPr>
                <w:rFonts w:asciiTheme="minorHAnsi" w:hAnsiTheme="minorHAnsi"/>
                <w:sz w:val="22"/>
                <w:szCs w:val="22"/>
                <w:lang w:val="en-US" w:eastAsia="en-US"/>
              </w:rPr>
            </w:pPr>
            <w:r w:rsidRPr="00542036">
              <w:rPr>
                <w:rFonts w:asciiTheme="minorHAnsi" w:hAnsiTheme="minorHAnsi"/>
                <w:sz w:val="22"/>
                <w:szCs w:val="22"/>
              </w:rPr>
              <w:t>Physical</w:t>
            </w:r>
          </w:p>
        </w:tc>
        <w:tc>
          <w:tcPr>
            <w:tcW w:w="1417" w:type="dxa"/>
            <w:tcBorders>
              <w:top w:val="single" w:sz="4" w:space="0" w:color="auto"/>
            </w:tcBorders>
            <w:vAlign w:val="center"/>
            <w:hideMark/>
          </w:tcPr>
          <w:p w:rsidR="00072449" w:rsidRPr="00542036" w:rsidRDefault="00072449" w:rsidP="00072449">
            <w:pPr>
              <w:spacing w:after="0" w:line="240" w:lineRule="auto"/>
              <w:jc w:val="center"/>
              <w:rPr>
                <w:rFonts w:asciiTheme="minorHAnsi" w:hAnsiTheme="minorHAnsi"/>
                <w:sz w:val="22"/>
                <w:szCs w:val="22"/>
                <w:lang w:val="en-US" w:eastAsia="en-US"/>
              </w:rPr>
            </w:pPr>
            <w:r w:rsidRPr="00542036">
              <w:rPr>
                <w:rFonts w:asciiTheme="minorHAnsi" w:hAnsiTheme="minorHAnsi"/>
                <w:sz w:val="22"/>
                <w:szCs w:val="22"/>
              </w:rPr>
              <w:t>46.4</w:t>
            </w:r>
          </w:p>
        </w:tc>
        <w:tc>
          <w:tcPr>
            <w:tcW w:w="1418" w:type="dxa"/>
            <w:tcBorders>
              <w:top w:val="single" w:sz="4" w:space="0" w:color="auto"/>
            </w:tcBorders>
            <w:vAlign w:val="center"/>
            <w:hideMark/>
          </w:tcPr>
          <w:p w:rsidR="00072449" w:rsidRPr="00542036" w:rsidRDefault="00072449" w:rsidP="00072449">
            <w:pPr>
              <w:spacing w:after="0" w:line="240" w:lineRule="auto"/>
              <w:jc w:val="center"/>
              <w:rPr>
                <w:rFonts w:asciiTheme="minorHAnsi" w:hAnsiTheme="minorHAnsi"/>
                <w:sz w:val="22"/>
                <w:szCs w:val="22"/>
                <w:lang w:val="en-US" w:eastAsia="en-US"/>
              </w:rPr>
            </w:pPr>
            <w:r>
              <w:rPr>
                <w:rFonts w:asciiTheme="minorHAnsi" w:hAnsiTheme="minorHAnsi"/>
                <w:sz w:val="22"/>
                <w:szCs w:val="22"/>
              </w:rPr>
              <w:t>57.1</w:t>
            </w:r>
          </w:p>
        </w:tc>
        <w:tc>
          <w:tcPr>
            <w:tcW w:w="1192" w:type="dxa"/>
            <w:tcBorders>
              <w:top w:val="single" w:sz="4" w:space="0" w:color="auto"/>
            </w:tcBorders>
            <w:vAlign w:val="center"/>
          </w:tcPr>
          <w:p w:rsidR="00072449" w:rsidRPr="00542036" w:rsidRDefault="00072449" w:rsidP="00062E4B">
            <w:pPr>
              <w:spacing w:after="0" w:line="240" w:lineRule="auto"/>
              <w:jc w:val="center"/>
              <w:rPr>
                <w:rFonts w:asciiTheme="minorHAnsi" w:hAnsiTheme="minorHAnsi"/>
                <w:sz w:val="22"/>
                <w:szCs w:val="22"/>
                <w:lang w:eastAsia="en-US"/>
              </w:rPr>
            </w:pPr>
            <w:r w:rsidRPr="00542036">
              <w:rPr>
                <w:rFonts w:asciiTheme="minorHAnsi" w:hAnsiTheme="minorHAnsi"/>
                <w:sz w:val="22"/>
                <w:szCs w:val="22"/>
              </w:rPr>
              <w:t>&lt; .001</w:t>
            </w:r>
          </w:p>
        </w:tc>
      </w:tr>
      <w:tr w:rsidR="00072449" w:rsidRPr="00415291" w:rsidTr="00B11DEE">
        <w:trPr>
          <w:trHeight w:hRule="exact" w:val="340"/>
        </w:trPr>
        <w:tc>
          <w:tcPr>
            <w:tcW w:w="2802" w:type="dxa"/>
            <w:vAlign w:val="center"/>
          </w:tcPr>
          <w:p w:rsidR="00072449" w:rsidRPr="00542036" w:rsidRDefault="00072449" w:rsidP="00072449">
            <w:pPr>
              <w:spacing w:line="240" w:lineRule="auto"/>
              <w:rPr>
                <w:rFonts w:asciiTheme="minorHAnsi" w:hAnsiTheme="minorHAnsi"/>
                <w:b/>
                <w:sz w:val="22"/>
                <w:szCs w:val="22"/>
                <w:lang w:val="en-US"/>
              </w:rPr>
            </w:pPr>
          </w:p>
        </w:tc>
        <w:tc>
          <w:tcPr>
            <w:tcW w:w="2126" w:type="dxa"/>
            <w:vAlign w:val="center"/>
            <w:hideMark/>
          </w:tcPr>
          <w:p w:rsidR="00072449" w:rsidRPr="00542036" w:rsidRDefault="00072449" w:rsidP="00072449">
            <w:pPr>
              <w:spacing w:line="240" w:lineRule="auto"/>
              <w:rPr>
                <w:rFonts w:asciiTheme="minorHAnsi" w:hAnsiTheme="minorHAnsi"/>
                <w:sz w:val="22"/>
                <w:szCs w:val="22"/>
                <w:lang w:val="en-US"/>
              </w:rPr>
            </w:pPr>
            <w:r w:rsidRPr="00542036">
              <w:rPr>
                <w:rFonts w:asciiTheme="minorHAnsi" w:hAnsiTheme="minorHAnsi"/>
                <w:sz w:val="22"/>
                <w:szCs w:val="22"/>
              </w:rPr>
              <w:t>Psychological</w:t>
            </w:r>
          </w:p>
        </w:tc>
        <w:tc>
          <w:tcPr>
            <w:tcW w:w="1417" w:type="dxa"/>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rPr>
              <w:t>41.</w:t>
            </w:r>
            <w:r>
              <w:rPr>
                <w:rFonts w:asciiTheme="minorHAnsi" w:hAnsiTheme="minorHAnsi"/>
                <w:sz w:val="22"/>
                <w:szCs w:val="22"/>
              </w:rPr>
              <w:t>7</w:t>
            </w:r>
          </w:p>
        </w:tc>
        <w:tc>
          <w:tcPr>
            <w:tcW w:w="1418" w:type="dxa"/>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rPr>
              <w:t>5</w:t>
            </w:r>
            <w:r>
              <w:rPr>
                <w:rFonts w:asciiTheme="minorHAnsi" w:hAnsiTheme="minorHAnsi"/>
                <w:sz w:val="22"/>
                <w:szCs w:val="22"/>
              </w:rPr>
              <w:t>4.2</w:t>
            </w:r>
          </w:p>
        </w:tc>
        <w:tc>
          <w:tcPr>
            <w:tcW w:w="1192" w:type="dxa"/>
            <w:vAlign w:val="center"/>
          </w:tcPr>
          <w:p w:rsidR="00072449" w:rsidRPr="00542036" w:rsidRDefault="00072449" w:rsidP="00062E4B">
            <w:pPr>
              <w:spacing w:line="240" w:lineRule="auto"/>
              <w:jc w:val="center"/>
              <w:rPr>
                <w:rFonts w:asciiTheme="minorHAnsi" w:hAnsiTheme="minorHAnsi"/>
                <w:sz w:val="22"/>
                <w:szCs w:val="22"/>
              </w:rPr>
            </w:pPr>
            <w:r w:rsidRPr="00542036">
              <w:rPr>
                <w:rFonts w:asciiTheme="minorHAnsi" w:hAnsiTheme="minorHAnsi"/>
                <w:sz w:val="22"/>
                <w:szCs w:val="22"/>
              </w:rPr>
              <w:t>&lt; .001</w:t>
            </w:r>
          </w:p>
        </w:tc>
      </w:tr>
      <w:tr w:rsidR="00072449" w:rsidRPr="00415291" w:rsidTr="00B11DEE">
        <w:trPr>
          <w:trHeight w:hRule="exact" w:val="340"/>
        </w:trPr>
        <w:tc>
          <w:tcPr>
            <w:tcW w:w="2802" w:type="dxa"/>
            <w:vAlign w:val="center"/>
          </w:tcPr>
          <w:p w:rsidR="00072449" w:rsidRPr="00542036" w:rsidRDefault="00072449" w:rsidP="00072449">
            <w:pPr>
              <w:spacing w:line="240" w:lineRule="auto"/>
              <w:rPr>
                <w:rFonts w:asciiTheme="minorHAnsi" w:hAnsiTheme="minorHAnsi"/>
                <w:b/>
                <w:sz w:val="22"/>
                <w:szCs w:val="22"/>
                <w:lang w:val="en-US"/>
              </w:rPr>
            </w:pPr>
          </w:p>
        </w:tc>
        <w:tc>
          <w:tcPr>
            <w:tcW w:w="2126" w:type="dxa"/>
            <w:vAlign w:val="center"/>
            <w:hideMark/>
          </w:tcPr>
          <w:p w:rsidR="00072449" w:rsidRPr="00542036" w:rsidRDefault="00072449" w:rsidP="00072449">
            <w:pPr>
              <w:spacing w:line="240" w:lineRule="auto"/>
              <w:rPr>
                <w:rFonts w:asciiTheme="minorHAnsi" w:hAnsiTheme="minorHAnsi"/>
                <w:sz w:val="22"/>
                <w:szCs w:val="22"/>
                <w:lang w:val="en-US"/>
              </w:rPr>
            </w:pPr>
            <w:r w:rsidRPr="00542036">
              <w:rPr>
                <w:rFonts w:asciiTheme="minorHAnsi" w:hAnsiTheme="minorHAnsi"/>
                <w:sz w:val="22"/>
                <w:szCs w:val="22"/>
              </w:rPr>
              <w:t>Social</w:t>
            </w:r>
          </w:p>
        </w:tc>
        <w:tc>
          <w:tcPr>
            <w:tcW w:w="1417" w:type="dxa"/>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rPr>
              <w:t>41.</w:t>
            </w:r>
            <w:r>
              <w:rPr>
                <w:rFonts w:asciiTheme="minorHAnsi" w:hAnsiTheme="minorHAnsi"/>
                <w:sz w:val="22"/>
                <w:szCs w:val="22"/>
              </w:rPr>
              <w:t>7</w:t>
            </w:r>
          </w:p>
        </w:tc>
        <w:tc>
          <w:tcPr>
            <w:tcW w:w="1418" w:type="dxa"/>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rPr>
              <w:t>5</w:t>
            </w:r>
            <w:r>
              <w:rPr>
                <w:rFonts w:asciiTheme="minorHAnsi" w:hAnsiTheme="minorHAnsi"/>
                <w:sz w:val="22"/>
                <w:szCs w:val="22"/>
              </w:rPr>
              <w:t>0.0</w:t>
            </w:r>
          </w:p>
        </w:tc>
        <w:tc>
          <w:tcPr>
            <w:tcW w:w="1192" w:type="dxa"/>
            <w:vAlign w:val="center"/>
          </w:tcPr>
          <w:p w:rsidR="00072449" w:rsidRPr="00542036" w:rsidRDefault="00072449" w:rsidP="00062E4B">
            <w:pPr>
              <w:spacing w:line="240" w:lineRule="auto"/>
              <w:jc w:val="center"/>
              <w:rPr>
                <w:rFonts w:asciiTheme="minorHAnsi" w:hAnsiTheme="minorHAnsi"/>
                <w:sz w:val="22"/>
                <w:szCs w:val="22"/>
              </w:rPr>
            </w:pPr>
            <w:r w:rsidRPr="00542036">
              <w:rPr>
                <w:rFonts w:asciiTheme="minorHAnsi" w:hAnsiTheme="minorHAnsi"/>
                <w:sz w:val="22"/>
                <w:szCs w:val="22"/>
              </w:rPr>
              <w:t>&lt; .001</w:t>
            </w:r>
          </w:p>
        </w:tc>
      </w:tr>
      <w:tr w:rsidR="00072449" w:rsidRPr="00415291" w:rsidTr="00B11DEE">
        <w:trPr>
          <w:trHeight w:hRule="exact" w:val="340"/>
        </w:trPr>
        <w:tc>
          <w:tcPr>
            <w:tcW w:w="2802" w:type="dxa"/>
            <w:tcBorders>
              <w:bottom w:val="single" w:sz="4" w:space="0" w:color="auto"/>
            </w:tcBorders>
            <w:vAlign w:val="center"/>
          </w:tcPr>
          <w:p w:rsidR="00072449" w:rsidRPr="00542036" w:rsidRDefault="00072449" w:rsidP="00072449">
            <w:pPr>
              <w:spacing w:line="240" w:lineRule="auto"/>
              <w:rPr>
                <w:rFonts w:asciiTheme="minorHAnsi" w:hAnsiTheme="minorHAnsi"/>
                <w:b/>
                <w:sz w:val="22"/>
                <w:szCs w:val="22"/>
                <w:lang w:val="en-US"/>
              </w:rPr>
            </w:pPr>
          </w:p>
        </w:tc>
        <w:tc>
          <w:tcPr>
            <w:tcW w:w="2126" w:type="dxa"/>
            <w:tcBorders>
              <w:bottom w:val="single" w:sz="4" w:space="0" w:color="auto"/>
            </w:tcBorders>
            <w:vAlign w:val="center"/>
            <w:hideMark/>
          </w:tcPr>
          <w:p w:rsidR="00072449" w:rsidRPr="00542036" w:rsidRDefault="00072449" w:rsidP="00072449">
            <w:pPr>
              <w:spacing w:line="240" w:lineRule="auto"/>
              <w:rPr>
                <w:rFonts w:asciiTheme="minorHAnsi" w:hAnsiTheme="minorHAnsi"/>
                <w:sz w:val="22"/>
                <w:szCs w:val="22"/>
                <w:lang w:val="en-US"/>
              </w:rPr>
            </w:pPr>
            <w:r w:rsidRPr="00542036">
              <w:rPr>
                <w:rFonts w:asciiTheme="minorHAnsi" w:hAnsiTheme="minorHAnsi"/>
                <w:sz w:val="22"/>
                <w:szCs w:val="22"/>
              </w:rPr>
              <w:t>Environmental</w:t>
            </w:r>
          </w:p>
        </w:tc>
        <w:tc>
          <w:tcPr>
            <w:tcW w:w="1417" w:type="dxa"/>
            <w:tcBorders>
              <w:bottom w:val="single" w:sz="4" w:space="0" w:color="auto"/>
            </w:tcBorders>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rPr>
              <w:t>5</w:t>
            </w:r>
            <w:r>
              <w:rPr>
                <w:rFonts w:asciiTheme="minorHAnsi" w:hAnsiTheme="minorHAnsi"/>
                <w:sz w:val="22"/>
                <w:szCs w:val="22"/>
              </w:rPr>
              <w:t>7.1</w:t>
            </w:r>
          </w:p>
        </w:tc>
        <w:tc>
          <w:tcPr>
            <w:tcW w:w="1418" w:type="dxa"/>
            <w:tcBorders>
              <w:bottom w:val="single" w:sz="4" w:space="0" w:color="auto"/>
            </w:tcBorders>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rPr>
              <w:t>6</w:t>
            </w:r>
            <w:r>
              <w:rPr>
                <w:rFonts w:asciiTheme="minorHAnsi" w:hAnsiTheme="minorHAnsi"/>
                <w:sz w:val="22"/>
                <w:szCs w:val="22"/>
              </w:rPr>
              <w:t>2.5</w:t>
            </w:r>
          </w:p>
        </w:tc>
        <w:tc>
          <w:tcPr>
            <w:tcW w:w="1192" w:type="dxa"/>
            <w:tcBorders>
              <w:bottom w:val="single" w:sz="4" w:space="0" w:color="auto"/>
            </w:tcBorders>
            <w:vAlign w:val="center"/>
          </w:tcPr>
          <w:p w:rsidR="00072449" w:rsidRPr="00542036" w:rsidRDefault="00072449" w:rsidP="00062E4B">
            <w:pPr>
              <w:spacing w:line="240" w:lineRule="auto"/>
              <w:jc w:val="center"/>
              <w:rPr>
                <w:rFonts w:asciiTheme="minorHAnsi" w:hAnsiTheme="minorHAnsi"/>
                <w:sz w:val="22"/>
                <w:szCs w:val="22"/>
              </w:rPr>
            </w:pPr>
            <w:r w:rsidRPr="00542036">
              <w:rPr>
                <w:rFonts w:asciiTheme="minorHAnsi" w:hAnsiTheme="minorHAnsi"/>
                <w:sz w:val="22"/>
                <w:szCs w:val="22"/>
              </w:rPr>
              <w:t>&lt; .001</w:t>
            </w:r>
          </w:p>
        </w:tc>
      </w:tr>
      <w:tr w:rsidR="00072449" w:rsidRPr="00415291" w:rsidTr="00B11DEE">
        <w:trPr>
          <w:trHeight w:hRule="exact" w:val="340"/>
        </w:trPr>
        <w:tc>
          <w:tcPr>
            <w:tcW w:w="2802" w:type="dxa"/>
            <w:tcBorders>
              <w:top w:val="single" w:sz="4" w:space="0" w:color="auto"/>
            </w:tcBorders>
            <w:vAlign w:val="center"/>
            <w:hideMark/>
          </w:tcPr>
          <w:p w:rsidR="00072449" w:rsidRPr="00542036" w:rsidRDefault="00072449" w:rsidP="00CE2C8E">
            <w:pPr>
              <w:spacing w:after="0" w:line="240" w:lineRule="auto"/>
              <w:rPr>
                <w:rFonts w:asciiTheme="minorHAnsi" w:hAnsiTheme="minorHAnsi"/>
                <w:b/>
                <w:sz w:val="22"/>
                <w:szCs w:val="22"/>
                <w:lang w:val="en-US"/>
              </w:rPr>
            </w:pPr>
            <w:r>
              <w:rPr>
                <w:rFonts w:asciiTheme="minorHAnsi" w:hAnsiTheme="minorHAnsi"/>
                <w:b/>
                <w:sz w:val="22"/>
                <w:szCs w:val="22"/>
              </w:rPr>
              <w:t xml:space="preserve">Residential </w:t>
            </w:r>
            <w:r w:rsidR="00CE2C8E">
              <w:rPr>
                <w:rFonts w:asciiTheme="minorHAnsi" w:hAnsiTheme="minorHAnsi"/>
                <w:b/>
                <w:sz w:val="22"/>
                <w:szCs w:val="22"/>
              </w:rPr>
              <w:t>rehabilitation</w:t>
            </w:r>
          </w:p>
        </w:tc>
        <w:tc>
          <w:tcPr>
            <w:tcW w:w="2126" w:type="dxa"/>
            <w:tcBorders>
              <w:top w:val="single" w:sz="4" w:space="0" w:color="auto"/>
            </w:tcBorders>
            <w:vAlign w:val="center"/>
            <w:hideMark/>
          </w:tcPr>
          <w:p w:rsidR="00072449" w:rsidRPr="00542036" w:rsidRDefault="00072449" w:rsidP="00072449">
            <w:pPr>
              <w:spacing w:after="0" w:line="240" w:lineRule="auto"/>
              <w:rPr>
                <w:rFonts w:asciiTheme="minorHAnsi" w:hAnsiTheme="minorHAnsi"/>
                <w:sz w:val="22"/>
                <w:szCs w:val="22"/>
                <w:lang w:val="en-US" w:eastAsia="en-US"/>
              </w:rPr>
            </w:pPr>
            <w:r w:rsidRPr="00542036">
              <w:rPr>
                <w:rFonts w:asciiTheme="minorHAnsi" w:hAnsiTheme="minorHAnsi"/>
                <w:sz w:val="22"/>
                <w:szCs w:val="22"/>
              </w:rPr>
              <w:t>Physical</w:t>
            </w:r>
          </w:p>
        </w:tc>
        <w:tc>
          <w:tcPr>
            <w:tcW w:w="1417" w:type="dxa"/>
            <w:tcBorders>
              <w:top w:val="single" w:sz="4" w:space="0" w:color="auto"/>
            </w:tcBorders>
            <w:vAlign w:val="center"/>
            <w:hideMark/>
          </w:tcPr>
          <w:p w:rsidR="00072449" w:rsidRPr="00542036" w:rsidRDefault="00072449" w:rsidP="00072449">
            <w:pPr>
              <w:spacing w:after="0" w:line="240" w:lineRule="auto"/>
              <w:jc w:val="center"/>
              <w:rPr>
                <w:rFonts w:asciiTheme="minorHAnsi" w:hAnsiTheme="minorHAnsi"/>
                <w:sz w:val="22"/>
                <w:szCs w:val="22"/>
                <w:lang w:val="en-US" w:eastAsia="en-US"/>
              </w:rPr>
            </w:pPr>
            <w:r>
              <w:rPr>
                <w:rFonts w:asciiTheme="minorHAnsi" w:hAnsiTheme="minorHAnsi"/>
                <w:sz w:val="22"/>
                <w:szCs w:val="22"/>
              </w:rPr>
              <w:t>67.9</w:t>
            </w:r>
          </w:p>
        </w:tc>
        <w:tc>
          <w:tcPr>
            <w:tcW w:w="1418" w:type="dxa"/>
            <w:tcBorders>
              <w:top w:val="single" w:sz="4" w:space="0" w:color="auto"/>
            </w:tcBorders>
            <w:vAlign w:val="center"/>
            <w:hideMark/>
          </w:tcPr>
          <w:p w:rsidR="00072449" w:rsidRPr="00542036" w:rsidRDefault="00072449" w:rsidP="00072449">
            <w:pPr>
              <w:spacing w:after="0" w:line="240" w:lineRule="auto"/>
              <w:jc w:val="center"/>
              <w:rPr>
                <w:rFonts w:asciiTheme="minorHAnsi" w:hAnsiTheme="minorHAnsi"/>
                <w:sz w:val="22"/>
                <w:szCs w:val="22"/>
                <w:lang w:val="en-US" w:eastAsia="en-US"/>
              </w:rPr>
            </w:pPr>
            <w:r>
              <w:rPr>
                <w:rFonts w:asciiTheme="minorHAnsi" w:hAnsiTheme="minorHAnsi"/>
                <w:sz w:val="22"/>
                <w:szCs w:val="22"/>
              </w:rPr>
              <w:t>67.9</w:t>
            </w:r>
          </w:p>
        </w:tc>
        <w:tc>
          <w:tcPr>
            <w:tcW w:w="1192" w:type="dxa"/>
            <w:tcBorders>
              <w:top w:val="single" w:sz="4" w:space="0" w:color="auto"/>
            </w:tcBorders>
            <w:vAlign w:val="center"/>
          </w:tcPr>
          <w:p w:rsidR="00072449" w:rsidRPr="00542036" w:rsidRDefault="00072449" w:rsidP="00072449">
            <w:pPr>
              <w:spacing w:after="0" w:line="240" w:lineRule="auto"/>
              <w:jc w:val="center"/>
              <w:rPr>
                <w:rFonts w:asciiTheme="minorHAnsi" w:hAnsiTheme="minorHAnsi"/>
                <w:sz w:val="22"/>
                <w:szCs w:val="22"/>
                <w:lang w:eastAsia="en-US"/>
              </w:rPr>
            </w:pPr>
            <w:r w:rsidRPr="00542036">
              <w:rPr>
                <w:rFonts w:asciiTheme="minorHAnsi" w:hAnsiTheme="minorHAnsi"/>
                <w:sz w:val="22"/>
                <w:szCs w:val="22"/>
              </w:rPr>
              <w:t>.</w:t>
            </w:r>
            <w:r>
              <w:rPr>
                <w:rFonts w:asciiTheme="minorHAnsi" w:hAnsiTheme="minorHAnsi"/>
                <w:sz w:val="22"/>
                <w:szCs w:val="22"/>
              </w:rPr>
              <w:t>6</w:t>
            </w:r>
            <w:r w:rsidR="00584ABC">
              <w:rPr>
                <w:rFonts w:asciiTheme="minorHAnsi" w:hAnsiTheme="minorHAnsi"/>
                <w:sz w:val="22"/>
                <w:szCs w:val="22"/>
              </w:rPr>
              <w:t>2</w:t>
            </w:r>
          </w:p>
        </w:tc>
      </w:tr>
      <w:tr w:rsidR="00072449" w:rsidRPr="00415291" w:rsidTr="00B11DEE">
        <w:trPr>
          <w:trHeight w:hRule="exact" w:val="340"/>
        </w:trPr>
        <w:tc>
          <w:tcPr>
            <w:tcW w:w="2802" w:type="dxa"/>
            <w:vAlign w:val="center"/>
          </w:tcPr>
          <w:p w:rsidR="00072449" w:rsidRPr="00542036" w:rsidRDefault="00072449" w:rsidP="00072449">
            <w:pPr>
              <w:spacing w:line="240" w:lineRule="auto"/>
              <w:rPr>
                <w:rFonts w:asciiTheme="minorHAnsi" w:hAnsiTheme="minorHAnsi"/>
                <w:b/>
                <w:sz w:val="22"/>
                <w:szCs w:val="22"/>
                <w:lang w:val="en-US"/>
              </w:rPr>
            </w:pPr>
          </w:p>
        </w:tc>
        <w:tc>
          <w:tcPr>
            <w:tcW w:w="2126" w:type="dxa"/>
            <w:vAlign w:val="center"/>
            <w:hideMark/>
          </w:tcPr>
          <w:p w:rsidR="00072449" w:rsidRPr="00542036" w:rsidRDefault="00072449" w:rsidP="00072449">
            <w:pPr>
              <w:spacing w:line="240" w:lineRule="auto"/>
              <w:rPr>
                <w:rFonts w:asciiTheme="minorHAnsi" w:hAnsiTheme="minorHAnsi"/>
                <w:sz w:val="22"/>
                <w:szCs w:val="22"/>
                <w:lang w:val="en-US"/>
              </w:rPr>
            </w:pPr>
            <w:r w:rsidRPr="00542036">
              <w:rPr>
                <w:rFonts w:asciiTheme="minorHAnsi" w:hAnsiTheme="minorHAnsi"/>
                <w:sz w:val="22"/>
                <w:szCs w:val="22"/>
              </w:rPr>
              <w:t>Psychological</w:t>
            </w:r>
          </w:p>
        </w:tc>
        <w:tc>
          <w:tcPr>
            <w:tcW w:w="1417" w:type="dxa"/>
            <w:vAlign w:val="center"/>
            <w:hideMark/>
          </w:tcPr>
          <w:p w:rsidR="00072449" w:rsidRPr="00542036" w:rsidRDefault="00072449" w:rsidP="00072449">
            <w:pPr>
              <w:spacing w:line="240" w:lineRule="auto"/>
              <w:jc w:val="center"/>
              <w:rPr>
                <w:rFonts w:asciiTheme="minorHAnsi" w:hAnsiTheme="minorHAnsi"/>
                <w:sz w:val="22"/>
                <w:szCs w:val="22"/>
                <w:lang w:val="en-US"/>
              </w:rPr>
            </w:pPr>
            <w:r>
              <w:rPr>
                <w:rFonts w:asciiTheme="minorHAnsi" w:hAnsiTheme="minorHAnsi"/>
                <w:sz w:val="22"/>
                <w:szCs w:val="22"/>
              </w:rPr>
              <w:t>54.2</w:t>
            </w:r>
          </w:p>
        </w:tc>
        <w:tc>
          <w:tcPr>
            <w:tcW w:w="1418" w:type="dxa"/>
            <w:vAlign w:val="center"/>
            <w:hideMark/>
          </w:tcPr>
          <w:p w:rsidR="00072449" w:rsidRPr="00542036" w:rsidRDefault="00584ABC" w:rsidP="00072449">
            <w:pPr>
              <w:spacing w:line="240" w:lineRule="auto"/>
              <w:jc w:val="center"/>
              <w:rPr>
                <w:rFonts w:asciiTheme="minorHAnsi" w:hAnsiTheme="minorHAnsi"/>
                <w:sz w:val="22"/>
                <w:szCs w:val="22"/>
                <w:lang w:val="en-US"/>
              </w:rPr>
            </w:pPr>
            <w:r>
              <w:rPr>
                <w:rFonts w:asciiTheme="minorHAnsi" w:hAnsiTheme="minorHAnsi"/>
                <w:sz w:val="22"/>
                <w:szCs w:val="22"/>
              </w:rPr>
              <w:t>58.3</w:t>
            </w:r>
          </w:p>
        </w:tc>
        <w:tc>
          <w:tcPr>
            <w:tcW w:w="1192" w:type="dxa"/>
            <w:vAlign w:val="center"/>
          </w:tcPr>
          <w:p w:rsidR="00072449" w:rsidRPr="00542036" w:rsidRDefault="00072449" w:rsidP="00062E4B">
            <w:pPr>
              <w:spacing w:line="240" w:lineRule="auto"/>
              <w:jc w:val="center"/>
              <w:rPr>
                <w:rFonts w:asciiTheme="minorHAnsi" w:hAnsiTheme="minorHAnsi"/>
                <w:sz w:val="22"/>
                <w:szCs w:val="22"/>
              </w:rPr>
            </w:pPr>
            <w:r w:rsidRPr="00542036">
              <w:rPr>
                <w:rFonts w:asciiTheme="minorHAnsi" w:hAnsiTheme="minorHAnsi"/>
                <w:sz w:val="22"/>
                <w:szCs w:val="22"/>
              </w:rPr>
              <w:t>&lt; .0</w:t>
            </w:r>
            <w:r w:rsidR="00584ABC">
              <w:rPr>
                <w:rFonts w:asciiTheme="minorHAnsi" w:hAnsiTheme="minorHAnsi"/>
                <w:sz w:val="22"/>
                <w:szCs w:val="22"/>
              </w:rPr>
              <w:t>5</w:t>
            </w:r>
          </w:p>
        </w:tc>
      </w:tr>
      <w:tr w:rsidR="00072449" w:rsidRPr="00415291" w:rsidTr="00B11DEE">
        <w:trPr>
          <w:trHeight w:hRule="exact" w:val="340"/>
        </w:trPr>
        <w:tc>
          <w:tcPr>
            <w:tcW w:w="2802" w:type="dxa"/>
            <w:vAlign w:val="center"/>
          </w:tcPr>
          <w:p w:rsidR="00072449" w:rsidRPr="00542036" w:rsidRDefault="00072449" w:rsidP="00072449">
            <w:pPr>
              <w:spacing w:line="240" w:lineRule="auto"/>
              <w:rPr>
                <w:rFonts w:asciiTheme="minorHAnsi" w:hAnsiTheme="minorHAnsi"/>
                <w:b/>
                <w:sz w:val="22"/>
                <w:szCs w:val="22"/>
                <w:lang w:val="en-US"/>
              </w:rPr>
            </w:pPr>
          </w:p>
        </w:tc>
        <w:tc>
          <w:tcPr>
            <w:tcW w:w="2126" w:type="dxa"/>
            <w:vAlign w:val="center"/>
            <w:hideMark/>
          </w:tcPr>
          <w:p w:rsidR="00072449" w:rsidRPr="00542036" w:rsidRDefault="00072449" w:rsidP="00072449">
            <w:pPr>
              <w:spacing w:line="240" w:lineRule="auto"/>
              <w:rPr>
                <w:rFonts w:asciiTheme="minorHAnsi" w:hAnsiTheme="minorHAnsi"/>
                <w:sz w:val="22"/>
                <w:szCs w:val="22"/>
                <w:lang w:val="en-US"/>
              </w:rPr>
            </w:pPr>
            <w:r w:rsidRPr="00542036">
              <w:rPr>
                <w:rFonts w:asciiTheme="minorHAnsi" w:hAnsiTheme="minorHAnsi"/>
                <w:sz w:val="22"/>
                <w:szCs w:val="22"/>
              </w:rPr>
              <w:t>Social</w:t>
            </w:r>
          </w:p>
        </w:tc>
        <w:tc>
          <w:tcPr>
            <w:tcW w:w="1417" w:type="dxa"/>
            <w:vAlign w:val="center"/>
            <w:hideMark/>
          </w:tcPr>
          <w:p w:rsidR="00072449" w:rsidRPr="00542036" w:rsidRDefault="00072449" w:rsidP="00072449">
            <w:pPr>
              <w:spacing w:line="240" w:lineRule="auto"/>
              <w:jc w:val="center"/>
              <w:rPr>
                <w:rFonts w:asciiTheme="minorHAnsi" w:hAnsiTheme="minorHAnsi"/>
                <w:sz w:val="22"/>
                <w:szCs w:val="22"/>
                <w:lang w:val="en-US"/>
              </w:rPr>
            </w:pPr>
            <w:r>
              <w:rPr>
                <w:rFonts w:asciiTheme="minorHAnsi" w:hAnsiTheme="minorHAnsi"/>
                <w:sz w:val="22"/>
                <w:szCs w:val="22"/>
              </w:rPr>
              <w:t>50.0</w:t>
            </w:r>
          </w:p>
        </w:tc>
        <w:tc>
          <w:tcPr>
            <w:tcW w:w="1418" w:type="dxa"/>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rPr>
              <w:t>58.</w:t>
            </w:r>
            <w:r>
              <w:rPr>
                <w:rFonts w:asciiTheme="minorHAnsi" w:hAnsiTheme="minorHAnsi"/>
                <w:sz w:val="22"/>
                <w:szCs w:val="22"/>
              </w:rPr>
              <w:t>3</w:t>
            </w:r>
          </w:p>
        </w:tc>
        <w:tc>
          <w:tcPr>
            <w:tcW w:w="1192" w:type="dxa"/>
            <w:vAlign w:val="center"/>
          </w:tcPr>
          <w:p w:rsidR="00072449" w:rsidRPr="00542036" w:rsidRDefault="00072449" w:rsidP="00062E4B">
            <w:pPr>
              <w:spacing w:line="240" w:lineRule="auto"/>
              <w:jc w:val="center"/>
              <w:rPr>
                <w:rFonts w:asciiTheme="minorHAnsi" w:hAnsiTheme="minorHAnsi"/>
                <w:sz w:val="22"/>
                <w:szCs w:val="22"/>
              </w:rPr>
            </w:pPr>
            <w:r w:rsidRPr="00542036">
              <w:rPr>
                <w:rFonts w:asciiTheme="minorHAnsi" w:hAnsiTheme="minorHAnsi"/>
                <w:sz w:val="22"/>
                <w:szCs w:val="22"/>
              </w:rPr>
              <w:t>&lt; .001</w:t>
            </w:r>
          </w:p>
        </w:tc>
      </w:tr>
      <w:tr w:rsidR="00072449" w:rsidRPr="00415291" w:rsidTr="00B11DEE">
        <w:trPr>
          <w:trHeight w:hRule="exact" w:val="340"/>
        </w:trPr>
        <w:tc>
          <w:tcPr>
            <w:tcW w:w="2802" w:type="dxa"/>
            <w:tcBorders>
              <w:bottom w:val="single" w:sz="4" w:space="0" w:color="auto"/>
            </w:tcBorders>
            <w:vAlign w:val="center"/>
          </w:tcPr>
          <w:p w:rsidR="00072449" w:rsidRPr="00542036" w:rsidRDefault="00072449" w:rsidP="00072449">
            <w:pPr>
              <w:spacing w:line="240" w:lineRule="auto"/>
              <w:rPr>
                <w:rFonts w:asciiTheme="minorHAnsi" w:hAnsiTheme="minorHAnsi"/>
                <w:b/>
                <w:sz w:val="22"/>
                <w:szCs w:val="22"/>
                <w:lang w:val="en-US"/>
              </w:rPr>
            </w:pPr>
          </w:p>
        </w:tc>
        <w:tc>
          <w:tcPr>
            <w:tcW w:w="2126" w:type="dxa"/>
            <w:tcBorders>
              <w:bottom w:val="single" w:sz="4" w:space="0" w:color="auto"/>
            </w:tcBorders>
            <w:vAlign w:val="center"/>
            <w:hideMark/>
          </w:tcPr>
          <w:p w:rsidR="00072449" w:rsidRPr="00542036" w:rsidRDefault="00072449" w:rsidP="00072449">
            <w:pPr>
              <w:spacing w:line="240" w:lineRule="auto"/>
              <w:rPr>
                <w:rFonts w:asciiTheme="minorHAnsi" w:hAnsiTheme="minorHAnsi"/>
                <w:sz w:val="22"/>
                <w:szCs w:val="22"/>
                <w:lang w:val="en-US"/>
              </w:rPr>
            </w:pPr>
            <w:r w:rsidRPr="00542036">
              <w:rPr>
                <w:rFonts w:asciiTheme="minorHAnsi" w:hAnsiTheme="minorHAnsi"/>
                <w:sz w:val="22"/>
                <w:szCs w:val="22"/>
              </w:rPr>
              <w:t>Environmental</w:t>
            </w:r>
          </w:p>
        </w:tc>
        <w:tc>
          <w:tcPr>
            <w:tcW w:w="1417" w:type="dxa"/>
            <w:tcBorders>
              <w:bottom w:val="single" w:sz="4" w:space="0" w:color="auto"/>
            </w:tcBorders>
            <w:vAlign w:val="center"/>
            <w:hideMark/>
          </w:tcPr>
          <w:p w:rsidR="00072449" w:rsidRPr="00542036" w:rsidRDefault="00072449" w:rsidP="00072449">
            <w:pPr>
              <w:spacing w:line="240" w:lineRule="auto"/>
              <w:jc w:val="center"/>
              <w:rPr>
                <w:rFonts w:asciiTheme="minorHAnsi" w:hAnsiTheme="minorHAnsi"/>
                <w:sz w:val="22"/>
                <w:szCs w:val="22"/>
                <w:lang w:val="en-US"/>
              </w:rPr>
            </w:pPr>
            <w:r>
              <w:rPr>
                <w:rFonts w:asciiTheme="minorHAnsi" w:hAnsiTheme="minorHAnsi"/>
                <w:sz w:val="22"/>
                <w:szCs w:val="22"/>
              </w:rPr>
              <w:t>59.4</w:t>
            </w:r>
          </w:p>
        </w:tc>
        <w:tc>
          <w:tcPr>
            <w:tcW w:w="1418" w:type="dxa"/>
            <w:tcBorders>
              <w:bottom w:val="single" w:sz="4" w:space="0" w:color="auto"/>
            </w:tcBorders>
            <w:vAlign w:val="center"/>
            <w:hideMark/>
          </w:tcPr>
          <w:p w:rsidR="00072449" w:rsidRPr="00542036" w:rsidRDefault="00072449" w:rsidP="00072449">
            <w:pPr>
              <w:spacing w:line="240" w:lineRule="auto"/>
              <w:jc w:val="center"/>
              <w:rPr>
                <w:rFonts w:asciiTheme="minorHAnsi" w:hAnsiTheme="minorHAnsi"/>
                <w:sz w:val="22"/>
                <w:szCs w:val="22"/>
                <w:lang w:val="en-US"/>
              </w:rPr>
            </w:pPr>
            <w:r>
              <w:rPr>
                <w:rFonts w:asciiTheme="minorHAnsi" w:hAnsiTheme="minorHAnsi"/>
                <w:sz w:val="22"/>
                <w:szCs w:val="22"/>
              </w:rPr>
              <w:t>71.9</w:t>
            </w:r>
          </w:p>
        </w:tc>
        <w:tc>
          <w:tcPr>
            <w:tcW w:w="1192" w:type="dxa"/>
            <w:tcBorders>
              <w:bottom w:val="single" w:sz="4" w:space="0" w:color="auto"/>
            </w:tcBorders>
            <w:vAlign w:val="center"/>
          </w:tcPr>
          <w:p w:rsidR="00072449" w:rsidRPr="00542036" w:rsidRDefault="00072449" w:rsidP="00062E4B">
            <w:pPr>
              <w:spacing w:line="240" w:lineRule="auto"/>
              <w:jc w:val="center"/>
              <w:rPr>
                <w:rFonts w:asciiTheme="minorHAnsi" w:hAnsiTheme="minorHAnsi"/>
                <w:sz w:val="22"/>
                <w:szCs w:val="22"/>
              </w:rPr>
            </w:pPr>
            <w:r w:rsidRPr="00542036">
              <w:rPr>
                <w:rFonts w:asciiTheme="minorHAnsi" w:hAnsiTheme="minorHAnsi"/>
                <w:sz w:val="22"/>
                <w:szCs w:val="22"/>
              </w:rPr>
              <w:t>&lt; .001</w:t>
            </w:r>
          </w:p>
        </w:tc>
      </w:tr>
      <w:tr w:rsidR="00072449" w:rsidRPr="00415291" w:rsidTr="00B11DEE">
        <w:trPr>
          <w:trHeight w:hRule="exact" w:val="340"/>
        </w:trPr>
        <w:tc>
          <w:tcPr>
            <w:tcW w:w="2802" w:type="dxa"/>
            <w:tcBorders>
              <w:top w:val="single" w:sz="4" w:space="0" w:color="auto"/>
            </w:tcBorders>
            <w:vAlign w:val="center"/>
            <w:hideMark/>
          </w:tcPr>
          <w:p w:rsidR="00072449" w:rsidRPr="00542036" w:rsidRDefault="00072449" w:rsidP="00072449">
            <w:pPr>
              <w:spacing w:line="240" w:lineRule="auto"/>
              <w:rPr>
                <w:rFonts w:asciiTheme="minorHAnsi" w:hAnsiTheme="minorHAnsi"/>
                <w:b/>
                <w:sz w:val="22"/>
                <w:szCs w:val="22"/>
                <w:lang w:val="en-US"/>
              </w:rPr>
            </w:pPr>
            <w:r w:rsidRPr="00542036">
              <w:rPr>
                <w:rFonts w:asciiTheme="minorHAnsi" w:hAnsiTheme="minorHAnsi"/>
                <w:b/>
                <w:sz w:val="22"/>
                <w:szCs w:val="22"/>
              </w:rPr>
              <w:t>Total (Norms)</w:t>
            </w:r>
          </w:p>
        </w:tc>
        <w:tc>
          <w:tcPr>
            <w:tcW w:w="2126" w:type="dxa"/>
            <w:tcBorders>
              <w:top w:val="single" w:sz="4" w:space="0" w:color="auto"/>
            </w:tcBorders>
            <w:vAlign w:val="center"/>
            <w:hideMark/>
          </w:tcPr>
          <w:p w:rsidR="00072449" w:rsidRPr="00542036" w:rsidRDefault="00072449" w:rsidP="00072449">
            <w:pPr>
              <w:spacing w:line="240" w:lineRule="auto"/>
              <w:rPr>
                <w:rFonts w:asciiTheme="minorHAnsi" w:hAnsiTheme="minorHAnsi"/>
                <w:sz w:val="22"/>
                <w:szCs w:val="22"/>
                <w:lang w:val="en-US"/>
              </w:rPr>
            </w:pPr>
            <w:r w:rsidRPr="00542036">
              <w:rPr>
                <w:rFonts w:asciiTheme="minorHAnsi" w:hAnsiTheme="minorHAnsi"/>
                <w:sz w:val="22"/>
                <w:szCs w:val="22"/>
              </w:rPr>
              <w:t>Physical (73.5)</w:t>
            </w:r>
          </w:p>
        </w:tc>
        <w:tc>
          <w:tcPr>
            <w:tcW w:w="1417" w:type="dxa"/>
            <w:tcBorders>
              <w:top w:val="single" w:sz="4" w:space="0" w:color="auto"/>
            </w:tcBorders>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lang w:val="en-US"/>
              </w:rPr>
              <w:t>5</w:t>
            </w:r>
            <w:r>
              <w:rPr>
                <w:rFonts w:asciiTheme="minorHAnsi" w:hAnsiTheme="minorHAnsi"/>
                <w:sz w:val="22"/>
                <w:szCs w:val="22"/>
                <w:lang w:val="en-US"/>
              </w:rPr>
              <w:t>3.6</w:t>
            </w:r>
          </w:p>
        </w:tc>
        <w:tc>
          <w:tcPr>
            <w:tcW w:w="1418" w:type="dxa"/>
            <w:tcBorders>
              <w:top w:val="single" w:sz="4" w:space="0" w:color="auto"/>
            </w:tcBorders>
            <w:vAlign w:val="center"/>
            <w:hideMark/>
          </w:tcPr>
          <w:p w:rsidR="00072449" w:rsidRPr="00542036" w:rsidRDefault="00072449" w:rsidP="00072449">
            <w:pPr>
              <w:spacing w:line="240" w:lineRule="auto"/>
              <w:jc w:val="center"/>
              <w:rPr>
                <w:rFonts w:asciiTheme="minorHAnsi" w:hAnsiTheme="minorHAnsi"/>
                <w:sz w:val="22"/>
                <w:szCs w:val="22"/>
                <w:lang w:val="en-US"/>
              </w:rPr>
            </w:pPr>
            <w:r>
              <w:rPr>
                <w:rFonts w:asciiTheme="minorHAnsi" w:hAnsiTheme="minorHAnsi"/>
                <w:sz w:val="22"/>
                <w:szCs w:val="22"/>
                <w:lang w:val="en-US"/>
              </w:rPr>
              <w:t>60.7</w:t>
            </w:r>
          </w:p>
        </w:tc>
        <w:tc>
          <w:tcPr>
            <w:tcW w:w="1192" w:type="dxa"/>
            <w:tcBorders>
              <w:top w:val="single" w:sz="4" w:space="0" w:color="auto"/>
            </w:tcBorders>
            <w:vAlign w:val="center"/>
          </w:tcPr>
          <w:p w:rsidR="00072449" w:rsidRPr="00542036" w:rsidRDefault="00072449" w:rsidP="00072449">
            <w:pPr>
              <w:spacing w:line="240" w:lineRule="auto"/>
              <w:jc w:val="center"/>
              <w:rPr>
                <w:rFonts w:asciiTheme="minorHAnsi" w:hAnsiTheme="minorHAnsi"/>
                <w:sz w:val="22"/>
                <w:szCs w:val="22"/>
              </w:rPr>
            </w:pPr>
            <w:r w:rsidRPr="00542036">
              <w:rPr>
                <w:rFonts w:asciiTheme="minorHAnsi" w:hAnsiTheme="minorHAnsi"/>
                <w:sz w:val="22"/>
                <w:szCs w:val="22"/>
              </w:rPr>
              <w:t>&lt; .001</w:t>
            </w:r>
          </w:p>
        </w:tc>
      </w:tr>
      <w:tr w:rsidR="00072449" w:rsidRPr="00415291" w:rsidTr="00B11DEE">
        <w:trPr>
          <w:trHeight w:hRule="exact" w:val="340"/>
        </w:trPr>
        <w:tc>
          <w:tcPr>
            <w:tcW w:w="2802" w:type="dxa"/>
            <w:vAlign w:val="center"/>
          </w:tcPr>
          <w:p w:rsidR="00072449" w:rsidRPr="00542036" w:rsidRDefault="00072449" w:rsidP="00072449">
            <w:pPr>
              <w:spacing w:line="240" w:lineRule="auto"/>
              <w:rPr>
                <w:rFonts w:asciiTheme="minorHAnsi" w:hAnsiTheme="minorHAnsi"/>
                <w:b/>
                <w:sz w:val="22"/>
                <w:szCs w:val="22"/>
                <w:lang w:val="en-US"/>
              </w:rPr>
            </w:pPr>
          </w:p>
        </w:tc>
        <w:tc>
          <w:tcPr>
            <w:tcW w:w="2126" w:type="dxa"/>
            <w:vAlign w:val="center"/>
            <w:hideMark/>
          </w:tcPr>
          <w:p w:rsidR="00072449" w:rsidRPr="00542036" w:rsidRDefault="00072449" w:rsidP="00072449">
            <w:pPr>
              <w:spacing w:line="240" w:lineRule="auto"/>
              <w:rPr>
                <w:rFonts w:asciiTheme="minorHAnsi" w:hAnsiTheme="minorHAnsi"/>
                <w:sz w:val="22"/>
                <w:szCs w:val="22"/>
                <w:lang w:val="en-US"/>
              </w:rPr>
            </w:pPr>
            <w:r w:rsidRPr="00542036">
              <w:rPr>
                <w:rFonts w:asciiTheme="minorHAnsi" w:hAnsiTheme="minorHAnsi"/>
                <w:sz w:val="22"/>
                <w:szCs w:val="22"/>
              </w:rPr>
              <w:t>Psychological (70.6)</w:t>
            </w:r>
          </w:p>
        </w:tc>
        <w:tc>
          <w:tcPr>
            <w:tcW w:w="1417" w:type="dxa"/>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lang w:val="en-US"/>
              </w:rPr>
              <w:t>4</w:t>
            </w:r>
            <w:r>
              <w:rPr>
                <w:rFonts w:asciiTheme="minorHAnsi" w:hAnsiTheme="minorHAnsi"/>
                <w:sz w:val="22"/>
                <w:szCs w:val="22"/>
                <w:lang w:val="en-US"/>
              </w:rPr>
              <w:t>1.7</w:t>
            </w:r>
          </w:p>
        </w:tc>
        <w:tc>
          <w:tcPr>
            <w:tcW w:w="1418" w:type="dxa"/>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lang w:val="en-US"/>
              </w:rPr>
              <w:t>54.2</w:t>
            </w:r>
          </w:p>
        </w:tc>
        <w:tc>
          <w:tcPr>
            <w:tcW w:w="1192" w:type="dxa"/>
            <w:vAlign w:val="center"/>
          </w:tcPr>
          <w:p w:rsidR="00072449" w:rsidRPr="00542036" w:rsidRDefault="00072449" w:rsidP="00062E4B">
            <w:pPr>
              <w:spacing w:line="240" w:lineRule="auto"/>
              <w:jc w:val="center"/>
              <w:rPr>
                <w:rFonts w:asciiTheme="minorHAnsi" w:hAnsiTheme="minorHAnsi"/>
                <w:sz w:val="22"/>
                <w:szCs w:val="22"/>
              </w:rPr>
            </w:pPr>
            <w:r w:rsidRPr="00542036">
              <w:rPr>
                <w:rFonts w:asciiTheme="minorHAnsi" w:hAnsiTheme="minorHAnsi"/>
                <w:sz w:val="22"/>
                <w:szCs w:val="22"/>
              </w:rPr>
              <w:t>&lt; .001</w:t>
            </w:r>
          </w:p>
        </w:tc>
      </w:tr>
      <w:tr w:rsidR="00072449" w:rsidRPr="00415291" w:rsidTr="00B11DEE">
        <w:trPr>
          <w:trHeight w:hRule="exact" w:val="340"/>
        </w:trPr>
        <w:tc>
          <w:tcPr>
            <w:tcW w:w="2802" w:type="dxa"/>
          </w:tcPr>
          <w:p w:rsidR="00072449" w:rsidRPr="00542036" w:rsidRDefault="00072449" w:rsidP="00072449">
            <w:pPr>
              <w:spacing w:line="240" w:lineRule="auto"/>
              <w:rPr>
                <w:rFonts w:asciiTheme="minorHAnsi" w:hAnsiTheme="minorHAnsi"/>
                <w:b/>
                <w:sz w:val="22"/>
                <w:szCs w:val="22"/>
                <w:lang w:val="en-US"/>
              </w:rPr>
            </w:pPr>
          </w:p>
        </w:tc>
        <w:tc>
          <w:tcPr>
            <w:tcW w:w="2126" w:type="dxa"/>
            <w:vAlign w:val="center"/>
            <w:hideMark/>
          </w:tcPr>
          <w:p w:rsidR="00072449" w:rsidRPr="00542036" w:rsidRDefault="00072449" w:rsidP="00072449">
            <w:pPr>
              <w:spacing w:line="240" w:lineRule="auto"/>
              <w:rPr>
                <w:rFonts w:asciiTheme="minorHAnsi" w:hAnsiTheme="minorHAnsi"/>
                <w:sz w:val="22"/>
                <w:szCs w:val="22"/>
                <w:lang w:val="en-US"/>
              </w:rPr>
            </w:pPr>
            <w:r w:rsidRPr="00542036">
              <w:rPr>
                <w:rFonts w:asciiTheme="minorHAnsi" w:hAnsiTheme="minorHAnsi"/>
                <w:sz w:val="22"/>
                <w:szCs w:val="22"/>
              </w:rPr>
              <w:t>Social (71.5)</w:t>
            </w:r>
          </w:p>
        </w:tc>
        <w:tc>
          <w:tcPr>
            <w:tcW w:w="1417" w:type="dxa"/>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lang w:val="en-US"/>
              </w:rPr>
              <w:t>4</w:t>
            </w:r>
            <w:r>
              <w:rPr>
                <w:rFonts w:asciiTheme="minorHAnsi" w:hAnsiTheme="minorHAnsi"/>
                <w:sz w:val="22"/>
                <w:szCs w:val="22"/>
                <w:lang w:val="en-US"/>
              </w:rPr>
              <w:t>1.7</w:t>
            </w:r>
          </w:p>
        </w:tc>
        <w:tc>
          <w:tcPr>
            <w:tcW w:w="1418" w:type="dxa"/>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lang w:val="en-US"/>
              </w:rPr>
              <w:t>5</w:t>
            </w:r>
            <w:r>
              <w:rPr>
                <w:rFonts w:asciiTheme="minorHAnsi" w:hAnsiTheme="minorHAnsi"/>
                <w:sz w:val="22"/>
                <w:szCs w:val="22"/>
                <w:lang w:val="en-US"/>
              </w:rPr>
              <w:t>8.3</w:t>
            </w:r>
          </w:p>
        </w:tc>
        <w:tc>
          <w:tcPr>
            <w:tcW w:w="1192" w:type="dxa"/>
            <w:vAlign w:val="center"/>
          </w:tcPr>
          <w:p w:rsidR="00072449" w:rsidRPr="00542036" w:rsidRDefault="00072449" w:rsidP="00062E4B">
            <w:pPr>
              <w:spacing w:line="240" w:lineRule="auto"/>
              <w:jc w:val="center"/>
              <w:rPr>
                <w:rFonts w:asciiTheme="minorHAnsi" w:hAnsiTheme="minorHAnsi"/>
                <w:sz w:val="22"/>
                <w:szCs w:val="22"/>
              </w:rPr>
            </w:pPr>
            <w:r w:rsidRPr="00542036">
              <w:rPr>
                <w:rFonts w:asciiTheme="minorHAnsi" w:hAnsiTheme="minorHAnsi"/>
                <w:sz w:val="22"/>
                <w:szCs w:val="22"/>
              </w:rPr>
              <w:t>&lt; .001</w:t>
            </w:r>
          </w:p>
        </w:tc>
      </w:tr>
      <w:tr w:rsidR="00072449" w:rsidRPr="00415291" w:rsidTr="00B11DEE">
        <w:trPr>
          <w:trHeight w:hRule="exact" w:val="340"/>
        </w:trPr>
        <w:tc>
          <w:tcPr>
            <w:tcW w:w="2802" w:type="dxa"/>
            <w:tcBorders>
              <w:bottom w:val="single" w:sz="4" w:space="0" w:color="auto"/>
            </w:tcBorders>
          </w:tcPr>
          <w:p w:rsidR="00072449" w:rsidRPr="00542036" w:rsidRDefault="00072449" w:rsidP="00072449">
            <w:pPr>
              <w:spacing w:line="240" w:lineRule="auto"/>
              <w:rPr>
                <w:rFonts w:asciiTheme="minorHAnsi" w:hAnsiTheme="minorHAnsi"/>
                <w:sz w:val="22"/>
                <w:szCs w:val="22"/>
                <w:lang w:val="en-US"/>
              </w:rPr>
            </w:pPr>
          </w:p>
        </w:tc>
        <w:tc>
          <w:tcPr>
            <w:tcW w:w="2126" w:type="dxa"/>
            <w:tcBorders>
              <w:bottom w:val="single" w:sz="4" w:space="0" w:color="auto"/>
            </w:tcBorders>
            <w:vAlign w:val="center"/>
            <w:hideMark/>
          </w:tcPr>
          <w:p w:rsidR="00072449" w:rsidRPr="00542036" w:rsidRDefault="00072449" w:rsidP="00072449">
            <w:pPr>
              <w:spacing w:line="240" w:lineRule="auto"/>
              <w:rPr>
                <w:rFonts w:asciiTheme="minorHAnsi" w:hAnsiTheme="minorHAnsi"/>
                <w:sz w:val="22"/>
                <w:szCs w:val="22"/>
                <w:lang w:val="en-US"/>
              </w:rPr>
            </w:pPr>
            <w:r w:rsidRPr="00542036">
              <w:rPr>
                <w:rFonts w:asciiTheme="minorHAnsi" w:hAnsiTheme="minorHAnsi"/>
                <w:sz w:val="22"/>
                <w:szCs w:val="22"/>
              </w:rPr>
              <w:t>Environmental (75.1)</w:t>
            </w:r>
          </w:p>
        </w:tc>
        <w:tc>
          <w:tcPr>
            <w:tcW w:w="1417" w:type="dxa"/>
            <w:tcBorders>
              <w:bottom w:val="single" w:sz="4" w:space="0" w:color="auto"/>
            </w:tcBorders>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lang w:val="en-US"/>
              </w:rPr>
              <w:t>5</w:t>
            </w:r>
            <w:r>
              <w:rPr>
                <w:rFonts w:asciiTheme="minorHAnsi" w:hAnsiTheme="minorHAnsi"/>
                <w:sz w:val="22"/>
                <w:szCs w:val="22"/>
                <w:lang w:val="en-US"/>
              </w:rPr>
              <w:t>9.4</w:t>
            </w:r>
          </w:p>
        </w:tc>
        <w:tc>
          <w:tcPr>
            <w:tcW w:w="1418" w:type="dxa"/>
            <w:tcBorders>
              <w:bottom w:val="single" w:sz="4" w:space="0" w:color="auto"/>
            </w:tcBorders>
            <w:vAlign w:val="center"/>
            <w:hideMark/>
          </w:tcPr>
          <w:p w:rsidR="00072449" w:rsidRPr="00542036" w:rsidRDefault="00072449" w:rsidP="00072449">
            <w:pPr>
              <w:spacing w:line="240" w:lineRule="auto"/>
              <w:jc w:val="center"/>
              <w:rPr>
                <w:rFonts w:asciiTheme="minorHAnsi" w:hAnsiTheme="minorHAnsi"/>
                <w:sz w:val="22"/>
                <w:szCs w:val="22"/>
                <w:lang w:val="en-US"/>
              </w:rPr>
            </w:pPr>
            <w:r w:rsidRPr="00542036">
              <w:rPr>
                <w:rFonts w:asciiTheme="minorHAnsi" w:hAnsiTheme="minorHAnsi"/>
                <w:sz w:val="22"/>
                <w:szCs w:val="22"/>
                <w:lang w:val="en-US"/>
              </w:rPr>
              <w:t>65.</w:t>
            </w:r>
            <w:r>
              <w:rPr>
                <w:rFonts w:asciiTheme="minorHAnsi" w:hAnsiTheme="minorHAnsi"/>
                <w:sz w:val="22"/>
                <w:szCs w:val="22"/>
                <w:lang w:val="en-US"/>
              </w:rPr>
              <w:t>6</w:t>
            </w:r>
          </w:p>
        </w:tc>
        <w:tc>
          <w:tcPr>
            <w:tcW w:w="1192" w:type="dxa"/>
            <w:tcBorders>
              <w:bottom w:val="single" w:sz="4" w:space="0" w:color="auto"/>
            </w:tcBorders>
            <w:vAlign w:val="center"/>
          </w:tcPr>
          <w:p w:rsidR="00072449" w:rsidRPr="00542036" w:rsidRDefault="00072449" w:rsidP="00062E4B">
            <w:pPr>
              <w:spacing w:line="240" w:lineRule="auto"/>
              <w:jc w:val="center"/>
              <w:rPr>
                <w:rFonts w:asciiTheme="minorHAnsi" w:hAnsiTheme="minorHAnsi"/>
                <w:sz w:val="22"/>
                <w:szCs w:val="22"/>
              </w:rPr>
            </w:pPr>
            <w:r w:rsidRPr="00542036">
              <w:rPr>
                <w:rFonts w:asciiTheme="minorHAnsi" w:hAnsiTheme="minorHAnsi"/>
                <w:sz w:val="22"/>
                <w:szCs w:val="22"/>
              </w:rPr>
              <w:t>&lt; .001</w:t>
            </w:r>
          </w:p>
        </w:tc>
      </w:tr>
    </w:tbl>
    <w:p w:rsidR="00072449" w:rsidRPr="00415291" w:rsidRDefault="00072449" w:rsidP="00072449">
      <w:pPr>
        <w:autoSpaceDE w:val="0"/>
        <w:autoSpaceDN w:val="0"/>
        <w:adjustRightInd w:val="0"/>
        <w:spacing w:after="0" w:line="240" w:lineRule="auto"/>
        <w:rPr>
          <w:rFonts w:ascii="Times New Roman" w:hAnsi="Times New Roman"/>
          <w:b/>
          <w:u w:val="single"/>
        </w:rPr>
      </w:pPr>
    </w:p>
    <w:p w:rsidR="00072449" w:rsidRPr="00415291" w:rsidRDefault="00072449" w:rsidP="00072449">
      <w:pPr>
        <w:autoSpaceDE w:val="0"/>
        <w:autoSpaceDN w:val="0"/>
        <w:adjustRightInd w:val="0"/>
        <w:spacing w:after="0" w:line="240" w:lineRule="auto"/>
        <w:rPr>
          <w:rFonts w:ascii="Times New Roman" w:hAnsi="Times New Roman"/>
          <w:b/>
          <w:u w:val="single"/>
        </w:rPr>
      </w:pPr>
    </w:p>
    <w:p w:rsidR="00072449" w:rsidRDefault="00072449" w:rsidP="00072449">
      <w:pPr>
        <w:pStyle w:val="FAREnormaltext"/>
      </w:pPr>
      <w:r>
        <w:t xml:space="preserve">Using the standard deviations of Hawthorne et al.’s (2006) Australian general population sample, </w:t>
      </w:r>
      <w:r w:rsidRPr="00F24B8E">
        <w:t>WHO</w:t>
      </w:r>
      <w:r>
        <w:t>-</w:t>
      </w:r>
      <w:r w:rsidR="00EE7A8F">
        <w:t>QOL</w:t>
      </w:r>
      <w:r w:rsidRPr="00F24B8E">
        <w:t xml:space="preserve"> scores on each domain were then recoded as significant improvement (i.e. &gt;</w:t>
      </w:r>
      <w:r w:rsidR="00D55D25">
        <w:t xml:space="preserve"> </w:t>
      </w:r>
      <w:r w:rsidRPr="00F24B8E">
        <w:t>1 SD increase), no significant change (&lt; 1 SD change), or significant deterioration (&gt; 1 SD decrease). This indicated that 37% of the followed-up sample improved on the psychological domain</w:t>
      </w:r>
      <w:r>
        <w:t>, 3</w:t>
      </w:r>
      <w:r w:rsidR="00D55D25">
        <w:t>6</w:t>
      </w:r>
      <w:r>
        <w:t>% on the social domain, 33</w:t>
      </w:r>
      <w:r w:rsidRPr="00F24B8E">
        <w:t>% on the environmental domain and 2</w:t>
      </w:r>
      <w:r>
        <w:t>8</w:t>
      </w:r>
      <w:r w:rsidRPr="00F24B8E">
        <w:t>% on the physical domain (Figure 3.</w:t>
      </w:r>
      <w:r w:rsidR="00A52F42">
        <w:t>8</w:t>
      </w:r>
      <w:r w:rsidRPr="00F24B8E">
        <w:t>).</w:t>
      </w:r>
      <w:r w:rsidR="00033AEC">
        <w:t xml:space="preserve"> In summary this indicates that irrespective of PIT, treatment significantly improves quality of life for the majority of </w:t>
      </w:r>
      <w:r w:rsidR="00FF4A78">
        <w:t>participants</w:t>
      </w:r>
      <w:r w:rsidR="00033AEC">
        <w:t>.</w:t>
      </w:r>
    </w:p>
    <w:p w:rsidR="005A0C62" w:rsidRDefault="00CA0650" w:rsidP="005A0C62">
      <w:pPr>
        <w:spacing w:line="240" w:lineRule="auto"/>
        <w:rPr>
          <w:b/>
        </w:rPr>
      </w:pPr>
      <w:r w:rsidRPr="00CA0650">
        <w:rPr>
          <w:b/>
          <w:noProof/>
          <w:lang w:eastAsia="en-AU"/>
        </w:rPr>
        <w:drawing>
          <wp:inline distT="0" distB="0" distL="0" distR="0">
            <wp:extent cx="5500048" cy="2374711"/>
            <wp:effectExtent l="0" t="0" r="5715" b="6985"/>
            <wp:docPr id="25" name="Chart 7" descr="Column graph showing the direction of change in each WHO-QOL domain between baseline and follow-up." title="Figure 3.8  Direction of change in each WHO-QOL domain between baseline and follow-up"/>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5A0C62" w:rsidRDefault="005A0C62" w:rsidP="00E41BCC">
      <w:pPr>
        <w:pStyle w:val="FARETableStyle1"/>
      </w:pPr>
      <w:bookmarkStart w:id="126" w:name="_Toc398105117"/>
      <w:proofErr w:type="gramStart"/>
      <w:r w:rsidRPr="00E41BCC">
        <w:t xml:space="preserve">Figure </w:t>
      </w:r>
      <w:r w:rsidR="00BE3D19" w:rsidRPr="00E41BCC">
        <w:fldChar w:fldCharType="begin"/>
      </w:r>
      <w:r w:rsidRPr="00E41BCC">
        <w:instrText xml:space="preserve"> STYLEREF 1 \s </w:instrText>
      </w:r>
      <w:r w:rsidR="00BE3D19" w:rsidRPr="00E41BCC">
        <w:fldChar w:fldCharType="separate"/>
      </w:r>
      <w:r w:rsidR="00E150CA">
        <w:rPr>
          <w:noProof/>
        </w:rPr>
        <w:t>3</w:t>
      </w:r>
      <w:r w:rsidR="00BE3D19" w:rsidRPr="00E41BCC">
        <w:fldChar w:fldCharType="end"/>
      </w:r>
      <w:r w:rsidRPr="00E41BCC">
        <w:t>.</w:t>
      </w:r>
      <w:proofErr w:type="gramEnd"/>
      <w:r w:rsidR="00BE3D19" w:rsidRPr="00E41BCC">
        <w:fldChar w:fldCharType="begin"/>
      </w:r>
      <w:r w:rsidRPr="00E41BCC">
        <w:instrText xml:space="preserve"> SEQ Figure \* ARABIC \s 1 </w:instrText>
      </w:r>
      <w:r w:rsidR="00BE3D19" w:rsidRPr="00E41BCC">
        <w:fldChar w:fldCharType="separate"/>
      </w:r>
      <w:r w:rsidR="00E150CA">
        <w:rPr>
          <w:noProof/>
        </w:rPr>
        <w:t>8</w:t>
      </w:r>
      <w:r w:rsidR="00BE3D19" w:rsidRPr="00E41BCC">
        <w:fldChar w:fldCharType="end"/>
      </w:r>
      <w:r w:rsidR="006244F5" w:rsidRPr="00E41BCC">
        <w:t xml:space="preserve"> </w:t>
      </w:r>
      <w:r w:rsidRPr="00E41BCC">
        <w:t xml:space="preserve"> Direction of change in each WHO-</w:t>
      </w:r>
      <w:r w:rsidR="00EE7A8F" w:rsidRPr="00E41BCC">
        <w:t>QOL</w:t>
      </w:r>
      <w:r w:rsidRPr="00E41BCC">
        <w:t xml:space="preserve"> domain</w:t>
      </w:r>
      <w:r w:rsidR="00033AEC" w:rsidRPr="00E41BCC">
        <w:t xml:space="preserve"> between baseline and follow-up</w:t>
      </w:r>
      <w:bookmarkEnd w:id="126"/>
    </w:p>
    <w:p w:rsidR="00072449" w:rsidRPr="00D226A7" w:rsidRDefault="005A0C62" w:rsidP="00072449">
      <w:pPr>
        <w:keepNext/>
        <w:keepLines/>
        <w:spacing w:before="120" w:after="120" w:line="240" w:lineRule="auto"/>
        <w:outlineLvl w:val="0"/>
        <w:rPr>
          <w:rFonts w:ascii="Cambria" w:eastAsia="SimSun" w:hAnsi="Cambria"/>
          <w:bCs/>
          <w:i/>
          <w:sz w:val="24"/>
          <w:szCs w:val="24"/>
        </w:rPr>
      </w:pPr>
      <w:r>
        <w:rPr>
          <w:rFonts w:ascii="Cambria" w:eastAsia="SimSun" w:hAnsi="Cambria"/>
          <w:bCs/>
          <w:i/>
          <w:sz w:val="24"/>
          <w:szCs w:val="24"/>
        </w:rPr>
        <w:lastRenderedPageBreak/>
        <w:t xml:space="preserve"> </w:t>
      </w:r>
      <w:r w:rsidR="00072449">
        <w:rPr>
          <w:rFonts w:ascii="Cambria" w:eastAsia="SimSun" w:hAnsi="Cambria"/>
          <w:bCs/>
          <w:i/>
          <w:sz w:val="24"/>
          <w:szCs w:val="24"/>
        </w:rPr>
        <w:t>(E)</w:t>
      </w:r>
      <w:r w:rsidR="00072449" w:rsidRPr="00D226A7">
        <w:rPr>
          <w:rFonts w:ascii="Cambria" w:eastAsia="SimSun" w:hAnsi="Cambria"/>
          <w:bCs/>
          <w:i/>
          <w:sz w:val="24"/>
          <w:szCs w:val="24"/>
        </w:rPr>
        <w:t>Defining unmet needs</w:t>
      </w:r>
    </w:p>
    <w:p w:rsidR="00072449" w:rsidRDefault="001F0928" w:rsidP="00072449">
      <w:pPr>
        <w:pStyle w:val="FAREnormaltext"/>
      </w:pPr>
      <w:r>
        <w:t xml:space="preserve">It was hypothesised </w:t>
      </w:r>
      <w:proofErr w:type="gramStart"/>
      <w:r>
        <w:t xml:space="preserve">that </w:t>
      </w:r>
      <w:r w:rsidR="00072449">
        <w:t xml:space="preserve"> </w:t>
      </w:r>
      <w:r w:rsidR="006D29AE">
        <w:t>participants</w:t>
      </w:r>
      <w:proofErr w:type="gramEnd"/>
      <w:r w:rsidR="00072449">
        <w:t xml:space="preserve"> with more extensive AOD specialist treatment and greater engagement with community service would achieve better outcomes. However not all </w:t>
      </w:r>
      <w:r w:rsidR="00EE7A8F" w:rsidRPr="00EE7A8F">
        <w:t>participant</w:t>
      </w:r>
      <w:r w:rsidR="00EE7A8F">
        <w:t>s</w:t>
      </w:r>
      <w:r w:rsidR="00072449">
        <w:t xml:space="preserve"> would need to engage with all of the various community services examined. It was expected that </w:t>
      </w:r>
      <w:r w:rsidR="00EE7A8F" w:rsidRPr="00EE7A8F">
        <w:t>participant</w:t>
      </w:r>
      <w:r w:rsidR="00EE7A8F">
        <w:t>s</w:t>
      </w:r>
      <w:r w:rsidR="00072449">
        <w:t xml:space="preserve"> who were homeless or unemployed at baseline would achieve better outcomes if they engaged with employment/housing agencies during the one-year period, and that those who did not engage with these services would have had an on-going ‘unmet need’. As there was no measure of mental health morbidity at baseline, the psychological domain score on the WHO-</w:t>
      </w:r>
      <w:r w:rsidR="00EE7A8F">
        <w:t>QOL</w:t>
      </w:r>
      <w:r w:rsidR="00072449">
        <w:t xml:space="preserve"> was used as a proxy measure of psychological ill-health (&gt;</w:t>
      </w:r>
      <w:r w:rsidR="00D55D25">
        <w:t xml:space="preserve"> </w:t>
      </w:r>
      <w:r w:rsidR="00072449">
        <w:t xml:space="preserve">1.5 SD below Australian norms), with an expectation that those </w:t>
      </w:r>
      <w:r w:rsidR="00EE7A8F" w:rsidRPr="00EE7A8F">
        <w:t>participant</w:t>
      </w:r>
      <w:r w:rsidR="00072449">
        <w:t>s would have done better had they engaged with mental health services and that there would be an unmet need in relation to mental health if they had not. In total, 25% of the sample was identified as having an unmet need for employment services, (3</w:t>
      </w:r>
      <w:r w:rsidR="00D55D25">
        <w:t>8</w:t>
      </w:r>
      <w:r w:rsidR="00072449">
        <w:t>% among long-term residential participants, 2</w:t>
      </w:r>
      <w:r w:rsidR="00D55D25">
        <w:t>1</w:t>
      </w:r>
      <w:r w:rsidR="00072449">
        <w:t>% among outpatient participants, and 2</w:t>
      </w:r>
      <w:r w:rsidR="00D55D25">
        <w:t>2</w:t>
      </w:r>
      <w:r w:rsidR="00072449">
        <w:t>% among acute withdrawal participants</w:t>
      </w:r>
      <w:r w:rsidR="00D55D25">
        <w:t>;</w:t>
      </w:r>
      <w:r w:rsidR="00072449">
        <w:t xml:space="preserve"> p &lt; .0</w:t>
      </w:r>
      <w:r w:rsidR="00D55D25">
        <w:t>0</w:t>
      </w:r>
      <w:r w:rsidR="00072449">
        <w:t>1). Unmet housing service needs were identified in 14% of the sample (1</w:t>
      </w:r>
      <w:r w:rsidR="000D6334">
        <w:t>5</w:t>
      </w:r>
      <w:r w:rsidR="00072449">
        <w:t>% among long-term residential participants, 12% among outpatient participants, and 15% among acute withdrawal participants</w:t>
      </w:r>
      <w:r w:rsidR="000D6334">
        <w:t>; p = .64</w:t>
      </w:r>
      <w:r w:rsidR="00072449">
        <w:t>). Unmet mental health service needs were identified in 34% of the sample (2</w:t>
      </w:r>
      <w:r w:rsidR="000D6334">
        <w:t>8</w:t>
      </w:r>
      <w:r w:rsidR="00072449">
        <w:t>% among long-term residential participants, 35% among outpatient participants, and 3</w:t>
      </w:r>
      <w:r w:rsidR="000D6334">
        <w:t>8</w:t>
      </w:r>
      <w:r w:rsidR="00072449">
        <w:t>% among acute withdrawal participants</w:t>
      </w:r>
      <w:r w:rsidR="000D6334">
        <w:t>; p = .13</w:t>
      </w:r>
      <w:r w:rsidR="00072449">
        <w:t>).</w:t>
      </w:r>
    </w:p>
    <w:p w:rsidR="00072449" w:rsidRDefault="00072449" w:rsidP="0034684A">
      <w:pPr>
        <w:pStyle w:val="FAREH3"/>
      </w:pPr>
      <w:r>
        <w:t>Predictors of treatment success</w:t>
      </w:r>
    </w:p>
    <w:p w:rsidR="00072449" w:rsidRPr="00541C92" w:rsidRDefault="00072449" w:rsidP="00072449">
      <w:pPr>
        <w:autoSpaceDE w:val="0"/>
        <w:autoSpaceDN w:val="0"/>
        <w:adjustRightInd w:val="0"/>
        <w:spacing w:after="0" w:line="240" w:lineRule="auto"/>
        <w:rPr>
          <w:b/>
          <w:lang w:val="en-GB"/>
        </w:rPr>
      </w:pPr>
      <w:r w:rsidRPr="00541C92">
        <w:rPr>
          <w:b/>
          <w:lang w:val="en-GB"/>
        </w:rPr>
        <w:t>Demographic Predictors</w:t>
      </w:r>
    </w:p>
    <w:p w:rsidR="00072449" w:rsidRPr="00F24B8E" w:rsidRDefault="00072449" w:rsidP="00072449">
      <w:pPr>
        <w:pStyle w:val="FAREnormaltext"/>
      </w:pPr>
      <w:r w:rsidRPr="00541C92">
        <w:t xml:space="preserve">Demographic and </w:t>
      </w:r>
      <w:r w:rsidR="00EE7A8F">
        <w:t>PDOC</w:t>
      </w:r>
      <w:r w:rsidRPr="00541C92">
        <w:t xml:space="preserve"> predictors (</w:t>
      </w:r>
      <w:r>
        <w:t xml:space="preserve">transformed </w:t>
      </w:r>
      <w:r w:rsidRPr="00541C92">
        <w:t xml:space="preserve">age, gender, born in Australia, in marriage or de facto relationship at baseline, </w:t>
      </w:r>
      <w:r w:rsidR="00EE7A8F">
        <w:t>PDOC</w:t>
      </w:r>
      <w:r w:rsidRPr="00541C92">
        <w:t xml:space="preserve">, SDS score for </w:t>
      </w:r>
      <w:r w:rsidR="00EE7A8F">
        <w:t>PDOC</w:t>
      </w:r>
      <w:r>
        <w:t xml:space="preserve"> </w:t>
      </w:r>
      <w:r w:rsidRPr="00C06DC9">
        <w:rPr>
          <w:u w:val="single"/>
        </w:rPr>
        <w:t>&gt;</w:t>
      </w:r>
      <w:r>
        <w:t xml:space="preserve"> 7</w:t>
      </w:r>
      <w:r w:rsidRPr="00541C92">
        <w:t xml:space="preserve">) of treatment success (abstinence from </w:t>
      </w:r>
      <w:r w:rsidR="00EE7A8F">
        <w:t>PDOC</w:t>
      </w:r>
      <w:r w:rsidRPr="00541C92">
        <w:t xml:space="preserve"> or &gt; 50% reduction in frequency of use of </w:t>
      </w:r>
      <w:r w:rsidR="00EE7A8F">
        <w:t>PDOC</w:t>
      </w:r>
      <w:r w:rsidRPr="00541C92">
        <w:t xml:space="preserve"> relative to baseline rate of use) were first analysed with binary logistic regression. Being foreign-born was significantly associated with higher likelihood of treatment success (OR = 1.</w:t>
      </w:r>
      <w:r>
        <w:t>8</w:t>
      </w:r>
      <w:r w:rsidR="00D13F2D">
        <w:t>8</w:t>
      </w:r>
      <w:r w:rsidRPr="00541C92">
        <w:t xml:space="preserve">, </w:t>
      </w:r>
      <w:r>
        <w:t>CI = 1.1</w:t>
      </w:r>
      <w:r w:rsidR="00D13F2D">
        <w:t>9</w:t>
      </w:r>
      <w:r>
        <w:t>-2.9</w:t>
      </w:r>
      <w:r w:rsidR="00D13F2D">
        <w:t>9</w:t>
      </w:r>
      <w:r w:rsidRPr="00541C92">
        <w:t xml:space="preserve">), as was </w:t>
      </w:r>
      <w:r w:rsidR="00EE7A8F">
        <w:t>PDOC</w:t>
      </w:r>
      <w:r w:rsidRPr="00541C92">
        <w:t xml:space="preserve"> (p &lt; .001). </w:t>
      </w:r>
      <w:r>
        <w:t xml:space="preserve">Compared with participants for whom alcohol was the </w:t>
      </w:r>
      <w:r w:rsidR="00EE7A8F">
        <w:t>PDOC</w:t>
      </w:r>
      <w:r>
        <w:t>, participants with</w:t>
      </w:r>
      <w:r w:rsidRPr="00541C92">
        <w:t xml:space="preserve"> opioids (OR = </w:t>
      </w:r>
      <w:r w:rsidR="00D13F2D">
        <w:t>1.74</w:t>
      </w:r>
      <w:r w:rsidRPr="00541C92">
        <w:t xml:space="preserve">, </w:t>
      </w:r>
      <w:r>
        <w:t>CI = 1.</w:t>
      </w:r>
      <w:r w:rsidR="00D13F2D">
        <w:t>0</w:t>
      </w:r>
      <w:r>
        <w:t>3-</w:t>
      </w:r>
      <w:r w:rsidR="00D13F2D">
        <w:t>2.93</w:t>
      </w:r>
      <w:r w:rsidRPr="00541C92">
        <w:t>) or meth</w:t>
      </w:r>
      <w:r w:rsidR="00E977AF">
        <w:t>/</w:t>
      </w:r>
      <w:r w:rsidRPr="00541C92">
        <w:t>amphetamine (OR = 3.</w:t>
      </w:r>
      <w:r w:rsidR="00D13F2D">
        <w:t>53</w:t>
      </w:r>
      <w:r w:rsidRPr="00541C92">
        <w:t xml:space="preserve">, </w:t>
      </w:r>
      <w:r>
        <w:t xml:space="preserve">CI = </w:t>
      </w:r>
      <w:r w:rsidR="00D13F2D">
        <w:t>2.00</w:t>
      </w:r>
      <w:r>
        <w:t>-</w:t>
      </w:r>
      <w:r w:rsidR="00D13F2D">
        <w:t>6.22</w:t>
      </w:r>
      <w:r w:rsidRPr="00541C92">
        <w:t xml:space="preserve">) as </w:t>
      </w:r>
      <w:r>
        <w:t>the</w:t>
      </w:r>
      <w:r w:rsidRPr="00541C92">
        <w:t xml:space="preserve"> </w:t>
      </w:r>
      <w:r w:rsidR="00EE7A8F">
        <w:t>PDOC</w:t>
      </w:r>
      <w:r w:rsidRPr="00541C92">
        <w:t xml:space="preserve"> </w:t>
      </w:r>
      <w:r>
        <w:t>had increased</w:t>
      </w:r>
      <w:r w:rsidRPr="00541C92">
        <w:t xml:space="preserve"> likelihood of success. </w:t>
      </w:r>
      <w:r w:rsidR="00EE7A8F">
        <w:t>PDOC</w:t>
      </w:r>
      <w:r w:rsidRPr="00541C92">
        <w:t xml:space="preserve"> and</w:t>
      </w:r>
      <w:r>
        <w:t xml:space="preserve"> being</w:t>
      </w:r>
      <w:r w:rsidRPr="00541C92">
        <w:t xml:space="preserve"> born in Australia were therefore included as predictors in the following analyses. </w:t>
      </w:r>
      <w:r w:rsidRPr="005A0C62">
        <w:t>(</w:t>
      </w:r>
      <w:r w:rsidR="005A0C62" w:rsidRPr="005A0C62">
        <w:t>Appendix 2.4</w:t>
      </w:r>
      <w:r w:rsidRPr="005A0C62">
        <w:t>)</w:t>
      </w:r>
    </w:p>
    <w:p w:rsidR="00072449" w:rsidRPr="00184C6B" w:rsidRDefault="00072449" w:rsidP="00072449">
      <w:pPr>
        <w:autoSpaceDE w:val="0"/>
        <w:autoSpaceDN w:val="0"/>
        <w:adjustRightInd w:val="0"/>
        <w:spacing w:after="0" w:line="240" w:lineRule="auto"/>
        <w:rPr>
          <w:b/>
          <w:lang w:val="en-GB"/>
        </w:rPr>
      </w:pPr>
      <w:r w:rsidRPr="00184C6B">
        <w:rPr>
          <w:b/>
          <w:lang w:val="en-GB"/>
        </w:rPr>
        <w:t xml:space="preserve">Baseline Predictors (complexity, PIT and </w:t>
      </w:r>
      <w:r w:rsidR="00EE7A8F">
        <w:rPr>
          <w:b/>
          <w:lang w:val="en-GB"/>
        </w:rPr>
        <w:t>PDOC</w:t>
      </w:r>
      <w:r w:rsidRPr="00184C6B">
        <w:rPr>
          <w:b/>
          <w:lang w:val="en-GB"/>
        </w:rPr>
        <w:t>)</w:t>
      </w:r>
    </w:p>
    <w:p w:rsidR="00072449" w:rsidRPr="00541C92" w:rsidRDefault="00072449" w:rsidP="00072449">
      <w:pPr>
        <w:pStyle w:val="FAREnormaltext"/>
      </w:pPr>
      <w:r w:rsidRPr="00541C92">
        <w:t>The subsequent model examined treatment success with PIT type, PIT completion, unmet need in terms of employment, housing and mental health (meaning problem present at baseline but did not engage with the relevant service post-PIT), any post-PIT AOD service use</w:t>
      </w:r>
      <w:r w:rsidR="00851224">
        <w:t xml:space="preserve"> (including pharmacotherapy)</w:t>
      </w:r>
      <w:r w:rsidRPr="00541C92">
        <w:t xml:space="preserve">, any </w:t>
      </w:r>
      <w:r>
        <w:t xml:space="preserve">‘other’ </w:t>
      </w:r>
      <w:r w:rsidRPr="00541C92">
        <w:t>community service use (</w:t>
      </w:r>
      <w:r>
        <w:t xml:space="preserve">i.e. excluding </w:t>
      </w:r>
      <w:r w:rsidRPr="00541C92">
        <w:t>housing, mental health and employment agencies)</w:t>
      </w:r>
      <w:r>
        <w:t>,</w:t>
      </w:r>
      <w:r w:rsidRPr="00541C92">
        <w:t xml:space="preserve"> any mutual aid attendance</w:t>
      </w:r>
      <w:r w:rsidR="00851224">
        <w:t>,</w:t>
      </w:r>
      <w:r w:rsidRPr="00541C92">
        <w:t xml:space="preserve"> interval between ba</w:t>
      </w:r>
      <w:r>
        <w:t>seline and follow-up (in days)</w:t>
      </w:r>
      <w:r w:rsidR="00851224">
        <w:t>, and transformed PIT duration</w:t>
      </w:r>
      <w:r>
        <w:t>.</w:t>
      </w:r>
    </w:p>
    <w:p w:rsidR="00072449" w:rsidRDefault="00072449" w:rsidP="00072449">
      <w:pPr>
        <w:pStyle w:val="FAREnormaltext"/>
      </w:pPr>
      <w:r w:rsidRPr="00541C92">
        <w:t xml:space="preserve">Having </w:t>
      </w:r>
      <w:r>
        <w:t>opioids</w:t>
      </w:r>
      <w:r w:rsidRPr="00541C92">
        <w:t xml:space="preserve"> (OR = </w:t>
      </w:r>
      <w:r w:rsidR="0084031D">
        <w:t>1.9</w:t>
      </w:r>
      <w:r>
        <w:t>2</w:t>
      </w:r>
      <w:r w:rsidRPr="00541C92">
        <w:t xml:space="preserve">, </w:t>
      </w:r>
      <w:r>
        <w:t>CI = 1.</w:t>
      </w:r>
      <w:r w:rsidR="0084031D">
        <w:t>08</w:t>
      </w:r>
      <w:r>
        <w:t>-</w:t>
      </w:r>
      <w:r w:rsidR="0084031D">
        <w:t>3.42</w:t>
      </w:r>
      <w:r w:rsidRPr="00541C92">
        <w:t xml:space="preserve">), or </w:t>
      </w:r>
      <w:r>
        <w:t>meth</w:t>
      </w:r>
      <w:r w:rsidR="00E977AF">
        <w:t>/</w:t>
      </w:r>
      <w:r>
        <w:t>amphetamine</w:t>
      </w:r>
      <w:r w:rsidRPr="00541C92">
        <w:t xml:space="preserve"> (OR = </w:t>
      </w:r>
      <w:r w:rsidR="0084031D">
        <w:t>4.05</w:t>
      </w:r>
      <w:r w:rsidRPr="00541C92">
        <w:t xml:space="preserve">, </w:t>
      </w:r>
      <w:r>
        <w:t>CI = 2.</w:t>
      </w:r>
      <w:r w:rsidR="0084031D">
        <w:t>2</w:t>
      </w:r>
      <w:r>
        <w:t>1-7.</w:t>
      </w:r>
      <w:r w:rsidR="0084031D">
        <w:t>42</w:t>
      </w:r>
      <w:r w:rsidRPr="00541C92">
        <w:t xml:space="preserve">) relative to alcohol as the </w:t>
      </w:r>
      <w:r w:rsidR="00EE7A8F">
        <w:t>PDOC</w:t>
      </w:r>
      <w:r w:rsidRPr="00541C92">
        <w:t xml:space="preserve">, PIT-completion (OR = </w:t>
      </w:r>
      <w:r w:rsidR="00BA0016">
        <w:t>2.01</w:t>
      </w:r>
      <w:r w:rsidRPr="00541C92">
        <w:t xml:space="preserve">, </w:t>
      </w:r>
      <w:r>
        <w:t>CI = 1.</w:t>
      </w:r>
      <w:r w:rsidR="00BA0016">
        <w:t>27</w:t>
      </w:r>
      <w:r>
        <w:t>-</w:t>
      </w:r>
      <w:r w:rsidR="00BA0016">
        <w:t>3.18</w:t>
      </w:r>
      <w:r w:rsidRPr="00541C92">
        <w:t xml:space="preserve">), and mutual aid attendance </w:t>
      </w:r>
      <w:r>
        <w:t xml:space="preserve">in the 12 months prior to follow-up </w:t>
      </w:r>
      <w:r w:rsidRPr="00541C92">
        <w:t>(OR = 1.8</w:t>
      </w:r>
      <w:r w:rsidR="00BA0016">
        <w:t>0</w:t>
      </w:r>
      <w:r w:rsidRPr="00541C92">
        <w:t xml:space="preserve">, </w:t>
      </w:r>
      <w:r>
        <w:t>CI = 1.</w:t>
      </w:r>
      <w:r w:rsidR="00BA0016">
        <w:t>19</w:t>
      </w:r>
      <w:r>
        <w:t>-2.</w:t>
      </w:r>
      <w:r w:rsidR="00BA0016">
        <w:t>72</w:t>
      </w:r>
      <w:r w:rsidRPr="00541C92">
        <w:t>) were significant predictors.</w:t>
      </w:r>
      <w:r>
        <w:t xml:space="preserve"> Being foreign-born also predicted a higher likelihood of success (OR = 1.</w:t>
      </w:r>
      <w:r w:rsidR="00BA0016">
        <w:t>93</w:t>
      </w:r>
      <w:r>
        <w:t>, CI = 1.1</w:t>
      </w:r>
      <w:r w:rsidR="00BA0016">
        <w:t>8</w:t>
      </w:r>
      <w:r>
        <w:t>-3.</w:t>
      </w:r>
      <w:r w:rsidR="00BA0016">
        <w:t>16</w:t>
      </w:r>
      <w:r>
        <w:t>), while a longer interval between baseline and follow-up was associated with reduced likelihood of success (OR = 0.99</w:t>
      </w:r>
      <w:r w:rsidR="00BA0016">
        <w:t>7</w:t>
      </w:r>
      <w:r>
        <w:t>, CI = 0.994-0.999</w:t>
      </w:r>
      <w:r w:rsidR="00BA0016">
        <w:t>8</w:t>
      </w:r>
      <w:r>
        <w:t>).</w:t>
      </w:r>
      <w:r w:rsidR="00BA0016">
        <w:t xml:space="preserve"> Surprisingly, after controlling for the effects of other variables, increased PIT duration </w:t>
      </w:r>
      <w:r w:rsidR="00BA0016">
        <w:lastRenderedPageBreak/>
        <w:t>predicted reduced likelihood of success (OR = 0.25, CI = 0.07-0.86</w:t>
      </w:r>
      <w:r w:rsidR="009E2862">
        <w:t>)</w:t>
      </w:r>
      <w:r w:rsidR="00BA0016">
        <w:t>.</w:t>
      </w:r>
      <w:r w:rsidRPr="00541C92">
        <w:t xml:space="preserve"> Unmet need</w:t>
      </w:r>
      <w:r w:rsidR="00D53EC0">
        <w:t>s</w:t>
      </w:r>
      <w:r w:rsidRPr="00541C92">
        <w:t>, attending AOD services post-PIT</w:t>
      </w:r>
      <w:r w:rsidR="00D53EC0">
        <w:t>,</w:t>
      </w:r>
      <w:r w:rsidRPr="00541C92">
        <w:t xml:space="preserve"> and community service engagement did not predict treatment success.</w:t>
      </w:r>
      <w:r>
        <w:t xml:space="preserve"> However, the positive effect for mutual aid attendance is likely to reflect the high rates of (often mandatory) mutual aid attendance in the long-term residential group, since mutual aid was not a significant predictor when analyses were restricted to the other 2 PIT types</w:t>
      </w:r>
      <w:r w:rsidR="00801471">
        <w:t xml:space="preserve"> </w:t>
      </w:r>
      <w:r w:rsidR="00801471" w:rsidRPr="005A0C62">
        <w:t>(Appendix 2.4)</w:t>
      </w:r>
      <w:r w:rsidR="00533B92">
        <w:t>.</w:t>
      </w:r>
    </w:p>
    <w:p w:rsidR="00072449" w:rsidRPr="000172AB" w:rsidRDefault="00072449" w:rsidP="0034684A">
      <w:pPr>
        <w:pStyle w:val="FAREH3"/>
      </w:pPr>
      <w:r w:rsidRPr="000172AB">
        <w:t xml:space="preserve">Predictors of abstinence from </w:t>
      </w:r>
      <w:r w:rsidR="00EE7A8F" w:rsidRPr="000172AB">
        <w:t>PDOC</w:t>
      </w:r>
    </w:p>
    <w:p w:rsidR="00072449" w:rsidRPr="00ED5D85" w:rsidRDefault="00072449" w:rsidP="00072449">
      <w:pPr>
        <w:autoSpaceDE w:val="0"/>
        <w:autoSpaceDN w:val="0"/>
        <w:adjustRightInd w:val="0"/>
        <w:spacing w:after="0" w:line="240" w:lineRule="auto"/>
        <w:rPr>
          <w:b/>
          <w:lang w:val="en-GB"/>
        </w:rPr>
      </w:pPr>
      <w:r w:rsidRPr="00ED5D85">
        <w:rPr>
          <w:b/>
          <w:lang w:val="en-GB"/>
        </w:rPr>
        <w:t>Demographic Predictors</w:t>
      </w:r>
    </w:p>
    <w:p w:rsidR="00072449" w:rsidRDefault="00072449" w:rsidP="00072449">
      <w:pPr>
        <w:autoSpaceDE w:val="0"/>
        <w:autoSpaceDN w:val="0"/>
        <w:adjustRightInd w:val="0"/>
        <w:spacing w:after="0"/>
        <w:jc w:val="both"/>
        <w:rPr>
          <w:lang w:val="en-GB"/>
        </w:rPr>
      </w:pPr>
      <w:r w:rsidRPr="00B26471">
        <w:rPr>
          <w:lang w:val="en-GB"/>
        </w:rPr>
        <w:t xml:space="preserve">Demographic and </w:t>
      </w:r>
      <w:r w:rsidR="00EE7A8F">
        <w:rPr>
          <w:lang w:val="en-GB"/>
        </w:rPr>
        <w:t>PDOC</w:t>
      </w:r>
      <w:r w:rsidRPr="00B26471">
        <w:rPr>
          <w:lang w:val="en-GB"/>
        </w:rPr>
        <w:t xml:space="preserve"> predictors (transformed age, gender, born in Australia, in marriage or de facto r</w:t>
      </w:r>
      <w:r>
        <w:rPr>
          <w:lang w:val="en-GB"/>
        </w:rPr>
        <w:t xml:space="preserve">elationship at baseline, </w:t>
      </w:r>
      <w:r w:rsidR="00EE7A8F">
        <w:rPr>
          <w:lang w:val="en-GB"/>
        </w:rPr>
        <w:t>PDOC</w:t>
      </w:r>
      <w:r>
        <w:rPr>
          <w:lang w:val="en-GB"/>
        </w:rPr>
        <w:t>, SDS score</w:t>
      </w:r>
      <w:r w:rsidRPr="00B26471">
        <w:rPr>
          <w:lang w:val="en-GB"/>
        </w:rPr>
        <w:t xml:space="preserve"> for </w:t>
      </w:r>
      <w:r w:rsidR="00EE7A8F">
        <w:rPr>
          <w:lang w:val="en-GB"/>
        </w:rPr>
        <w:t>PDOC</w:t>
      </w:r>
      <w:r w:rsidRPr="00B26471">
        <w:rPr>
          <w:lang w:val="en-GB"/>
        </w:rPr>
        <w:t xml:space="preserve"> </w:t>
      </w:r>
      <w:r w:rsidRPr="00C06DC9">
        <w:rPr>
          <w:u w:val="single"/>
          <w:lang w:val="en-GB"/>
        </w:rPr>
        <w:t>&gt;</w:t>
      </w:r>
      <w:r w:rsidRPr="00B26471">
        <w:rPr>
          <w:lang w:val="en-GB"/>
        </w:rPr>
        <w:t xml:space="preserve"> 7) of abstinence from the </w:t>
      </w:r>
      <w:r w:rsidR="00EE7A8F">
        <w:rPr>
          <w:lang w:val="en-GB"/>
        </w:rPr>
        <w:t>PDOC</w:t>
      </w:r>
      <w:r w:rsidRPr="00B26471">
        <w:rPr>
          <w:lang w:val="en-GB"/>
        </w:rPr>
        <w:t xml:space="preserve"> were first analysed with binary logistic regression. </w:t>
      </w:r>
      <w:r w:rsidR="00EE7A8F">
        <w:rPr>
          <w:lang w:val="en-GB"/>
        </w:rPr>
        <w:t>PDOC</w:t>
      </w:r>
      <w:r w:rsidRPr="00B26471">
        <w:rPr>
          <w:lang w:val="en-GB"/>
        </w:rPr>
        <w:t xml:space="preserve"> was the only significant predictor of abstinence (p &lt; .001). Participants who reported opioids (OR = 2.38, CI = 1.41-4.00) or meth</w:t>
      </w:r>
      <w:r w:rsidR="00E977AF">
        <w:rPr>
          <w:lang w:val="en-GB"/>
        </w:rPr>
        <w:t>/</w:t>
      </w:r>
      <w:r w:rsidRPr="00B26471">
        <w:rPr>
          <w:lang w:val="en-GB"/>
        </w:rPr>
        <w:t xml:space="preserve">amphetamine (OR = 4.42, CI = 2.57-7.61) as their </w:t>
      </w:r>
      <w:r w:rsidR="00EE7A8F">
        <w:rPr>
          <w:lang w:val="en-GB"/>
        </w:rPr>
        <w:t>PDOC</w:t>
      </w:r>
      <w:r w:rsidRPr="00B26471">
        <w:rPr>
          <w:lang w:val="en-GB"/>
        </w:rPr>
        <w:t xml:space="preserve"> were more likely to</w:t>
      </w:r>
      <w:r w:rsidR="002A7D29">
        <w:rPr>
          <w:lang w:val="en-GB"/>
        </w:rPr>
        <w:t xml:space="preserve"> be</w:t>
      </w:r>
      <w:r w:rsidRPr="00B26471">
        <w:rPr>
          <w:lang w:val="en-GB"/>
        </w:rPr>
        <w:t xml:space="preserve"> abstinent than those who reported alcohol as their </w:t>
      </w:r>
      <w:r w:rsidR="00EE7A8F">
        <w:rPr>
          <w:lang w:val="en-GB"/>
        </w:rPr>
        <w:t>PDOC</w:t>
      </w:r>
      <w:r w:rsidRPr="00B26471">
        <w:rPr>
          <w:lang w:val="en-GB"/>
        </w:rPr>
        <w:t xml:space="preserve">. </w:t>
      </w:r>
      <w:r w:rsidR="00EE7A8F">
        <w:rPr>
          <w:lang w:val="en-GB"/>
        </w:rPr>
        <w:t>PDOC</w:t>
      </w:r>
      <w:r w:rsidRPr="00B26471">
        <w:rPr>
          <w:lang w:val="en-GB"/>
        </w:rPr>
        <w:t xml:space="preserve"> was therefore included in the following regression model</w:t>
      </w:r>
    </w:p>
    <w:p w:rsidR="00072449" w:rsidRDefault="00072449" w:rsidP="00072449">
      <w:pPr>
        <w:autoSpaceDE w:val="0"/>
        <w:autoSpaceDN w:val="0"/>
        <w:adjustRightInd w:val="0"/>
        <w:spacing w:after="0" w:line="240" w:lineRule="auto"/>
        <w:rPr>
          <w:lang w:val="en-GB"/>
        </w:rPr>
      </w:pPr>
    </w:p>
    <w:p w:rsidR="00072449" w:rsidRPr="00ED5D85" w:rsidRDefault="00072449" w:rsidP="00072449">
      <w:pPr>
        <w:autoSpaceDE w:val="0"/>
        <w:autoSpaceDN w:val="0"/>
        <w:adjustRightInd w:val="0"/>
        <w:spacing w:after="0" w:line="240" w:lineRule="auto"/>
        <w:rPr>
          <w:b/>
          <w:lang w:val="en-GB"/>
        </w:rPr>
      </w:pPr>
      <w:r w:rsidRPr="00ED5D85">
        <w:rPr>
          <w:b/>
          <w:lang w:val="en-GB"/>
        </w:rPr>
        <w:t>Predictors (need and overall service engagement)</w:t>
      </w:r>
    </w:p>
    <w:p w:rsidR="00072449" w:rsidRPr="00ED5D85" w:rsidRDefault="00072449" w:rsidP="00072449">
      <w:pPr>
        <w:pStyle w:val="FAREnormaltext"/>
      </w:pPr>
      <w:r w:rsidRPr="00ED5D85">
        <w:t xml:space="preserve">The model examined abstinence from the </w:t>
      </w:r>
      <w:r w:rsidR="00EE7A8F">
        <w:t>PDOC</w:t>
      </w:r>
      <w:r w:rsidRPr="00ED5D85">
        <w:t xml:space="preserve"> as the outcome with PIT type, PIT completion, unmet need in terms of employment, housing and mental health, any post-PIT AOD service use, any community service use (other than housing, mental health and employment agencies)</w:t>
      </w:r>
      <w:r>
        <w:t>,</w:t>
      </w:r>
      <w:r w:rsidRPr="00ED5D85">
        <w:t xml:space="preserve"> any mutual aid attendance</w:t>
      </w:r>
      <w:r>
        <w:t xml:space="preserve">, </w:t>
      </w:r>
      <w:r w:rsidRPr="00ED5D85">
        <w:t xml:space="preserve">interval between baseline and follow-up (in days), </w:t>
      </w:r>
      <w:r w:rsidR="00EE7A8F">
        <w:t>PDOC</w:t>
      </w:r>
      <w:r w:rsidR="002A7D29">
        <w:t>, and transformed PIT duration</w:t>
      </w:r>
      <w:r w:rsidRPr="00ED5D85">
        <w:t xml:space="preserve">. </w:t>
      </w:r>
      <w:r w:rsidR="00EE7A8F">
        <w:t>PDOC</w:t>
      </w:r>
      <w:r w:rsidRPr="00ED5D85">
        <w:t xml:space="preserve"> was again a significant predictor (p &lt; .001) and opioids (OR = 2.</w:t>
      </w:r>
      <w:r w:rsidR="00724661">
        <w:t>18</w:t>
      </w:r>
      <w:r w:rsidRPr="00ED5D85">
        <w:t xml:space="preserve">, </w:t>
      </w:r>
      <w:r>
        <w:t>CI = 1.</w:t>
      </w:r>
      <w:r w:rsidR="00724661">
        <w:t>21</w:t>
      </w:r>
      <w:r>
        <w:t>-</w:t>
      </w:r>
      <w:r w:rsidR="00724661">
        <w:t>3</w:t>
      </w:r>
      <w:r>
        <w:t>.9</w:t>
      </w:r>
      <w:r w:rsidR="00724661">
        <w:t>3</w:t>
      </w:r>
      <w:r w:rsidRPr="00ED5D85">
        <w:t>) and meth</w:t>
      </w:r>
      <w:r w:rsidR="00E977AF">
        <w:t>/</w:t>
      </w:r>
      <w:r w:rsidRPr="00ED5D85">
        <w:t xml:space="preserve">amphetamine (OR = </w:t>
      </w:r>
      <w:r>
        <w:t>3.</w:t>
      </w:r>
      <w:r w:rsidR="00724661">
        <w:t>88</w:t>
      </w:r>
      <w:r w:rsidRPr="00ED5D85">
        <w:t xml:space="preserve">, </w:t>
      </w:r>
      <w:r>
        <w:t>CI = 2.</w:t>
      </w:r>
      <w:r w:rsidR="00724661">
        <w:t>18</w:t>
      </w:r>
      <w:r>
        <w:t>-6.9</w:t>
      </w:r>
      <w:r w:rsidR="00724661">
        <w:t>1</w:t>
      </w:r>
      <w:r w:rsidRPr="00ED5D85">
        <w:t xml:space="preserve">) were again associated with higher rates of abstinence than alcohol. PIT type was also a significant predictor (p &lt; .001), with long-term residential treatment associated with significantly higher (OR = </w:t>
      </w:r>
      <w:r w:rsidR="00724661">
        <w:t>2.06</w:t>
      </w:r>
      <w:r w:rsidRPr="00ED5D85">
        <w:t xml:space="preserve">, </w:t>
      </w:r>
      <w:r>
        <w:t>CI = 1.1</w:t>
      </w:r>
      <w:r w:rsidR="00724661">
        <w:t>6</w:t>
      </w:r>
      <w:r>
        <w:t>-3.</w:t>
      </w:r>
      <w:r w:rsidR="00724661">
        <w:t>6</w:t>
      </w:r>
      <w:r>
        <w:t>6</w:t>
      </w:r>
      <w:r w:rsidRPr="00ED5D85">
        <w:t>), and acute withdrawal with non-significantly lower (OR = 0.</w:t>
      </w:r>
      <w:r w:rsidR="00724661">
        <w:t>58</w:t>
      </w:r>
      <w:r w:rsidRPr="00ED5D85">
        <w:t xml:space="preserve">, </w:t>
      </w:r>
      <w:r>
        <w:t>CI = 0.</w:t>
      </w:r>
      <w:r w:rsidR="00724661">
        <w:t>28</w:t>
      </w:r>
      <w:r>
        <w:t>-1.</w:t>
      </w:r>
      <w:r w:rsidR="00724661">
        <w:t>23</w:t>
      </w:r>
      <w:r w:rsidRPr="00ED5D85">
        <w:t>) rates of abstinence than outpatient treatment. PIT completion (OR = 2.</w:t>
      </w:r>
      <w:r w:rsidR="00724661">
        <w:t>73</w:t>
      </w:r>
      <w:r w:rsidRPr="00ED5D85">
        <w:t xml:space="preserve">, </w:t>
      </w:r>
      <w:r>
        <w:t>CI = 1.6</w:t>
      </w:r>
      <w:r w:rsidR="00724661">
        <w:t>6</w:t>
      </w:r>
      <w:r>
        <w:t>-4.</w:t>
      </w:r>
      <w:r w:rsidR="00724661">
        <w:t>50</w:t>
      </w:r>
      <w:r w:rsidRPr="00ED5D85">
        <w:t>)</w:t>
      </w:r>
      <w:r w:rsidR="00724661">
        <w:t>,</w:t>
      </w:r>
      <w:r w:rsidRPr="00ED5D85">
        <w:t xml:space="preserve"> engagement in mutual aid in the 12 months prior to follow-up (OR = 1.</w:t>
      </w:r>
      <w:r>
        <w:t>6</w:t>
      </w:r>
      <w:r w:rsidR="00724661">
        <w:t>7</w:t>
      </w:r>
      <w:r w:rsidRPr="00ED5D85">
        <w:t xml:space="preserve">, </w:t>
      </w:r>
      <w:r>
        <w:t>CI = 1.</w:t>
      </w:r>
      <w:r w:rsidR="00724661">
        <w:t>09</w:t>
      </w:r>
      <w:r>
        <w:t>-2.5</w:t>
      </w:r>
      <w:r w:rsidR="00724661">
        <w:t>7</w:t>
      </w:r>
      <w:r w:rsidRPr="00ED5D85">
        <w:t>)</w:t>
      </w:r>
      <w:r w:rsidR="00724661">
        <w:t>, and use of community services</w:t>
      </w:r>
      <w:r w:rsidR="00D64A0C">
        <w:t xml:space="preserve"> (OR = 1.56, CI = 1.04-2.34)</w:t>
      </w:r>
      <w:r w:rsidRPr="00ED5D85">
        <w:t xml:space="preserve"> also significantly predicted higher rates of abstinence</w:t>
      </w:r>
      <w:r>
        <w:t>.</w:t>
      </w:r>
      <w:r w:rsidR="00D64A0C">
        <w:t xml:space="preserve"> Surprisingly, having an unmet need for employment services also predicted increased likelihood of abstinence (OR = 1.67, CI = 1.07-2.62), though given the lack of temporal resolution to determine exactly when participants experienced unemployment and accessed employment services, this is difficult to interpret.</w:t>
      </w:r>
      <w:r>
        <w:t xml:space="preserve"> As with treatment success, the effect of mutual aid appears to be largely driven by the high attendance rates in the long-term residential group</w:t>
      </w:r>
      <w:r w:rsidRPr="00ED5D85">
        <w:t>.</w:t>
      </w:r>
      <w:r>
        <w:t xml:space="preserve"> However, further univariate logistic regression analys</w:t>
      </w:r>
      <w:r w:rsidR="005F5581">
        <w:t>i</w:t>
      </w:r>
      <w:r>
        <w:t xml:space="preserve">s indicated that, among those with any mutual aid attendance, a 10-fold increase in number of mutual aid meetings attended more than doubled the likelihood of achieving abstinence from their </w:t>
      </w:r>
      <w:r w:rsidR="00EE7A8F">
        <w:t>PDOC</w:t>
      </w:r>
      <w:r>
        <w:t xml:space="preserve"> (OR = 2.</w:t>
      </w:r>
      <w:r w:rsidR="005F5581">
        <w:t>3</w:t>
      </w:r>
      <w:r>
        <w:t>4, CI = 1.</w:t>
      </w:r>
      <w:r w:rsidR="005F5581">
        <w:t>58</w:t>
      </w:r>
      <w:r>
        <w:t>-3.</w:t>
      </w:r>
      <w:r w:rsidR="005F5581">
        <w:t>49</w:t>
      </w:r>
      <w:r>
        <w:t xml:space="preserve">). </w:t>
      </w:r>
    </w:p>
    <w:p w:rsidR="00072449" w:rsidRDefault="00072449" w:rsidP="00072449">
      <w:pPr>
        <w:pStyle w:val="FAREnormaltext"/>
      </w:pPr>
      <w:r w:rsidRPr="00ED5D85">
        <w:t xml:space="preserve">A consistent </w:t>
      </w:r>
      <w:r>
        <w:t>finding</w:t>
      </w:r>
      <w:r w:rsidRPr="00ED5D85">
        <w:t xml:space="preserve"> from the regression</w:t>
      </w:r>
      <w:r>
        <w:t xml:space="preserve"> models</w:t>
      </w:r>
      <w:r w:rsidRPr="00ED5D85">
        <w:t xml:space="preserve"> </w:t>
      </w:r>
      <w:r>
        <w:t>is</w:t>
      </w:r>
      <w:r w:rsidRPr="00ED5D85">
        <w:t xml:space="preserve"> that </w:t>
      </w:r>
      <w:r w:rsidR="006D29AE">
        <w:t>participants</w:t>
      </w:r>
      <w:r w:rsidRPr="00ED5D85">
        <w:t xml:space="preserve"> with alcohol as their primary drug of concern </w:t>
      </w:r>
      <w:r>
        <w:t xml:space="preserve">are less likely to achieve reduction of use or abstinence than those with other </w:t>
      </w:r>
      <w:r w:rsidR="00EE7A8F">
        <w:t>PDOC</w:t>
      </w:r>
      <w:r>
        <w:t>s (particularly opioids and meth</w:t>
      </w:r>
      <w:r w:rsidR="00E977AF">
        <w:t>/</w:t>
      </w:r>
      <w:r>
        <w:t>amphetamine)</w:t>
      </w:r>
      <w:r w:rsidRPr="00ED5D85">
        <w:t xml:space="preserve">. </w:t>
      </w:r>
      <w:r>
        <w:t xml:space="preserve">Since </w:t>
      </w:r>
      <w:r w:rsidR="00EE7A8F">
        <w:t>PDOC</w:t>
      </w:r>
      <w:r>
        <w:t xml:space="preserve"> was a significant predictor, the regression analyses</w:t>
      </w:r>
      <w:r w:rsidR="00903AA8" w:rsidRPr="00903AA8">
        <w:t xml:space="preserve"> </w:t>
      </w:r>
      <w:r w:rsidR="00903AA8">
        <w:t>predicting abstinence from PDOC</w:t>
      </w:r>
      <w:r>
        <w:t xml:space="preserve"> were re-run separately for </w:t>
      </w:r>
      <w:r w:rsidR="00903AA8">
        <w:t xml:space="preserve">those with </w:t>
      </w:r>
      <w:r>
        <w:t>alcohol</w:t>
      </w:r>
      <w:r w:rsidR="00903AA8">
        <w:t xml:space="preserve"> as their PDOC</w:t>
      </w:r>
      <w:r>
        <w:t xml:space="preserve"> and</w:t>
      </w:r>
      <w:r w:rsidR="00903AA8">
        <w:t xml:space="preserve"> those with other</w:t>
      </w:r>
      <w:r>
        <w:t xml:space="preserve"> drugs</w:t>
      </w:r>
      <w:r w:rsidR="00903AA8">
        <w:t xml:space="preserve"> (other than tobacco) as their PDOC</w:t>
      </w:r>
      <w:r>
        <w:t xml:space="preserve">. For </w:t>
      </w:r>
      <w:r w:rsidR="006D29AE">
        <w:t>participants</w:t>
      </w:r>
      <w:r>
        <w:t xml:space="preserve"> with alcohol as their </w:t>
      </w:r>
      <w:r w:rsidR="00EE7A8F">
        <w:t>PDOC</w:t>
      </w:r>
      <w:r>
        <w:t>, having residential rehabilitation as the PIT (OR</w:t>
      </w:r>
      <w:r w:rsidR="007713E9">
        <w:t xml:space="preserve"> </w:t>
      </w:r>
      <w:r>
        <w:t>=</w:t>
      </w:r>
      <w:r w:rsidR="007713E9">
        <w:t xml:space="preserve"> </w:t>
      </w:r>
      <w:r>
        <w:t>2.</w:t>
      </w:r>
      <w:r w:rsidR="007713E9">
        <w:t>79</w:t>
      </w:r>
      <w:r>
        <w:t>, CI = 1.</w:t>
      </w:r>
      <w:r w:rsidR="007713E9">
        <w:t>07</w:t>
      </w:r>
      <w:r>
        <w:t>-7.2</w:t>
      </w:r>
      <w:r w:rsidR="007713E9">
        <w:t>7</w:t>
      </w:r>
      <w:r>
        <w:t xml:space="preserve">), attending ‘other’ community services (OR = </w:t>
      </w:r>
      <w:r w:rsidR="00561C06">
        <w:t>2.11</w:t>
      </w:r>
      <w:r>
        <w:t>, CI = 1.</w:t>
      </w:r>
      <w:r w:rsidR="00561C06">
        <w:t>14</w:t>
      </w:r>
      <w:r>
        <w:t>-3.</w:t>
      </w:r>
      <w:r w:rsidR="00561C06">
        <w:t>88</w:t>
      </w:r>
      <w:r>
        <w:t xml:space="preserve">), and attending mutual aid (OR = </w:t>
      </w:r>
      <w:r w:rsidR="00561C06">
        <w:t>1.99</w:t>
      </w:r>
      <w:r>
        <w:t>, CI = 1.</w:t>
      </w:r>
      <w:r w:rsidR="00561C06">
        <w:t>03</w:t>
      </w:r>
      <w:r>
        <w:t>-</w:t>
      </w:r>
      <w:r w:rsidR="00561C06">
        <w:t>3.8</w:t>
      </w:r>
      <w:r>
        <w:t xml:space="preserve">5) were predictors of increased likelihood of abstinence from </w:t>
      </w:r>
      <w:r w:rsidR="00EE7A8F">
        <w:t>PDOC</w:t>
      </w:r>
      <w:r>
        <w:t xml:space="preserve">, while having </w:t>
      </w:r>
      <w:r>
        <w:lastRenderedPageBreak/>
        <w:t>an unmet housing service need (OR = 0.</w:t>
      </w:r>
      <w:r w:rsidR="00561C06">
        <w:t>2</w:t>
      </w:r>
      <w:r>
        <w:t>3, CI = 0.0</w:t>
      </w:r>
      <w:r w:rsidR="00561C06">
        <w:t>6</w:t>
      </w:r>
      <w:r>
        <w:t>-0.</w:t>
      </w:r>
      <w:r w:rsidR="00561C06">
        <w:t>86</w:t>
      </w:r>
      <w:r>
        <w:t>) predicted decreased likelihood of abstinence.</w:t>
      </w:r>
    </w:p>
    <w:p w:rsidR="00072449" w:rsidRDefault="00072449" w:rsidP="00072449">
      <w:pPr>
        <w:pStyle w:val="FAREnormaltext"/>
      </w:pPr>
      <w:r>
        <w:t xml:space="preserve">When the </w:t>
      </w:r>
      <w:r w:rsidR="00EE7A8F">
        <w:t>PDOC</w:t>
      </w:r>
      <w:r>
        <w:t xml:space="preserve"> was any substance other than alcohol or tobacco, completing the PIT (OR = 3.4</w:t>
      </w:r>
      <w:r w:rsidR="002E164C">
        <w:t>0</w:t>
      </w:r>
      <w:r>
        <w:t>, CI = 1.</w:t>
      </w:r>
      <w:r w:rsidR="002E164C">
        <w:t>74</w:t>
      </w:r>
      <w:r>
        <w:t>-6.</w:t>
      </w:r>
      <w:r w:rsidR="002E164C">
        <w:t>64</w:t>
      </w:r>
      <w:r>
        <w:t>) predicted significantly higher likelihood of abstinence at follow-up. There was a significant overall effect of PIT type which appears to be due to the combined effect of non-significant trends for those with acute withdrawal as their PIT to be less (OR = 0.</w:t>
      </w:r>
      <w:r w:rsidR="002E164C">
        <w:t>40</w:t>
      </w:r>
      <w:r>
        <w:t>, CI = 0.</w:t>
      </w:r>
      <w:r w:rsidR="002E164C">
        <w:t>15</w:t>
      </w:r>
      <w:r>
        <w:t>-1.</w:t>
      </w:r>
      <w:r w:rsidR="002E164C">
        <w:t>07</w:t>
      </w:r>
      <w:r>
        <w:t>), and those with long-term residential treatment as their PIT to be more likely (OR = 2.</w:t>
      </w:r>
      <w:r w:rsidR="002E164C">
        <w:t>1</w:t>
      </w:r>
      <w:r>
        <w:t>0, CI = 0.97-4.</w:t>
      </w:r>
      <w:r w:rsidR="002E164C">
        <w:t>52</w:t>
      </w:r>
      <w:r>
        <w:t xml:space="preserve">) to achieve abstinence than outpatient participants. The overall effect of </w:t>
      </w:r>
      <w:r w:rsidR="00EE7A8F">
        <w:t>PDOC</w:t>
      </w:r>
      <w:r>
        <w:t xml:space="preserve"> did not reach significance (p = .0</w:t>
      </w:r>
      <w:r w:rsidR="002E164C">
        <w:t>6</w:t>
      </w:r>
      <w:r>
        <w:t>), though it appeared that those with meth</w:t>
      </w:r>
      <w:r w:rsidR="00E977AF">
        <w:t>/</w:t>
      </w:r>
      <w:r>
        <w:t xml:space="preserve">amphetamine as their </w:t>
      </w:r>
      <w:r w:rsidR="00EE7A8F">
        <w:t>PDOC</w:t>
      </w:r>
      <w:r>
        <w:t xml:space="preserve"> were more likely to achieve abstinence than those with cannabis as their </w:t>
      </w:r>
      <w:r w:rsidR="00EE7A8F">
        <w:t>PDOC</w:t>
      </w:r>
      <w:r>
        <w:t xml:space="preserve"> (OR = 2.</w:t>
      </w:r>
      <w:r w:rsidR="002E164C">
        <w:t>60</w:t>
      </w:r>
      <w:r>
        <w:t>, CI = 1.</w:t>
      </w:r>
      <w:r w:rsidR="002E164C">
        <w:t>23</w:t>
      </w:r>
      <w:r>
        <w:t>-5.</w:t>
      </w:r>
      <w:r w:rsidR="002E164C">
        <w:t>50</w:t>
      </w:r>
      <w:r>
        <w:t>). Longer follow-up intervals</w:t>
      </w:r>
      <w:r w:rsidR="002E164C">
        <w:t xml:space="preserve"> (OR = 0.995, CI = 0.991-0.999) and, surprisingly, longer PIT duration</w:t>
      </w:r>
      <w:r w:rsidR="00A93A75">
        <w:t xml:space="preserve"> (OR = 0.16, CI = 0.03-0.81)</w:t>
      </w:r>
      <w:r>
        <w:t xml:space="preserve"> were associated with lower rates of abstinence from the </w:t>
      </w:r>
      <w:r w:rsidR="00EE7A8F">
        <w:t>PDOC</w:t>
      </w:r>
      <w:r w:rsidR="002E164C">
        <w:t>.</w:t>
      </w:r>
    </w:p>
    <w:p w:rsidR="00072449" w:rsidRDefault="00072449" w:rsidP="0034684A">
      <w:pPr>
        <w:pStyle w:val="FAREH3"/>
      </w:pPr>
      <w:r w:rsidRPr="003F5BD4">
        <w:t xml:space="preserve">Characteristics of </w:t>
      </w:r>
      <w:r w:rsidR="008E0FD3">
        <w:t xml:space="preserve">participants </w:t>
      </w:r>
      <w:r w:rsidRPr="003F5BD4">
        <w:t>who attend</w:t>
      </w:r>
      <w:r>
        <w:t>ed</w:t>
      </w:r>
      <w:r w:rsidRPr="003F5BD4">
        <w:t xml:space="preserve"> Mutual Aid Groups</w:t>
      </w:r>
    </w:p>
    <w:p w:rsidR="00072449" w:rsidRDefault="00072449" w:rsidP="00072449">
      <w:pPr>
        <w:pStyle w:val="FAREnormaltext"/>
      </w:pPr>
      <w:r>
        <w:t xml:space="preserve">The proportion of participants who attended mutual aid meetings increased from around one third of the sample in the year prior to baseline to </w:t>
      </w:r>
      <w:r w:rsidR="00FF19D3">
        <w:t>almost</w:t>
      </w:r>
      <w:r>
        <w:t xml:space="preserve"> half in the year prior to follow-up, although some of these may have done so as part of their rehabilitation or aftercare programs. </w:t>
      </w:r>
      <w:r w:rsidRPr="003F5BD4">
        <w:t>Mutual ai</w:t>
      </w:r>
      <w:r>
        <w:t>d attendance was broken down in</w:t>
      </w:r>
      <w:r w:rsidRPr="003F5BD4">
        <w:t>to the different types of meetings attended. Alcoholics Anonymous was attended by 3</w:t>
      </w:r>
      <w:r w:rsidR="00EF67BE">
        <w:t>3</w:t>
      </w:r>
      <w:r w:rsidRPr="003F5BD4">
        <w:t>% of the follow-up sample, Narcotics Anonymous by 3</w:t>
      </w:r>
      <w:r w:rsidR="00EF67BE">
        <w:t>3</w:t>
      </w:r>
      <w:r w:rsidRPr="003F5BD4">
        <w:t xml:space="preserve">%, SMART Recovery by </w:t>
      </w:r>
      <w:r w:rsidR="00EF67BE">
        <w:t>5</w:t>
      </w:r>
      <w:r w:rsidRPr="003F5BD4">
        <w:t>% and '</w:t>
      </w:r>
      <w:r w:rsidR="00EF67BE">
        <w:t>o</w:t>
      </w:r>
      <w:r w:rsidRPr="003F5BD4">
        <w:t xml:space="preserve">ther' recovery groups by </w:t>
      </w:r>
      <w:r>
        <w:t>5</w:t>
      </w:r>
      <w:r w:rsidRPr="003F5BD4">
        <w:t>%.</w:t>
      </w:r>
      <w:r>
        <w:t xml:space="preserve"> Among participants who attended any meetings in the 12 months prior to follow-up (n = 2</w:t>
      </w:r>
      <w:r w:rsidR="00EF67BE">
        <w:t>6</w:t>
      </w:r>
      <w:r>
        <w:t>7), number of meetings attended ranged from 1-50</w:t>
      </w:r>
      <w:r w:rsidR="00EF67BE">
        <w:t>0</w:t>
      </w:r>
      <w:r>
        <w:t xml:space="preserve"> (median = 20, IQR = 6-65).</w:t>
      </w:r>
      <w:r w:rsidRPr="003F5BD4">
        <w:t xml:space="preserve"> A logistic regression analysis was performed to identify characteristics of </w:t>
      </w:r>
      <w:r w:rsidR="006D29AE">
        <w:t>participants</w:t>
      </w:r>
      <w:r w:rsidRPr="003F5BD4">
        <w:t xml:space="preserve"> who attend Mutual Aid Groups </w:t>
      </w:r>
      <w:r>
        <w:t>in the year prior to follow-up</w:t>
      </w:r>
      <w:r w:rsidRPr="003F5BD4">
        <w:t xml:space="preserve">, with the following entered as predictors; </w:t>
      </w:r>
      <w:r>
        <w:t xml:space="preserve">transformed </w:t>
      </w:r>
      <w:r w:rsidRPr="003F5BD4">
        <w:t>age, gender, PIT-type, SDS score at baseline</w:t>
      </w:r>
      <w:r>
        <w:t xml:space="preserve"> </w:t>
      </w:r>
      <w:r w:rsidRPr="00D75D18">
        <w:rPr>
          <w:u w:val="single"/>
        </w:rPr>
        <w:t>&gt;</w:t>
      </w:r>
      <w:r>
        <w:t xml:space="preserve"> 7</w:t>
      </w:r>
      <w:r w:rsidRPr="003F5BD4">
        <w:t xml:space="preserve">, </w:t>
      </w:r>
      <w:r w:rsidR="00EE7A8F">
        <w:t>PDOC</w:t>
      </w:r>
      <w:r w:rsidRPr="003F5BD4">
        <w:t>, any mutual aid group attendance at baseline, total perceived social support</w:t>
      </w:r>
      <w:r>
        <w:t xml:space="preserve"> (median split)</w:t>
      </w:r>
      <w:r w:rsidRPr="003F5BD4">
        <w:t xml:space="preserve">, and total number of complexities (homelessness, unemployment, </w:t>
      </w:r>
      <w:r w:rsidR="00D2234B">
        <w:t>poor psychological quality of life</w:t>
      </w:r>
      <w:r w:rsidRPr="003F5BD4">
        <w:t xml:space="preserve">, poor physical </w:t>
      </w:r>
      <w:r w:rsidR="00D2234B">
        <w:t>quality of life,</w:t>
      </w:r>
      <w:r w:rsidR="00D2234B" w:rsidRPr="003F5BD4">
        <w:t xml:space="preserve"> </w:t>
      </w:r>
      <w:r w:rsidRPr="003F5BD4">
        <w:t>and</w:t>
      </w:r>
      <w:r w:rsidR="00D2234B">
        <w:t xml:space="preserve"> current</w:t>
      </w:r>
      <w:r w:rsidRPr="003F5BD4">
        <w:t xml:space="preserve"> involve</w:t>
      </w:r>
      <w:r w:rsidR="00D2234B">
        <w:t>ment</w:t>
      </w:r>
      <w:r w:rsidRPr="003F5BD4">
        <w:t xml:space="preserve"> in the </w:t>
      </w:r>
      <w:r w:rsidR="00D2234B">
        <w:t>criminal justice</w:t>
      </w:r>
      <w:r w:rsidR="00D2234B" w:rsidRPr="003F5BD4">
        <w:t xml:space="preserve"> </w:t>
      </w:r>
      <w:r w:rsidRPr="003F5BD4">
        <w:t>system</w:t>
      </w:r>
      <w:r>
        <w:t>; range 0-5; this variable met criteria to be considered normally distributed and was therefore included in logistic regression models without transformation</w:t>
      </w:r>
      <w:r w:rsidRPr="003F5BD4">
        <w:t xml:space="preserve">). </w:t>
      </w:r>
    </w:p>
    <w:p w:rsidR="00072449" w:rsidRDefault="00072449" w:rsidP="00072449">
      <w:pPr>
        <w:pStyle w:val="FAREnormaltext"/>
      </w:pPr>
      <w:r w:rsidRPr="003F5BD4">
        <w:t>Those attending Mutual Aid groups at baseline were</w:t>
      </w:r>
      <w:r w:rsidR="009261E9">
        <w:t xml:space="preserve"> more than</w:t>
      </w:r>
      <w:r w:rsidRPr="003F5BD4">
        <w:t xml:space="preserve"> </w:t>
      </w:r>
      <w:r>
        <w:t>four</w:t>
      </w:r>
      <w:r w:rsidRPr="003F5BD4">
        <w:t xml:space="preserve"> times as likely to attend post-PIT (OR</w:t>
      </w:r>
      <w:r>
        <w:t xml:space="preserve"> </w:t>
      </w:r>
      <w:r w:rsidRPr="003F5BD4">
        <w:t>=</w:t>
      </w:r>
      <w:r>
        <w:t xml:space="preserve"> </w:t>
      </w:r>
      <w:r w:rsidRPr="003F5BD4">
        <w:t>4.</w:t>
      </w:r>
      <w:r w:rsidR="009261E9">
        <w:t>60</w:t>
      </w:r>
      <w:r w:rsidRPr="003F5BD4">
        <w:t xml:space="preserve">, </w:t>
      </w:r>
      <w:r>
        <w:t>CI = 2.</w:t>
      </w:r>
      <w:r w:rsidR="009261E9">
        <w:t>99</w:t>
      </w:r>
      <w:r>
        <w:t>-</w:t>
      </w:r>
      <w:r w:rsidR="009261E9">
        <w:t>7.05</w:t>
      </w:r>
      <w:r w:rsidRPr="003F5BD4">
        <w:t>)</w:t>
      </w:r>
      <w:r>
        <w:t>.</w:t>
      </w:r>
      <w:r w:rsidRPr="003F5BD4">
        <w:t xml:space="preserve"> </w:t>
      </w:r>
      <w:r>
        <w:t>Participants with acute withdrawal as their PIT</w:t>
      </w:r>
      <w:r w:rsidRPr="003F5BD4">
        <w:t xml:space="preserve"> were</w:t>
      </w:r>
      <w:r>
        <w:t xml:space="preserve"> more than</w:t>
      </w:r>
      <w:r w:rsidRPr="003F5BD4">
        <w:t xml:space="preserve"> twice as l</w:t>
      </w:r>
      <w:r>
        <w:t>ikely to attend as outpatient participants</w:t>
      </w:r>
      <w:r w:rsidRPr="003F5BD4">
        <w:t xml:space="preserve"> (OR</w:t>
      </w:r>
      <w:r>
        <w:t xml:space="preserve"> </w:t>
      </w:r>
      <w:r w:rsidRPr="003F5BD4">
        <w:t>=</w:t>
      </w:r>
      <w:r>
        <w:t xml:space="preserve"> </w:t>
      </w:r>
      <w:r w:rsidRPr="003F5BD4">
        <w:t>2.</w:t>
      </w:r>
      <w:r w:rsidR="009261E9">
        <w:t>7</w:t>
      </w:r>
      <w:r>
        <w:t>5</w:t>
      </w:r>
      <w:r w:rsidRPr="003F5BD4">
        <w:t xml:space="preserve">, </w:t>
      </w:r>
      <w:r>
        <w:t>CI = 1.</w:t>
      </w:r>
      <w:r w:rsidR="0027718C">
        <w:t>71</w:t>
      </w:r>
      <w:r>
        <w:t>-4.</w:t>
      </w:r>
      <w:r w:rsidR="0027718C">
        <w:t>4</w:t>
      </w:r>
      <w:r>
        <w:t>1</w:t>
      </w:r>
      <w:r w:rsidRPr="003F5BD4">
        <w:t>)</w:t>
      </w:r>
      <w:r w:rsidR="00806DDE">
        <w:t>,</w:t>
      </w:r>
      <w:r w:rsidRPr="003F5BD4">
        <w:t xml:space="preserve"> and </w:t>
      </w:r>
      <w:r>
        <w:t>residential rehabilitation</w:t>
      </w:r>
      <w:r w:rsidRPr="003F5BD4">
        <w:t xml:space="preserve"> </w:t>
      </w:r>
      <w:r w:rsidR="006D29AE">
        <w:t>participants</w:t>
      </w:r>
      <w:r w:rsidRPr="003F5BD4">
        <w:t xml:space="preserve"> </w:t>
      </w:r>
      <w:r w:rsidR="00806DDE">
        <w:t xml:space="preserve">were </w:t>
      </w:r>
      <w:r w:rsidR="0027718C">
        <w:t>nearly five</w:t>
      </w:r>
      <w:r w:rsidRPr="003F5BD4">
        <w:t xml:space="preserve"> times as</w:t>
      </w:r>
      <w:r>
        <w:t xml:space="preserve"> likely to attend</w:t>
      </w:r>
      <w:r w:rsidR="00806DDE">
        <w:t xml:space="preserve"> compared to </w:t>
      </w:r>
      <w:r>
        <w:t xml:space="preserve"> outpatient participants</w:t>
      </w:r>
      <w:r w:rsidRPr="003F5BD4">
        <w:t xml:space="preserve"> (OR</w:t>
      </w:r>
      <w:r w:rsidR="0027718C">
        <w:t xml:space="preserve"> </w:t>
      </w:r>
      <w:r w:rsidRPr="003F5BD4">
        <w:t>=</w:t>
      </w:r>
      <w:r w:rsidR="0027718C">
        <w:t xml:space="preserve"> 4</w:t>
      </w:r>
      <w:r w:rsidRPr="003F5BD4">
        <w:t>.</w:t>
      </w:r>
      <w:r w:rsidR="0027718C">
        <w:t>9</w:t>
      </w:r>
      <w:r>
        <w:t>5</w:t>
      </w:r>
      <w:r w:rsidRPr="003F5BD4">
        <w:t xml:space="preserve">, </w:t>
      </w:r>
      <w:r>
        <w:t>CI = 2.</w:t>
      </w:r>
      <w:r w:rsidR="0027718C">
        <w:t>85</w:t>
      </w:r>
      <w:r>
        <w:t>-</w:t>
      </w:r>
      <w:r w:rsidR="0027718C">
        <w:t>8.60</w:t>
      </w:r>
      <w:r w:rsidRPr="003F5BD4">
        <w:t>). The only other significant predictor was</w:t>
      </w:r>
      <w:r>
        <w:t xml:space="preserve"> severe dependence, as indexed by an</w:t>
      </w:r>
      <w:r w:rsidRPr="003F5BD4">
        <w:t xml:space="preserve"> SDS score</w:t>
      </w:r>
      <w:r>
        <w:t xml:space="preserve"> </w:t>
      </w:r>
      <w:r>
        <w:rPr>
          <w:u w:val="single"/>
        </w:rPr>
        <w:t>&gt;</w:t>
      </w:r>
      <w:r>
        <w:t xml:space="preserve"> 7:</w:t>
      </w:r>
      <w:r w:rsidRPr="003F5BD4">
        <w:t xml:space="preserve"> </w:t>
      </w:r>
      <w:r>
        <w:t xml:space="preserve">participants with severe dependence were more likely than those with a lower level of dependence to attend </w:t>
      </w:r>
      <w:r w:rsidRPr="003F5BD4">
        <w:t>(OR</w:t>
      </w:r>
      <w:r>
        <w:t xml:space="preserve"> </w:t>
      </w:r>
      <w:r w:rsidRPr="003F5BD4">
        <w:t>=</w:t>
      </w:r>
      <w:r>
        <w:t xml:space="preserve"> 2</w:t>
      </w:r>
      <w:r w:rsidRPr="003F5BD4">
        <w:t>.</w:t>
      </w:r>
      <w:r w:rsidR="0027718C">
        <w:t>15</w:t>
      </w:r>
      <w:r w:rsidRPr="003F5BD4">
        <w:t xml:space="preserve">, </w:t>
      </w:r>
      <w:r>
        <w:t>CI = 1.1</w:t>
      </w:r>
      <w:r w:rsidR="0027718C">
        <w:t>4</w:t>
      </w:r>
      <w:r>
        <w:t>-4.</w:t>
      </w:r>
      <w:r w:rsidR="0027718C">
        <w:t>03</w:t>
      </w:r>
      <w:r w:rsidRPr="003F5BD4">
        <w:t>)</w:t>
      </w:r>
      <w:r w:rsidR="00801471" w:rsidRPr="00801471">
        <w:t xml:space="preserve"> </w:t>
      </w:r>
      <w:r w:rsidR="00801471" w:rsidRPr="005A0C62">
        <w:t>(Appendix 2.4)</w:t>
      </w:r>
      <w:r w:rsidR="00801471">
        <w:t xml:space="preserve">. </w:t>
      </w:r>
      <w:r w:rsidRPr="00F24B8E">
        <w:t xml:space="preserve"> </w:t>
      </w:r>
    </w:p>
    <w:p w:rsidR="00072449" w:rsidRPr="00542036" w:rsidRDefault="00072449" w:rsidP="0034684A">
      <w:pPr>
        <w:pStyle w:val="FAREH3"/>
      </w:pPr>
      <w:r w:rsidRPr="00542036">
        <w:t>Predictors of acute service use</w:t>
      </w:r>
    </w:p>
    <w:p w:rsidR="00072449" w:rsidRPr="00184C6B" w:rsidRDefault="00072449" w:rsidP="00072449">
      <w:pPr>
        <w:autoSpaceDE w:val="0"/>
        <w:autoSpaceDN w:val="0"/>
        <w:adjustRightInd w:val="0"/>
        <w:spacing w:after="0" w:line="240" w:lineRule="auto"/>
        <w:rPr>
          <w:b/>
          <w:lang w:val="en-GB"/>
        </w:rPr>
      </w:pPr>
      <w:r w:rsidRPr="00184C6B">
        <w:rPr>
          <w:b/>
          <w:lang w:val="en-GB"/>
        </w:rPr>
        <w:t>Demographic Predictors</w:t>
      </w:r>
    </w:p>
    <w:p w:rsidR="00072449" w:rsidRPr="00F24B8E" w:rsidRDefault="00072449" w:rsidP="00072449">
      <w:pPr>
        <w:pStyle w:val="FAREnormaltext"/>
      </w:pPr>
      <w:r>
        <w:t xml:space="preserve">We </w:t>
      </w:r>
      <w:r w:rsidRPr="00184C6B">
        <w:t xml:space="preserve">examined whether demographic or </w:t>
      </w:r>
      <w:r w:rsidR="00EE7A8F">
        <w:t>PDOC</w:t>
      </w:r>
      <w:r w:rsidRPr="00184C6B">
        <w:t xml:space="preserve"> variables (</w:t>
      </w:r>
      <w:r>
        <w:t xml:space="preserve">transformed </w:t>
      </w:r>
      <w:r w:rsidRPr="00184C6B">
        <w:t>age, sex, whether or not in stable marital/de fact</w:t>
      </w:r>
      <w:r>
        <w:t>o</w:t>
      </w:r>
      <w:r w:rsidRPr="00184C6B">
        <w:t xml:space="preserve"> relationship, born in Australia, </w:t>
      </w:r>
      <w:r w:rsidR="00EE7A8F">
        <w:t>PDOC</w:t>
      </w:r>
      <w:r w:rsidRPr="00184C6B">
        <w:t xml:space="preserve">, </w:t>
      </w:r>
      <w:r>
        <w:t>SDS</w:t>
      </w:r>
      <w:r w:rsidRPr="00184C6B">
        <w:t xml:space="preserve"> score for </w:t>
      </w:r>
      <w:r w:rsidR="00EE7A8F">
        <w:t>PDOC</w:t>
      </w:r>
      <w:r w:rsidR="00801471">
        <w:t xml:space="preserve"> </w:t>
      </w:r>
      <w:r w:rsidR="001934F3" w:rsidRPr="00007E5B">
        <w:rPr>
          <w:u w:val="single"/>
        </w:rPr>
        <w:t>&gt;</w:t>
      </w:r>
      <w:r w:rsidR="00CD0137">
        <w:t xml:space="preserve"> </w:t>
      </w:r>
      <w:r w:rsidR="00801471">
        <w:t>7</w:t>
      </w:r>
      <w:r w:rsidRPr="00184C6B">
        <w:t xml:space="preserve">) predicted </w:t>
      </w:r>
      <w:r w:rsidRPr="00184C6B">
        <w:lastRenderedPageBreak/>
        <w:t>follow-up acute health service use (ambulance, emergency department, and/or hospital inpatient admission) after controlling for whether or not participants had used acute health services in the 12 months prior to baseline. Baseline acute health service use significantly increased likelihood of follow-up acute health service use (OR = 2.7</w:t>
      </w:r>
      <w:r w:rsidR="00CD0137">
        <w:t>5</w:t>
      </w:r>
      <w:r w:rsidRPr="00184C6B">
        <w:t xml:space="preserve">, </w:t>
      </w:r>
      <w:r>
        <w:t>CI = 1.9</w:t>
      </w:r>
      <w:r w:rsidR="00CD0137">
        <w:t>1</w:t>
      </w:r>
      <w:r>
        <w:t>-3.9</w:t>
      </w:r>
      <w:r w:rsidR="00CD0137">
        <w:t>4</w:t>
      </w:r>
      <w:r w:rsidRPr="00184C6B">
        <w:t xml:space="preserve">). While the overall effect of </w:t>
      </w:r>
      <w:r w:rsidR="00EE7A8F">
        <w:t>PDOC</w:t>
      </w:r>
      <w:r w:rsidRPr="00184C6B">
        <w:t xml:space="preserve"> was non-significant (p = .1</w:t>
      </w:r>
      <w:r>
        <w:t>5</w:t>
      </w:r>
      <w:r w:rsidRPr="00184C6B">
        <w:t xml:space="preserve">), </w:t>
      </w:r>
      <w:r>
        <w:t>pair-wise comparisons between</w:t>
      </w:r>
      <w:r w:rsidRPr="00184C6B">
        <w:t xml:space="preserve"> specific </w:t>
      </w:r>
      <w:r w:rsidR="00EE7A8F">
        <w:t>PDOC</w:t>
      </w:r>
      <w:r w:rsidRPr="00184C6B">
        <w:t xml:space="preserve"> groupings </w:t>
      </w:r>
      <w:r>
        <w:t>involving the</w:t>
      </w:r>
      <w:r w:rsidRPr="00184C6B">
        <w:t xml:space="preserve"> reference group (alcohol) suggested that participants with opioids as their </w:t>
      </w:r>
      <w:r w:rsidR="00EE7A8F">
        <w:t>PDOC</w:t>
      </w:r>
      <w:r w:rsidRPr="00184C6B">
        <w:t xml:space="preserve"> were less likely to use these services (OR = 0.5</w:t>
      </w:r>
      <w:r w:rsidR="00CD0137">
        <w:t>6</w:t>
      </w:r>
      <w:r w:rsidRPr="00184C6B">
        <w:t xml:space="preserve">, </w:t>
      </w:r>
      <w:r>
        <w:t>CI = 0.34-0.9</w:t>
      </w:r>
      <w:r w:rsidR="00CD0137">
        <w:t>5</w:t>
      </w:r>
      <w:r w:rsidRPr="00184C6B">
        <w:t xml:space="preserve">). </w:t>
      </w:r>
      <w:r w:rsidR="00EE7A8F">
        <w:t>PDOC</w:t>
      </w:r>
      <w:r w:rsidRPr="00184C6B">
        <w:t xml:space="preserve"> was therefore selected for in</w:t>
      </w:r>
      <w:r w:rsidR="00801471">
        <w:t xml:space="preserve">clusion in the subsequent model </w:t>
      </w:r>
      <w:r w:rsidR="00801471" w:rsidRPr="005A0C62">
        <w:t>(Appendix 2.4)</w:t>
      </w:r>
      <w:r w:rsidR="00801471">
        <w:t>.</w:t>
      </w:r>
    </w:p>
    <w:p w:rsidR="00072449" w:rsidRPr="00184C6B" w:rsidRDefault="00072449" w:rsidP="00072449">
      <w:pPr>
        <w:autoSpaceDE w:val="0"/>
        <w:autoSpaceDN w:val="0"/>
        <w:adjustRightInd w:val="0"/>
        <w:spacing w:after="0" w:line="240" w:lineRule="auto"/>
        <w:rPr>
          <w:b/>
          <w:lang w:val="en-GB"/>
        </w:rPr>
      </w:pPr>
      <w:r w:rsidRPr="00184C6B">
        <w:rPr>
          <w:b/>
          <w:lang w:val="en-GB"/>
        </w:rPr>
        <w:t xml:space="preserve">Baseline Predictors (complexity, PIT and </w:t>
      </w:r>
      <w:r w:rsidR="00EE7A8F">
        <w:rPr>
          <w:b/>
          <w:lang w:val="en-GB"/>
        </w:rPr>
        <w:t>PDOC</w:t>
      </w:r>
      <w:r w:rsidRPr="00184C6B">
        <w:rPr>
          <w:b/>
          <w:lang w:val="en-GB"/>
        </w:rPr>
        <w:t>)</w:t>
      </w:r>
    </w:p>
    <w:p w:rsidR="002D0D87" w:rsidRDefault="00072449" w:rsidP="00186522">
      <w:pPr>
        <w:pStyle w:val="FAREnormaltext"/>
      </w:pPr>
      <w:r w:rsidRPr="00184C6B">
        <w:t xml:space="preserve">The subsequent model examined likelihood of follow-up acute service use with PIT type, PIT completion (completed or still engaged vs. prematurely ended), the presence of housing, criminal justice, </w:t>
      </w:r>
      <w:r>
        <w:t>and</w:t>
      </w:r>
      <w:r w:rsidRPr="00184C6B">
        <w:t xml:space="preserve"> employment issues (at baseline), poor physical and poor psychological </w:t>
      </w:r>
      <w:r w:rsidR="00EE7A8F">
        <w:t>QOL</w:t>
      </w:r>
      <w:r w:rsidRPr="00184C6B">
        <w:t xml:space="preserve"> score (at baseline), interval between baseline and follow-up (in days), </w:t>
      </w:r>
      <w:r w:rsidR="00EE7A8F">
        <w:t>PDOC</w:t>
      </w:r>
      <w:r w:rsidR="00F2647B">
        <w:t>,</w:t>
      </w:r>
      <w:r w:rsidRPr="00184C6B">
        <w:t xml:space="preserve"> and baseline acute health service use as a control variable. Having cannabis as a </w:t>
      </w:r>
      <w:r w:rsidR="00EE7A8F">
        <w:t>PDOC</w:t>
      </w:r>
      <w:r w:rsidRPr="00184C6B">
        <w:t xml:space="preserve"> relative to alcohol (OR = 0.5</w:t>
      </w:r>
      <w:r w:rsidR="00F2647B">
        <w:t>3</w:t>
      </w:r>
      <w:r w:rsidRPr="00184C6B">
        <w:t xml:space="preserve">, </w:t>
      </w:r>
      <w:r>
        <w:t>CI = 0.3</w:t>
      </w:r>
      <w:r w:rsidR="00F2647B">
        <w:t>1</w:t>
      </w:r>
      <w:r>
        <w:t>-0.91</w:t>
      </w:r>
      <w:r w:rsidRPr="00184C6B">
        <w:t>), or opi</w:t>
      </w:r>
      <w:r>
        <w:t>oid</w:t>
      </w:r>
      <w:r w:rsidRPr="00184C6B">
        <w:t xml:space="preserve">s relative to alcohol (OR = 0.45, </w:t>
      </w:r>
      <w:r>
        <w:t>CI = 0.26-0.7</w:t>
      </w:r>
      <w:r w:rsidR="00F2647B">
        <w:t>6</w:t>
      </w:r>
      <w:r w:rsidRPr="00184C6B">
        <w:t>), acute service use at baseline (OR = 2.8</w:t>
      </w:r>
      <w:r w:rsidR="00F2647B">
        <w:t>6</w:t>
      </w:r>
      <w:r w:rsidRPr="00184C6B">
        <w:t xml:space="preserve">, </w:t>
      </w:r>
      <w:r>
        <w:t>CI = 1.9</w:t>
      </w:r>
      <w:r w:rsidR="000339FC">
        <w:t>7</w:t>
      </w:r>
      <w:r>
        <w:t>-4.1</w:t>
      </w:r>
      <w:r w:rsidR="000339FC">
        <w:t>6</w:t>
      </w:r>
      <w:r w:rsidRPr="00184C6B">
        <w:t xml:space="preserve">) and having poor physical </w:t>
      </w:r>
      <w:r w:rsidR="00EE7A8F">
        <w:t>QOL</w:t>
      </w:r>
      <w:r w:rsidRPr="00184C6B">
        <w:t xml:space="preserve"> (OR = 1.57, </w:t>
      </w:r>
      <w:r>
        <w:t>CI = 1.02-2.4</w:t>
      </w:r>
      <w:r w:rsidR="000339FC">
        <w:t>1</w:t>
      </w:r>
      <w:r w:rsidRPr="00184C6B">
        <w:t xml:space="preserve">), and follow-up interval (OR = 1.004, </w:t>
      </w:r>
      <w:r>
        <w:t>CI = 1.001-1.007</w:t>
      </w:r>
      <w:r w:rsidRPr="00184C6B">
        <w:t xml:space="preserve">) at baseline were the only significant predictors of follow-up acute service use. When the model was re-run with alcohol vs. other drugs as </w:t>
      </w:r>
      <w:r w:rsidR="00EE7A8F">
        <w:t>PDOC</w:t>
      </w:r>
      <w:r w:rsidRPr="00184C6B">
        <w:t xml:space="preserve">, </w:t>
      </w:r>
      <w:r w:rsidR="006D29AE">
        <w:t>participants</w:t>
      </w:r>
      <w:r w:rsidRPr="00184C6B">
        <w:t xml:space="preserve"> with alcohol as their </w:t>
      </w:r>
      <w:r w:rsidR="00EE7A8F">
        <w:t>PDOC</w:t>
      </w:r>
      <w:r w:rsidRPr="00184C6B">
        <w:t xml:space="preserve"> were almost twice as likely (OR = 1.8</w:t>
      </w:r>
      <w:r w:rsidR="000339FC">
        <w:t>5</w:t>
      </w:r>
      <w:r w:rsidRPr="00184C6B">
        <w:t xml:space="preserve">, </w:t>
      </w:r>
      <w:r>
        <w:t>CI = 1.2</w:t>
      </w:r>
      <w:r w:rsidR="000339FC">
        <w:t>7</w:t>
      </w:r>
      <w:r>
        <w:t>-2.6</w:t>
      </w:r>
      <w:r w:rsidR="000339FC">
        <w:t>9</w:t>
      </w:r>
      <w:r w:rsidRPr="00184C6B">
        <w:t xml:space="preserve">) to have used acute services post-PIT than those with other drugs as their </w:t>
      </w:r>
      <w:r w:rsidR="00EE7A8F">
        <w:t>PDOC</w:t>
      </w:r>
      <w:r>
        <w:t>,</w:t>
      </w:r>
      <w:r w:rsidRPr="00184C6B">
        <w:t xml:space="preserve"> after controlling for other variables in the model</w:t>
      </w:r>
      <w:r w:rsidR="00801471">
        <w:t xml:space="preserve"> </w:t>
      </w:r>
      <w:r w:rsidR="00801471" w:rsidRPr="005A0C62">
        <w:t>(Appendix 2.4)</w:t>
      </w:r>
      <w:r w:rsidR="00801471">
        <w:t>.</w:t>
      </w:r>
    </w:p>
    <w:p w:rsidR="00072449" w:rsidRDefault="00072449" w:rsidP="0034684A">
      <w:pPr>
        <w:pStyle w:val="FAREH3"/>
      </w:pPr>
      <w:r w:rsidRPr="003F5BD4">
        <w:t>Continuity in AOD</w:t>
      </w:r>
      <w:r>
        <w:t xml:space="preserve"> specialist</w:t>
      </w:r>
      <w:r w:rsidRPr="003F5BD4">
        <w:t xml:space="preserve"> treatment </w:t>
      </w:r>
    </w:p>
    <w:p w:rsidR="00072449" w:rsidRDefault="00072449" w:rsidP="00072449">
      <w:pPr>
        <w:pStyle w:val="FAREnormaltext"/>
      </w:pPr>
      <w:r>
        <w:t xml:space="preserve">Participants </w:t>
      </w:r>
      <w:r w:rsidRPr="003F5BD4">
        <w:t>were recoded as having had continuity in AOD treatment or not</w:t>
      </w:r>
      <w:r w:rsidR="00806DDE">
        <w:t>,</w:t>
      </w:r>
      <w:r w:rsidRPr="003F5BD4">
        <w:t xml:space="preserve"> specific to their PIT. For </w:t>
      </w:r>
      <w:r>
        <w:t>participants whose PIT was acute withdrawal</w:t>
      </w:r>
      <w:r w:rsidRPr="003F5BD4">
        <w:t>, 1 “treatment continuity” point was awarded for having outpatient</w:t>
      </w:r>
      <w:r>
        <w:t xml:space="preserve"> counselling</w:t>
      </w:r>
      <w:r w:rsidRPr="003F5BD4">
        <w:t xml:space="preserve"> pre-PIT, and one further point awarded for either </w:t>
      </w:r>
      <w:r>
        <w:t>residential rehabilitation</w:t>
      </w:r>
      <w:r w:rsidRPr="003F5BD4">
        <w:t xml:space="preserve"> or counselling post-PIT. For outpatients, 1 point was awarded for any pre-PIT </w:t>
      </w:r>
      <w:proofErr w:type="spellStart"/>
      <w:r w:rsidRPr="003F5BD4">
        <w:t>AoD</w:t>
      </w:r>
      <w:proofErr w:type="spellEnd"/>
      <w:r w:rsidRPr="003F5BD4">
        <w:t xml:space="preserve"> service attendance and 1 point for any post-PIT </w:t>
      </w:r>
      <w:proofErr w:type="spellStart"/>
      <w:r w:rsidRPr="003F5BD4">
        <w:t>AoD</w:t>
      </w:r>
      <w:proofErr w:type="spellEnd"/>
      <w:r w:rsidRPr="003F5BD4">
        <w:t xml:space="preserve"> service</w:t>
      </w:r>
      <w:r w:rsidR="00C66843">
        <w:t xml:space="preserve"> (pharmacotherapy was not counted for this purpose)</w:t>
      </w:r>
      <w:r w:rsidRPr="003F5BD4">
        <w:t xml:space="preserve">. For </w:t>
      </w:r>
      <w:r>
        <w:t>participants whose PIT was long-term residential treatment</w:t>
      </w:r>
      <w:r w:rsidRPr="003F5BD4">
        <w:t>, 1 point</w:t>
      </w:r>
      <w:r>
        <w:t xml:space="preserve"> was awarded</w:t>
      </w:r>
      <w:r w:rsidRPr="003F5BD4">
        <w:t xml:space="preserve"> for counselling or </w:t>
      </w:r>
      <w:r>
        <w:t>acute withdrawal</w:t>
      </w:r>
      <w:r w:rsidRPr="003F5BD4">
        <w:t xml:space="preserve"> pre-PIT and 1 point for counselling post-PIT.</w:t>
      </w:r>
      <w:r w:rsidRPr="00CE1594">
        <w:t xml:space="preserve"> </w:t>
      </w:r>
      <w:r w:rsidRPr="003F5BD4">
        <w:t>Continuity scores were</w:t>
      </w:r>
      <w:r>
        <w:t xml:space="preserve"> therefore</w:t>
      </w:r>
      <w:r w:rsidRPr="003F5BD4">
        <w:t xml:space="preserve"> 0 (PIT-only), 1 (PIT + relevant treatment before or after) and 2 (PIT + relevant treatment both before and after)</w:t>
      </w:r>
      <w:r w:rsidR="00103C93">
        <w:t>.</w:t>
      </w:r>
      <w:r w:rsidRPr="003F5BD4">
        <w:t xml:space="preserve"> </w:t>
      </w:r>
      <w:r>
        <w:t>A chi-square test found</w:t>
      </w:r>
      <w:r w:rsidRPr="003F5BD4">
        <w:t xml:space="preserve"> no significant association between</w:t>
      </w:r>
      <w:r>
        <w:t xml:space="preserve"> this</w:t>
      </w:r>
      <w:r w:rsidRPr="003F5BD4">
        <w:t xml:space="preserve"> continuity </w:t>
      </w:r>
      <w:r>
        <w:t>score</w:t>
      </w:r>
      <w:r w:rsidRPr="003F5BD4">
        <w:t xml:space="preserve"> and treatment success (abstinent</w:t>
      </w:r>
      <w:r w:rsidR="00C66843">
        <w:t xml:space="preserve"> from PDOC</w:t>
      </w:r>
      <w:r w:rsidRPr="003F5BD4">
        <w:t xml:space="preserve"> or</w:t>
      </w:r>
      <w:r w:rsidR="00C66843">
        <w:t xml:space="preserve"> at least</w:t>
      </w:r>
      <w:r w:rsidRPr="003F5BD4">
        <w:t xml:space="preserve"> 50% reduction in </w:t>
      </w:r>
      <w:r w:rsidR="00C66843">
        <w:t>days used PDOC; p = .52</w:t>
      </w:r>
      <w:r w:rsidRPr="003F5BD4">
        <w:t>),</w:t>
      </w:r>
      <w:r w:rsidR="00C66843">
        <w:t xml:space="preserve"> PDOC abstinence (p = .17), or abstinence from all DOCs (p = .17)</w:t>
      </w:r>
      <w:r w:rsidR="00801471">
        <w:t>.</w:t>
      </w:r>
      <w:r w:rsidR="00D66329">
        <w:t xml:space="preserve"> </w:t>
      </w:r>
      <w:r w:rsidR="00C66843">
        <w:t>W</w:t>
      </w:r>
      <w:r w:rsidRPr="003F5BD4">
        <w:t xml:space="preserve">hen attendance at mutual aid was added to the pathway (i.e. earning an extra one point in the AOD continuity score), </w:t>
      </w:r>
      <w:r w:rsidR="00C66843">
        <w:t>PDOC success and abstinence again did not differ by score (</w:t>
      </w:r>
      <w:proofErr w:type="spellStart"/>
      <w:r w:rsidR="00C66843">
        <w:t>ps</w:t>
      </w:r>
      <w:proofErr w:type="spellEnd"/>
      <w:r w:rsidR="00C66843">
        <w:t xml:space="preserve"> = .82 and .07, respectively)</w:t>
      </w:r>
      <w:r w:rsidRPr="003F5BD4">
        <w:t>,</w:t>
      </w:r>
      <w:r w:rsidR="00C66843">
        <w:t xml:space="preserve"> but</w:t>
      </w:r>
      <w:r w:rsidRPr="003F5BD4">
        <w:t xml:space="preserve"> abstinence rates from all DOCs were significantly higher </w:t>
      </w:r>
      <w:r>
        <w:t xml:space="preserve">for those with more extended AOD </w:t>
      </w:r>
      <w:r w:rsidR="000608DA">
        <w:t>treatment</w:t>
      </w:r>
      <w:r w:rsidR="000608DA" w:rsidRPr="003F5BD4">
        <w:t xml:space="preserve"> </w:t>
      </w:r>
      <w:r w:rsidRPr="003F5BD4">
        <w:t>pathways (</w:t>
      </w:r>
      <w:r w:rsidR="000608DA">
        <w:t>18</w:t>
      </w:r>
      <w:r w:rsidRPr="003F5BD4">
        <w:t>%, 2</w:t>
      </w:r>
      <w:r>
        <w:t>9</w:t>
      </w:r>
      <w:r w:rsidRPr="003F5BD4">
        <w:t>%, 3</w:t>
      </w:r>
      <w:r>
        <w:t>1</w:t>
      </w:r>
      <w:r w:rsidRPr="003F5BD4">
        <w:t xml:space="preserve">%, and </w:t>
      </w:r>
      <w:r w:rsidR="000608DA">
        <w:t>37</w:t>
      </w:r>
      <w:r w:rsidRPr="003F5BD4">
        <w:t>%, respectively, for those scoring 0, 1, 2, and 3, p</w:t>
      </w:r>
      <w:r>
        <w:t xml:space="preserve"> &lt; .05</w:t>
      </w:r>
      <w:r w:rsidRPr="003F5BD4">
        <w:t>)</w:t>
      </w:r>
      <w:r w:rsidR="00801471">
        <w:t>.</w:t>
      </w:r>
    </w:p>
    <w:p w:rsidR="00072449" w:rsidRDefault="00072449" w:rsidP="0034684A">
      <w:pPr>
        <w:pStyle w:val="FAREH3"/>
      </w:pPr>
      <w:r w:rsidRPr="003F5BD4">
        <w:t>Optimal care pathways as predictor of outcome</w:t>
      </w:r>
    </w:p>
    <w:p w:rsidR="00072449" w:rsidRPr="00F24B8E" w:rsidRDefault="00072449" w:rsidP="00072449">
      <w:pPr>
        <w:pStyle w:val="FAREnormaltext"/>
      </w:pPr>
      <w:r>
        <w:t xml:space="preserve">Participants </w:t>
      </w:r>
      <w:r w:rsidRPr="003F5BD4">
        <w:t xml:space="preserve">were assigned an optimal care pathway score based on the following; having had relevant pre-PIT AOD specialist treatment (1 point), completing their PIT (1 point), having had relevant post-PIT AOD specialist treatment (1 point), engaging in other community services (except </w:t>
      </w:r>
      <w:r w:rsidRPr="003F5BD4">
        <w:lastRenderedPageBreak/>
        <w:t xml:space="preserve">housing, employment and mental health services) (1 point), engaging in mutual aid </w:t>
      </w:r>
      <w:r>
        <w:t xml:space="preserve">in the year prior to follow-up </w:t>
      </w:r>
      <w:r w:rsidRPr="003F5BD4">
        <w:t>(1 point) and with a point deducted for having any unmet needs (i.e. housing, legal or psychological problems for which they did not attend the relevant services). This gave an optimal care pathway score ranging from -1 (meaning they only had their PIT plus some unmet need) to 5 (optimal care pathway)</w:t>
      </w:r>
      <w:r w:rsidR="00801471">
        <w:t xml:space="preserve"> (see Figure 3.</w:t>
      </w:r>
      <w:r w:rsidR="00C035C3">
        <w:t>9</w:t>
      </w:r>
      <w:r w:rsidR="00801471">
        <w:t>)</w:t>
      </w:r>
      <w:r w:rsidRPr="003F5BD4">
        <w:t>.</w:t>
      </w:r>
      <w:r>
        <w:t xml:space="preserve"> This variable met our criteria to be considered normally-distributed and was therefore included in logistic regression models without transformation</w:t>
      </w:r>
      <w:r w:rsidR="00801471">
        <w:t>.</w:t>
      </w:r>
    </w:p>
    <w:p w:rsidR="00072449" w:rsidRDefault="00072449" w:rsidP="00072449">
      <w:pPr>
        <w:autoSpaceDE w:val="0"/>
        <w:autoSpaceDN w:val="0"/>
        <w:adjustRightInd w:val="0"/>
        <w:spacing w:after="0" w:line="240" w:lineRule="auto"/>
        <w:rPr>
          <w:rFonts w:ascii="Times New Roman" w:hAnsi="Times New Roman"/>
          <w:b/>
          <w:color w:val="FF0000"/>
        </w:rPr>
      </w:pPr>
      <w:r>
        <w:rPr>
          <w:noProof/>
          <w:lang w:eastAsia="en-AU"/>
        </w:rPr>
        <w:drawing>
          <wp:inline distT="0" distB="0" distL="0" distR="0">
            <wp:extent cx="3636335" cy="2317898"/>
            <wp:effectExtent l="0" t="0" r="2540" b="6350"/>
            <wp:docPr id="2" name="Chart 2" descr="Figure 3.9  Proportion of participants receiving the various levels of optimal care pathways" title="Figure 3.9  Proportion of participants receiving the various levels of optimal care pathways"/>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072449" w:rsidRPr="00E41BCC" w:rsidRDefault="00072449" w:rsidP="00E41BCC">
      <w:pPr>
        <w:pStyle w:val="FARETableStyle1"/>
      </w:pPr>
      <w:bookmarkStart w:id="127" w:name="_Toc398105118"/>
      <w:proofErr w:type="gramStart"/>
      <w:r w:rsidRPr="00E41BCC">
        <w:t xml:space="preserve">Figure </w:t>
      </w:r>
      <w:r w:rsidR="00BE3D19" w:rsidRPr="00E41BCC">
        <w:fldChar w:fldCharType="begin"/>
      </w:r>
      <w:r w:rsidRPr="00E41BCC">
        <w:instrText xml:space="preserve"> STYLEREF 1 \s </w:instrText>
      </w:r>
      <w:r w:rsidR="00BE3D19" w:rsidRPr="00E41BCC">
        <w:fldChar w:fldCharType="separate"/>
      </w:r>
      <w:r w:rsidR="00E150CA">
        <w:rPr>
          <w:noProof/>
        </w:rPr>
        <w:t>3</w:t>
      </w:r>
      <w:r w:rsidR="00BE3D19" w:rsidRPr="00E41BCC">
        <w:fldChar w:fldCharType="end"/>
      </w:r>
      <w:r w:rsidRPr="00E41BCC">
        <w:t>.</w:t>
      </w:r>
      <w:proofErr w:type="gramEnd"/>
      <w:r w:rsidR="00BE3D19" w:rsidRPr="00E41BCC">
        <w:fldChar w:fldCharType="begin"/>
      </w:r>
      <w:r w:rsidRPr="00E41BCC">
        <w:instrText xml:space="preserve"> SEQ Figure \* ARABIC \s 1 </w:instrText>
      </w:r>
      <w:r w:rsidR="00BE3D19" w:rsidRPr="00E41BCC">
        <w:fldChar w:fldCharType="separate"/>
      </w:r>
      <w:r w:rsidR="00E150CA">
        <w:rPr>
          <w:noProof/>
        </w:rPr>
        <w:t>9</w:t>
      </w:r>
      <w:r w:rsidR="00BE3D19" w:rsidRPr="00E41BCC">
        <w:fldChar w:fldCharType="end"/>
      </w:r>
      <w:r w:rsidR="006244F5" w:rsidRPr="00E41BCC">
        <w:t xml:space="preserve"> </w:t>
      </w:r>
      <w:r w:rsidRPr="00E41BCC">
        <w:t xml:space="preserve"> Proportion of </w:t>
      </w:r>
      <w:r w:rsidR="006D29AE">
        <w:t xml:space="preserve">participants </w:t>
      </w:r>
      <w:r w:rsidRPr="00E41BCC">
        <w:t>receiving the various levels of optimal care pathways</w:t>
      </w:r>
      <w:bookmarkEnd w:id="127"/>
    </w:p>
    <w:p w:rsidR="00F80EF8" w:rsidRDefault="00F80EF8" w:rsidP="00072449">
      <w:pPr>
        <w:pStyle w:val="FAREnormaltext"/>
      </w:pPr>
    </w:p>
    <w:p w:rsidR="00072449" w:rsidRPr="003F5BD4" w:rsidRDefault="00072449" w:rsidP="00072449">
      <w:pPr>
        <w:pStyle w:val="FAREnormaltext"/>
      </w:pPr>
      <w:r>
        <w:t>T</w:t>
      </w:r>
      <w:r w:rsidRPr="003F5BD4">
        <w:t>he optimal care pathway score was significantly higher (mean = 2.</w:t>
      </w:r>
      <w:r w:rsidR="00F80EF8">
        <w:t>5</w:t>
      </w:r>
      <w:r w:rsidRPr="003F5BD4">
        <w:t xml:space="preserve"> versus 2.</w:t>
      </w:r>
      <w:r w:rsidR="00F80EF8">
        <w:t>2</w:t>
      </w:r>
      <w:r w:rsidRPr="003F5BD4">
        <w:t xml:space="preserve">), among </w:t>
      </w:r>
      <w:r w:rsidR="006D29AE">
        <w:t>participants</w:t>
      </w:r>
      <w:r w:rsidRPr="003F5BD4">
        <w:t xml:space="preserve"> who were abstinent</w:t>
      </w:r>
      <w:r w:rsidR="00F80EF8">
        <w:t xml:space="preserve"> from their PDOC</w:t>
      </w:r>
      <w:r w:rsidRPr="003F5BD4">
        <w:t xml:space="preserve"> at follow-up than those who were still using their </w:t>
      </w:r>
      <w:r w:rsidR="00EE7A8F">
        <w:t>PDOC</w:t>
      </w:r>
      <w:r w:rsidRPr="003F5BD4">
        <w:t>, (p</w:t>
      </w:r>
      <w:r w:rsidR="00F80EF8">
        <w:t xml:space="preserve"> </w:t>
      </w:r>
      <w:r w:rsidRPr="003F5BD4">
        <w:t>&lt;</w:t>
      </w:r>
      <w:r w:rsidR="00F80EF8">
        <w:t xml:space="preserve"> </w:t>
      </w:r>
      <w:r w:rsidRPr="003F5BD4">
        <w:t xml:space="preserve">.01), </w:t>
      </w:r>
      <w:r w:rsidR="005E589A">
        <w:t>but did not differ</w:t>
      </w:r>
      <w:r w:rsidRPr="003F5BD4">
        <w:t xml:space="preserve"> significantly </w:t>
      </w:r>
      <w:r w:rsidR="005E589A">
        <w:t>between</w:t>
      </w:r>
      <w:r w:rsidRPr="003F5BD4">
        <w:t xml:space="preserve"> those who were a treatment success than those who were not (</w:t>
      </w:r>
      <w:r w:rsidR="005E589A">
        <w:t xml:space="preserve">mean = 2.4 versus 2.2; </w:t>
      </w:r>
      <w:r w:rsidRPr="003F5BD4">
        <w:t>p</w:t>
      </w:r>
      <w:r w:rsidR="00F80EF8">
        <w:t xml:space="preserve"> </w:t>
      </w:r>
      <w:r w:rsidR="005E589A">
        <w:t>=</w:t>
      </w:r>
      <w:r w:rsidR="00F80EF8">
        <w:t xml:space="preserve"> </w:t>
      </w:r>
      <w:r w:rsidRPr="003F5BD4">
        <w:t>.</w:t>
      </w:r>
      <w:r w:rsidR="005E589A">
        <w:t>1</w:t>
      </w:r>
      <w:r w:rsidRPr="003F5BD4">
        <w:t>5).</w:t>
      </w:r>
      <w:r>
        <w:t xml:space="preserve"> This suggests that individuals who receive more components of this care pathway are more likely to achieve abstinence.</w:t>
      </w:r>
    </w:p>
    <w:p w:rsidR="00072449" w:rsidRDefault="00072449" w:rsidP="00072449">
      <w:pPr>
        <w:pStyle w:val="FAREnormaltext"/>
      </w:pPr>
      <w:r w:rsidRPr="003F5BD4">
        <w:t xml:space="preserve">The final </w:t>
      </w:r>
      <w:r>
        <w:t xml:space="preserve">analysis examined </w:t>
      </w:r>
      <w:r w:rsidRPr="003F5BD4">
        <w:t>predictors of abstinence</w:t>
      </w:r>
      <w:r>
        <w:t xml:space="preserve"> from the </w:t>
      </w:r>
      <w:r w:rsidR="00EE7A8F">
        <w:t>PDOC</w:t>
      </w:r>
      <w:r w:rsidRPr="003F5BD4">
        <w:t xml:space="preserve"> based on </w:t>
      </w:r>
      <w:r>
        <w:t>previously identified</w:t>
      </w:r>
      <w:r w:rsidRPr="003F5BD4">
        <w:t xml:space="preserve"> significant predictors (PIT, </w:t>
      </w:r>
      <w:r w:rsidR="00EE7A8F">
        <w:t>PDOC</w:t>
      </w:r>
      <w:r w:rsidRPr="003F5BD4">
        <w:t>, follow-up interval</w:t>
      </w:r>
      <w:r w:rsidR="005E589A">
        <w:t>, and PIT duration</w:t>
      </w:r>
      <w:r w:rsidR="005E3DE5">
        <w:t xml:space="preserve"> (transformed)</w:t>
      </w:r>
      <w:r w:rsidRPr="003F5BD4">
        <w:t xml:space="preserve">) </w:t>
      </w:r>
      <w:r>
        <w:t xml:space="preserve">and optimal treatment pathway. </w:t>
      </w:r>
      <w:r w:rsidRPr="003F5BD4">
        <w:t xml:space="preserve">The significant predictors were </w:t>
      </w:r>
      <w:r>
        <w:t>residential rehabilitation</w:t>
      </w:r>
      <w:r w:rsidRPr="003F5BD4">
        <w:t xml:space="preserve"> as the PIT relative to outpatients (OR</w:t>
      </w:r>
      <w:r>
        <w:t xml:space="preserve"> </w:t>
      </w:r>
      <w:r w:rsidRPr="003F5BD4">
        <w:t>=</w:t>
      </w:r>
      <w:r>
        <w:t xml:space="preserve"> </w:t>
      </w:r>
      <w:r w:rsidRPr="003F5BD4">
        <w:t>2.</w:t>
      </w:r>
      <w:r w:rsidR="00A12BDF">
        <w:t>1</w:t>
      </w:r>
      <w:r>
        <w:t>9</w:t>
      </w:r>
      <w:r w:rsidRPr="003F5BD4">
        <w:t xml:space="preserve">, </w:t>
      </w:r>
      <w:r>
        <w:t>CI = 1.2</w:t>
      </w:r>
      <w:r w:rsidR="00A12BDF">
        <w:t>9</w:t>
      </w:r>
      <w:r>
        <w:t>-3.</w:t>
      </w:r>
      <w:r w:rsidR="00A12BDF">
        <w:t>7</w:t>
      </w:r>
      <w:r>
        <w:t>2</w:t>
      </w:r>
      <w:r w:rsidRPr="003F5BD4">
        <w:t xml:space="preserve">), </w:t>
      </w:r>
      <w:r>
        <w:t>opioids (OR = 2.</w:t>
      </w:r>
      <w:r w:rsidR="00A12BDF">
        <w:t>07</w:t>
      </w:r>
      <w:r>
        <w:t>, CI = 1.2</w:t>
      </w:r>
      <w:r w:rsidR="00A12BDF">
        <w:t>0</w:t>
      </w:r>
      <w:r>
        <w:t>-3.</w:t>
      </w:r>
      <w:r w:rsidR="00A12BDF">
        <w:t>5</w:t>
      </w:r>
      <w:r>
        <w:t>9) or meth</w:t>
      </w:r>
      <w:r w:rsidR="00E977AF">
        <w:t>/</w:t>
      </w:r>
      <w:r>
        <w:t>amphetamine</w:t>
      </w:r>
      <w:r w:rsidRPr="003F5BD4">
        <w:t xml:space="preserve"> (OR</w:t>
      </w:r>
      <w:r>
        <w:t xml:space="preserve"> </w:t>
      </w:r>
      <w:r w:rsidRPr="003F5BD4">
        <w:t>=</w:t>
      </w:r>
      <w:r>
        <w:t xml:space="preserve"> </w:t>
      </w:r>
      <w:r w:rsidRPr="003F5BD4">
        <w:t>3.7</w:t>
      </w:r>
      <w:r>
        <w:t>2</w:t>
      </w:r>
      <w:r w:rsidRPr="003F5BD4">
        <w:t xml:space="preserve">, </w:t>
      </w:r>
      <w:r>
        <w:t>CI = 2.1</w:t>
      </w:r>
      <w:r w:rsidR="00A12BDF">
        <w:t>4</w:t>
      </w:r>
      <w:r>
        <w:t>-6.45</w:t>
      </w:r>
      <w:r w:rsidRPr="003F5BD4">
        <w:t xml:space="preserve">) relative to alcohol as the </w:t>
      </w:r>
      <w:r w:rsidR="00EE7A8F">
        <w:t>PDOC</w:t>
      </w:r>
      <w:r>
        <w:t>,</w:t>
      </w:r>
      <w:r w:rsidRPr="003F5BD4">
        <w:t xml:space="preserve"> and optimal care pathway score (OR</w:t>
      </w:r>
      <w:r>
        <w:t xml:space="preserve"> </w:t>
      </w:r>
      <w:r w:rsidRPr="003F5BD4">
        <w:t>=</w:t>
      </w:r>
      <w:r>
        <w:t xml:space="preserve"> </w:t>
      </w:r>
      <w:r w:rsidRPr="003F5BD4">
        <w:t>1.2</w:t>
      </w:r>
      <w:r w:rsidR="00A12BDF">
        <w:t>0</w:t>
      </w:r>
      <w:r w:rsidRPr="003F5BD4">
        <w:t xml:space="preserve">, </w:t>
      </w:r>
      <w:r>
        <w:t>CI = 1.0</w:t>
      </w:r>
      <w:r w:rsidR="00A12BDF">
        <w:t>3</w:t>
      </w:r>
      <w:r>
        <w:t>-1.</w:t>
      </w:r>
      <w:r w:rsidR="00A12BDF">
        <w:t>39</w:t>
      </w:r>
      <w:r w:rsidRPr="003F5BD4">
        <w:t xml:space="preserve">) indicating that for every additional </w:t>
      </w:r>
      <w:r w:rsidR="00A12BDF">
        <w:t xml:space="preserve">point </w:t>
      </w:r>
      <w:r w:rsidR="00A12BDF" w:rsidRPr="003F5BD4">
        <w:t>(component)</w:t>
      </w:r>
      <w:r w:rsidR="00A12BDF">
        <w:t xml:space="preserve"> in the optimal care pathway score</w:t>
      </w:r>
      <w:r w:rsidRPr="003F5BD4">
        <w:t xml:space="preserve"> the odds of being abstinent increased by 2</w:t>
      </w:r>
      <w:r w:rsidR="00A12BDF">
        <w:t>0</w:t>
      </w:r>
      <w:r w:rsidRPr="003F5BD4">
        <w:t>%.</w:t>
      </w:r>
    </w:p>
    <w:p w:rsidR="00981D9D" w:rsidRDefault="00072449" w:rsidP="00072449">
      <w:pPr>
        <w:pStyle w:val="FAREnormaltext"/>
      </w:pPr>
      <w:r w:rsidRPr="003F5BD4">
        <w:t>The model</w:t>
      </w:r>
      <w:r>
        <w:t xml:space="preserve"> predicting abstinence from the </w:t>
      </w:r>
      <w:r w:rsidR="00EE7A8F">
        <w:t>PDOC</w:t>
      </w:r>
      <w:r w:rsidRPr="003F5BD4">
        <w:t xml:space="preserve"> was run separately for alcohol and illicit drugs. For alcohol </w:t>
      </w:r>
      <w:r>
        <w:t>participants,</w:t>
      </w:r>
      <w:r w:rsidRPr="003F5BD4">
        <w:t xml:space="preserve"> </w:t>
      </w:r>
      <w:r>
        <w:t>residential rehabilitation</w:t>
      </w:r>
      <w:r w:rsidRPr="003F5BD4">
        <w:t xml:space="preserve"> as the PIT (OR</w:t>
      </w:r>
      <w:r>
        <w:t xml:space="preserve"> </w:t>
      </w:r>
      <w:r w:rsidRPr="003F5BD4">
        <w:t>=</w:t>
      </w:r>
      <w:r>
        <w:t xml:space="preserve"> </w:t>
      </w:r>
      <w:r w:rsidRPr="003F5BD4">
        <w:t>2.9</w:t>
      </w:r>
      <w:r w:rsidR="00772169">
        <w:t>6</w:t>
      </w:r>
      <w:r w:rsidRPr="003F5BD4">
        <w:t>,</w:t>
      </w:r>
      <w:r>
        <w:t xml:space="preserve"> CI = 1.2</w:t>
      </w:r>
      <w:r w:rsidR="00772169">
        <w:t>1</w:t>
      </w:r>
      <w:r>
        <w:t>-7.</w:t>
      </w:r>
      <w:r w:rsidR="00772169">
        <w:t>28</w:t>
      </w:r>
      <w:r w:rsidRPr="003F5BD4">
        <w:t>) and optimal care pathway score (OR</w:t>
      </w:r>
      <w:r>
        <w:t xml:space="preserve"> </w:t>
      </w:r>
      <w:r w:rsidRPr="003F5BD4">
        <w:t>=</w:t>
      </w:r>
      <w:r>
        <w:t xml:space="preserve"> </w:t>
      </w:r>
      <w:r w:rsidRPr="003F5BD4">
        <w:t>1.4</w:t>
      </w:r>
      <w:r w:rsidR="00772169">
        <w:t>3</w:t>
      </w:r>
      <w:r w:rsidRPr="003F5BD4">
        <w:t xml:space="preserve">, </w:t>
      </w:r>
      <w:r>
        <w:t>CI = 1.1</w:t>
      </w:r>
      <w:r w:rsidR="00772169">
        <w:t>4</w:t>
      </w:r>
      <w:r>
        <w:t>-1.</w:t>
      </w:r>
      <w:r w:rsidR="00772169">
        <w:t>81</w:t>
      </w:r>
      <w:r w:rsidRPr="003F5BD4">
        <w:t xml:space="preserve">) </w:t>
      </w:r>
      <w:r>
        <w:t>were</w:t>
      </w:r>
      <w:r w:rsidRPr="003F5BD4">
        <w:t xml:space="preserve"> significant predictors. For </w:t>
      </w:r>
      <w:r>
        <w:t xml:space="preserve">participants whose </w:t>
      </w:r>
      <w:r w:rsidR="00EE7A8F">
        <w:t>PDOC</w:t>
      </w:r>
      <w:r w:rsidRPr="00D17FDA">
        <w:t xml:space="preserve"> </w:t>
      </w:r>
      <w:r>
        <w:t>was a drug other than alcohol</w:t>
      </w:r>
      <w:r w:rsidR="008E4F6A">
        <w:t xml:space="preserve"> or tobacco</w:t>
      </w:r>
      <w:r>
        <w:t>,</w:t>
      </w:r>
      <w:r w:rsidRPr="003F5BD4">
        <w:t xml:space="preserve"> </w:t>
      </w:r>
      <w:r>
        <w:t>optimal care pathway score was not a significant predictor of abstinence (OR = 1.0</w:t>
      </w:r>
      <w:r w:rsidR="008E4F6A">
        <w:t>6</w:t>
      </w:r>
      <w:r>
        <w:t>, CI = 0.8</w:t>
      </w:r>
      <w:r w:rsidR="008E4F6A">
        <w:t>6</w:t>
      </w:r>
      <w:r>
        <w:t>-1.3</w:t>
      </w:r>
      <w:r w:rsidR="008E4F6A">
        <w:t>0</w:t>
      </w:r>
      <w:r>
        <w:t>).</w:t>
      </w:r>
      <w:r w:rsidRPr="003F5BD4">
        <w:t xml:space="preserve"> </w:t>
      </w:r>
      <w:r w:rsidR="008E4F6A">
        <w:t>Long-term residential treatment was again superior to outpatient treatment (OR = 2.03, CI = 1.01-4.08)</w:t>
      </w:r>
      <w:r w:rsidRPr="003F5BD4">
        <w:t>.</w:t>
      </w:r>
      <w:r>
        <w:t xml:space="preserve"> </w:t>
      </w:r>
      <w:r w:rsidR="008E4F6A">
        <w:t>Those with meth</w:t>
      </w:r>
      <w:r w:rsidR="00E977AF">
        <w:t>/a</w:t>
      </w:r>
      <w:r w:rsidR="008E4F6A">
        <w:t>mphetamine as their PDOC were more likely to achieve abstinence than those with cannabis as their PDOC</w:t>
      </w:r>
      <w:r w:rsidR="0080207E">
        <w:t xml:space="preserve"> (OR = 2.42, CI = 1.20-4.88)</w:t>
      </w:r>
      <w:r>
        <w:t>.</w:t>
      </w:r>
      <w:r w:rsidRPr="003F5BD4">
        <w:t xml:space="preserve"> This suggests that optimal care pathways are only important if the </w:t>
      </w:r>
      <w:r w:rsidR="00EE7A8F">
        <w:t>PDOC</w:t>
      </w:r>
      <w:r w:rsidRPr="003F5BD4">
        <w:t xml:space="preserve"> is alcohol.</w:t>
      </w:r>
    </w:p>
    <w:p w:rsidR="00072449" w:rsidRPr="003F5BD4" w:rsidRDefault="00072449" w:rsidP="00072449">
      <w:pPr>
        <w:pStyle w:val="FAREnormaltext"/>
      </w:pPr>
    </w:p>
    <w:p w:rsidR="00072449" w:rsidRDefault="00072449" w:rsidP="0034684A">
      <w:pPr>
        <w:pStyle w:val="FAREH3"/>
      </w:pPr>
      <w:r w:rsidRPr="003F5BD4">
        <w:lastRenderedPageBreak/>
        <w:t xml:space="preserve">Predictors of </w:t>
      </w:r>
      <w:r>
        <w:t xml:space="preserve">outcomes among </w:t>
      </w:r>
      <w:r w:rsidR="006D29AE">
        <w:t>participants</w:t>
      </w:r>
      <w:r w:rsidRPr="003F5BD4">
        <w:t xml:space="preserve"> with complex</w:t>
      </w:r>
      <w:r>
        <w:t xml:space="preserve"> needs</w:t>
      </w:r>
    </w:p>
    <w:p w:rsidR="00072449" w:rsidRDefault="00072449" w:rsidP="00072449">
      <w:pPr>
        <w:pStyle w:val="FAREnormaltext"/>
      </w:pPr>
      <w:r w:rsidRPr="003F5BD4">
        <w:t>The following analyses explored whether engaging in the appropriate service (housing, mental health or employment) for those with an identified need at baseline impacted on outcome (abstinence</w:t>
      </w:r>
      <w:r>
        <w:t xml:space="preserve"> from </w:t>
      </w:r>
      <w:r w:rsidR="00EE7A8F">
        <w:t>PDOC</w:t>
      </w:r>
      <w:r w:rsidRPr="003F5BD4">
        <w:t>).</w:t>
      </w:r>
      <w:r w:rsidR="007046AE">
        <w:t xml:space="preserve"> </w:t>
      </w:r>
      <w:r w:rsidRPr="003F5BD4">
        <w:t>The first step involved identifying demographic</w:t>
      </w:r>
      <w:r>
        <w:t xml:space="preserve"> and </w:t>
      </w:r>
      <w:r w:rsidR="00EE7A8F">
        <w:t>PDOC</w:t>
      </w:r>
      <w:r w:rsidRPr="003F5BD4">
        <w:t xml:space="preserve"> characteristics (</w:t>
      </w:r>
      <w:r>
        <w:t xml:space="preserve">transformed </w:t>
      </w:r>
      <w:r w:rsidRPr="003F5BD4">
        <w:t xml:space="preserve">age, gender, marital status, born in Australia, </w:t>
      </w:r>
      <w:r w:rsidR="00EE7A8F">
        <w:t>PDOC</w:t>
      </w:r>
      <w:r w:rsidRPr="003F5BD4">
        <w:t>, and SDS</w:t>
      </w:r>
      <w:r>
        <w:t xml:space="preserve"> </w:t>
      </w:r>
      <w:r>
        <w:rPr>
          <w:u w:val="single"/>
        </w:rPr>
        <w:t>&gt;</w:t>
      </w:r>
      <w:r>
        <w:t xml:space="preserve"> 7</w:t>
      </w:r>
      <w:r w:rsidRPr="003F5BD4">
        <w:t xml:space="preserve">) that predicted </w:t>
      </w:r>
      <w:r w:rsidR="00EE7A8F">
        <w:t>PDOC</w:t>
      </w:r>
      <w:r w:rsidRPr="003F5BD4">
        <w:t xml:space="preserve"> abstinence at follow-up</w:t>
      </w:r>
      <w:r>
        <w:t xml:space="preserve">. In the case of those with recent homelessness (n = 125) at baseline, both </w:t>
      </w:r>
      <w:r w:rsidR="00EE7A8F">
        <w:t>PDOC</w:t>
      </w:r>
      <w:r>
        <w:t xml:space="preserve"> and SDS category were significant predictors, while for those with employment difficulties (n = 296)</w:t>
      </w:r>
      <w:r w:rsidRPr="0087615D">
        <w:t xml:space="preserve"> </w:t>
      </w:r>
      <w:r>
        <w:t xml:space="preserve">or with poor psychological </w:t>
      </w:r>
      <w:r w:rsidR="00EE7A8F">
        <w:t>QOL</w:t>
      </w:r>
      <w:r>
        <w:t xml:space="preserve"> (n = 308)</w:t>
      </w:r>
      <w:r w:rsidRPr="0087615D">
        <w:t xml:space="preserve"> </w:t>
      </w:r>
      <w:r>
        <w:t xml:space="preserve">at baseline, only </w:t>
      </w:r>
      <w:r w:rsidR="00EE7A8F">
        <w:t>PDOC</w:t>
      </w:r>
      <w:r>
        <w:t xml:space="preserve"> was a significant predictor</w:t>
      </w:r>
      <w:r w:rsidRPr="003F5BD4">
        <w:t xml:space="preserve">. </w:t>
      </w:r>
      <w:r w:rsidR="00EE7A8F">
        <w:t>PDOC</w:t>
      </w:r>
      <w:r>
        <w:t xml:space="preserve"> (and SDS for those with recent homelessness) </w:t>
      </w:r>
      <w:r w:rsidRPr="003F5BD4">
        <w:t>were the</w:t>
      </w:r>
      <w:r>
        <w:t>refore</w:t>
      </w:r>
      <w:r w:rsidRPr="003F5BD4">
        <w:t xml:space="preserve"> added to a second regression model predicting </w:t>
      </w:r>
      <w:r w:rsidR="00EE7A8F">
        <w:t>PDOC</w:t>
      </w:r>
      <w:r w:rsidRPr="003F5BD4">
        <w:t xml:space="preserve"> abstinence at follow-up</w:t>
      </w:r>
      <w:r>
        <w:t>,</w:t>
      </w:r>
      <w:r w:rsidRPr="003F5BD4">
        <w:t xml:space="preserve"> which included engagement in the relevant service use (</w:t>
      </w:r>
      <w:r>
        <w:t>e.g.</w:t>
      </w:r>
      <w:r w:rsidRPr="003F5BD4">
        <w:t xml:space="preserve"> housing service use post-PIT when analyses were run on those with </w:t>
      </w:r>
      <w:r>
        <w:t>recent homelessness</w:t>
      </w:r>
      <w:r w:rsidRPr="003F5BD4">
        <w:t xml:space="preserve"> at baseline), optimal AOD treatment pathway (0, 1</w:t>
      </w:r>
      <w:r>
        <w:t>,</w:t>
      </w:r>
      <w:r w:rsidRPr="003F5BD4">
        <w:t xml:space="preserve"> or 2), any</w:t>
      </w:r>
      <w:r>
        <w:t xml:space="preserve"> other</w:t>
      </w:r>
      <w:r w:rsidRPr="003F5BD4">
        <w:t xml:space="preserve"> community service use, any mutual aid attendance, PIT completed, P</w:t>
      </w:r>
      <w:r>
        <w:t>IT-type, follow-up interval</w:t>
      </w:r>
      <w:r w:rsidR="00EE0132">
        <w:t>, and PIT duration (transformed)</w:t>
      </w:r>
      <w:r>
        <w:t>.</w:t>
      </w:r>
    </w:p>
    <w:p w:rsidR="00072449" w:rsidRDefault="00072449" w:rsidP="00072449">
      <w:pPr>
        <w:pStyle w:val="FAREnormaltext"/>
      </w:pPr>
      <w:r w:rsidRPr="003F5BD4">
        <w:t xml:space="preserve">For </w:t>
      </w:r>
      <w:r w:rsidR="006D29AE">
        <w:t>participants</w:t>
      </w:r>
      <w:r w:rsidRPr="003F5BD4">
        <w:t xml:space="preserve"> with </w:t>
      </w:r>
      <w:r w:rsidR="006747B5">
        <w:t>recent homelessness</w:t>
      </w:r>
      <w:r w:rsidRPr="003F5BD4">
        <w:t xml:space="preserve"> at baseline</w:t>
      </w:r>
      <w:r>
        <w:t>, having</w:t>
      </w:r>
      <w:r w:rsidRPr="003F5BD4">
        <w:t xml:space="preserve"> cannabis (OR = </w:t>
      </w:r>
      <w:r w:rsidR="006747B5">
        <w:t>6.55</w:t>
      </w:r>
      <w:r w:rsidRPr="003F5BD4">
        <w:t xml:space="preserve">, </w:t>
      </w:r>
      <w:r>
        <w:t>CI = 1.</w:t>
      </w:r>
      <w:r w:rsidR="006747B5">
        <w:t>33</w:t>
      </w:r>
      <w:r>
        <w:t>-</w:t>
      </w:r>
      <w:r w:rsidR="006747B5">
        <w:t>3</w:t>
      </w:r>
      <w:r>
        <w:t>2.</w:t>
      </w:r>
      <w:r w:rsidR="006747B5">
        <w:t>16</w:t>
      </w:r>
      <w:r w:rsidRPr="003F5BD4">
        <w:t xml:space="preserve">) or </w:t>
      </w:r>
      <w:r>
        <w:t>meth</w:t>
      </w:r>
      <w:r w:rsidR="00E977AF">
        <w:t>/</w:t>
      </w:r>
      <w:r w:rsidRPr="003F5BD4">
        <w:t xml:space="preserve">amphetamine (OR = </w:t>
      </w:r>
      <w:r>
        <w:t>1</w:t>
      </w:r>
      <w:r w:rsidR="006747B5">
        <w:t>2</w:t>
      </w:r>
      <w:r>
        <w:t>.</w:t>
      </w:r>
      <w:r w:rsidR="006747B5">
        <w:t>29</w:t>
      </w:r>
      <w:r w:rsidRPr="003F5BD4">
        <w:t xml:space="preserve">, </w:t>
      </w:r>
      <w:r>
        <w:t>CI = 2.</w:t>
      </w:r>
      <w:r w:rsidR="006747B5">
        <w:t>85</w:t>
      </w:r>
      <w:r>
        <w:t>-</w:t>
      </w:r>
      <w:r w:rsidR="006747B5">
        <w:t>52</w:t>
      </w:r>
      <w:r>
        <w:t>.</w:t>
      </w:r>
      <w:r w:rsidR="006747B5">
        <w:t>94</w:t>
      </w:r>
      <w:r w:rsidRPr="003F5BD4">
        <w:t xml:space="preserve">) compared to alcohol as the </w:t>
      </w:r>
      <w:r w:rsidR="00EE7A8F">
        <w:t>PDOC</w:t>
      </w:r>
      <w:r w:rsidRPr="003F5BD4">
        <w:t xml:space="preserve"> were significant predictors of </w:t>
      </w:r>
      <w:r w:rsidR="00EE7A8F">
        <w:t>PDOC</w:t>
      </w:r>
      <w:r w:rsidRPr="003F5BD4">
        <w:t xml:space="preserve"> abstinence, along with </w:t>
      </w:r>
      <w:r>
        <w:t xml:space="preserve">having an SDS score </w:t>
      </w:r>
      <w:r>
        <w:rPr>
          <w:u w:val="single"/>
        </w:rPr>
        <w:t>&gt;</w:t>
      </w:r>
      <w:r>
        <w:t xml:space="preserve"> 7 (OR = </w:t>
      </w:r>
      <w:r w:rsidR="006747B5">
        <w:t>6.61</w:t>
      </w:r>
      <w:r>
        <w:t>, CI = 1.</w:t>
      </w:r>
      <w:r w:rsidR="006747B5">
        <w:t>10</w:t>
      </w:r>
      <w:r>
        <w:t>-</w:t>
      </w:r>
      <w:r w:rsidR="006747B5">
        <w:t>3</w:t>
      </w:r>
      <w:r>
        <w:t>9.</w:t>
      </w:r>
      <w:r w:rsidR="006747B5">
        <w:t>63)</w:t>
      </w:r>
      <w:r>
        <w:t>.</w:t>
      </w:r>
      <w:r w:rsidRPr="003F5BD4">
        <w:t xml:space="preserve"> </w:t>
      </w:r>
      <w:r w:rsidR="00993536">
        <w:t xml:space="preserve">There was an overall significant effect of AOD treatment pathway (p &lt; .05), though this is difficult to interpret because neither scoring 1 point (OR = 1.41, CI = 0.26-7.59), not scoring 2 points (OR = 0.28, CI = 0.04-1.76) predicted an outcome significantly different to scoring 0 points. </w:t>
      </w:r>
      <w:r>
        <w:t>E</w:t>
      </w:r>
      <w:r w:rsidRPr="003F5BD4">
        <w:t xml:space="preserve">ngaging with a housing service </w:t>
      </w:r>
      <w:r>
        <w:t>between baseline and follow-up</w:t>
      </w:r>
      <w:r w:rsidRPr="003F5BD4">
        <w:t xml:space="preserve"> was not a </w:t>
      </w:r>
      <w:r>
        <w:t xml:space="preserve">significant </w:t>
      </w:r>
      <w:r w:rsidRPr="003F5BD4">
        <w:t>predictor of abstinence.</w:t>
      </w:r>
    </w:p>
    <w:p w:rsidR="00072449" w:rsidRDefault="00072449" w:rsidP="00072449">
      <w:pPr>
        <w:pStyle w:val="FAREnormaltext"/>
      </w:pPr>
      <w:r w:rsidRPr="002F2CA8">
        <w:t xml:space="preserve">For </w:t>
      </w:r>
      <w:r w:rsidR="006D29AE">
        <w:t>participants</w:t>
      </w:r>
      <w:r w:rsidRPr="002F2CA8">
        <w:t xml:space="preserve"> with poor psychological </w:t>
      </w:r>
      <w:r w:rsidR="00EE7A8F">
        <w:t>QOL</w:t>
      </w:r>
      <w:r w:rsidRPr="002F2CA8">
        <w:t xml:space="preserve"> at baseline</w:t>
      </w:r>
      <w:r>
        <w:t>, having</w:t>
      </w:r>
      <w:r w:rsidRPr="002F2CA8">
        <w:t xml:space="preserve"> cannabis (OR = 2.</w:t>
      </w:r>
      <w:r w:rsidR="00EF0B0F">
        <w:t>78</w:t>
      </w:r>
      <w:r w:rsidRPr="002F2CA8">
        <w:t xml:space="preserve">, </w:t>
      </w:r>
      <w:r>
        <w:t>CI = 1.</w:t>
      </w:r>
      <w:r w:rsidR="00EF0B0F">
        <w:t>24</w:t>
      </w:r>
      <w:r>
        <w:t>-</w:t>
      </w:r>
      <w:r w:rsidR="00EF0B0F">
        <w:t>6.26</w:t>
      </w:r>
      <w:r w:rsidRPr="002F2CA8">
        <w:t xml:space="preserve">), </w:t>
      </w:r>
      <w:r>
        <w:t>meth</w:t>
      </w:r>
      <w:r w:rsidR="00E977AF">
        <w:t>/</w:t>
      </w:r>
      <w:r w:rsidRPr="002F2CA8">
        <w:t xml:space="preserve">amphetamine (OR = </w:t>
      </w:r>
      <w:r w:rsidR="00EF0B0F">
        <w:t>5.1</w:t>
      </w:r>
      <w:r>
        <w:t>3</w:t>
      </w:r>
      <w:r w:rsidRPr="002F2CA8">
        <w:t xml:space="preserve">, </w:t>
      </w:r>
      <w:r>
        <w:t>CI = 2.</w:t>
      </w:r>
      <w:r w:rsidR="00EF0B0F">
        <w:t>19</w:t>
      </w:r>
      <w:r>
        <w:t>-11.</w:t>
      </w:r>
      <w:r w:rsidR="00EF0B0F">
        <w:t>97</w:t>
      </w:r>
      <w:r w:rsidRPr="002F2CA8">
        <w:t>) or opi</w:t>
      </w:r>
      <w:r>
        <w:t>oids</w:t>
      </w:r>
      <w:r w:rsidRPr="002F2CA8">
        <w:t xml:space="preserve"> (OR = </w:t>
      </w:r>
      <w:r w:rsidR="00EF0B0F">
        <w:t>3.18</w:t>
      </w:r>
      <w:r w:rsidRPr="002F2CA8">
        <w:t xml:space="preserve">, </w:t>
      </w:r>
      <w:r>
        <w:t>CI = 1.</w:t>
      </w:r>
      <w:r w:rsidR="00EF0B0F">
        <w:t>5</w:t>
      </w:r>
      <w:r>
        <w:t>3-</w:t>
      </w:r>
      <w:r w:rsidR="00EF0B0F">
        <w:t>6.60</w:t>
      </w:r>
      <w:r w:rsidRPr="002F2CA8">
        <w:t xml:space="preserve">) as a </w:t>
      </w:r>
      <w:r w:rsidR="00EE7A8F">
        <w:t>PDOC</w:t>
      </w:r>
      <w:r w:rsidRPr="002F2CA8">
        <w:t xml:space="preserve"> compared to alcohol were significant predictors of </w:t>
      </w:r>
      <w:r w:rsidR="00EE7A8F">
        <w:t>PDOC</w:t>
      </w:r>
      <w:r w:rsidRPr="002F2CA8">
        <w:t xml:space="preserve"> abstinence, as were PIT</w:t>
      </w:r>
      <w:r>
        <w:t xml:space="preserve"> </w:t>
      </w:r>
      <w:r w:rsidRPr="002F2CA8">
        <w:t>completed (OR = 2.</w:t>
      </w:r>
      <w:r w:rsidR="00EF0B0F">
        <w:t>11</w:t>
      </w:r>
      <w:r w:rsidRPr="002F2CA8">
        <w:t xml:space="preserve">, </w:t>
      </w:r>
      <w:r>
        <w:t>CI = 1.</w:t>
      </w:r>
      <w:r w:rsidR="00EF0B0F">
        <w:t>07</w:t>
      </w:r>
      <w:r>
        <w:t>-4.</w:t>
      </w:r>
      <w:r w:rsidR="00EF0B0F">
        <w:t>16</w:t>
      </w:r>
      <w:r w:rsidRPr="002F2CA8">
        <w:t xml:space="preserve">) and mutual aid attendance (OR = </w:t>
      </w:r>
      <w:r w:rsidR="00EF0B0F">
        <w:t>1.97</w:t>
      </w:r>
      <w:r w:rsidRPr="002F2CA8">
        <w:t xml:space="preserve">, </w:t>
      </w:r>
      <w:r>
        <w:t>CI</w:t>
      </w:r>
      <w:r w:rsidRPr="002F2CA8">
        <w:t xml:space="preserve"> </w:t>
      </w:r>
      <w:r>
        <w:t>=</w:t>
      </w:r>
      <w:r w:rsidRPr="002F2CA8">
        <w:t xml:space="preserve"> </w:t>
      </w:r>
      <w:r>
        <w:t>1.</w:t>
      </w:r>
      <w:r w:rsidR="00EF0B0F">
        <w:t>07</w:t>
      </w:r>
      <w:r>
        <w:t>-3.</w:t>
      </w:r>
      <w:r w:rsidR="00EF0B0F">
        <w:t>62</w:t>
      </w:r>
      <w:r w:rsidRPr="002F2CA8">
        <w:t>).</w:t>
      </w:r>
      <w:r>
        <w:t xml:space="preserve"> E</w:t>
      </w:r>
      <w:r w:rsidRPr="002F2CA8">
        <w:t>ngaging a mental health service in the year after their PIT was not a predictor of abstinence</w:t>
      </w:r>
      <w:r>
        <w:t>, though engagement in these services is likely to be associated with greater morbidity, which in turn is likely to be associated with poorer outcomes, thus confounding our ability to detect any positive effect of engagement</w:t>
      </w:r>
      <w:r w:rsidRPr="002F2CA8">
        <w:t>.</w:t>
      </w:r>
    </w:p>
    <w:p w:rsidR="00FA516F" w:rsidRDefault="00072449" w:rsidP="00F30ADC">
      <w:pPr>
        <w:pStyle w:val="FAREnormaltext"/>
      </w:pPr>
      <w:r w:rsidRPr="002F2CA8">
        <w:t xml:space="preserve">Finally, for </w:t>
      </w:r>
      <w:r w:rsidR="006D29AE">
        <w:t>participants</w:t>
      </w:r>
      <w:r w:rsidRPr="002F2CA8">
        <w:t xml:space="preserve"> </w:t>
      </w:r>
      <w:r>
        <w:t>with employment problems</w:t>
      </w:r>
      <w:r w:rsidRPr="002F2CA8">
        <w:t xml:space="preserve"> at baseline, </w:t>
      </w:r>
      <w:r>
        <w:t>h</w:t>
      </w:r>
      <w:r w:rsidRPr="002F2CA8">
        <w:t xml:space="preserve">aving </w:t>
      </w:r>
      <w:r>
        <w:t>meth</w:t>
      </w:r>
      <w:r w:rsidR="00E977AF">
        <w:t>/</w:t>
      </w:r>
      <w:r w:rsidRPr="002F2CA8">
        <w:t>amphetamine (OR</w:t>
      </w:r>
      <w:r>
        <w:t xml:space="preserve"> </w:t>
      </w:r>
      <w:r w:rsidRPr="002F2CA8">
        <w:t>=</w:t>
      </w:r>
      <w:r>
        <w:t xml:space="preserve"> </w:t>
      </w:r>
      <w:r w:rsidR="00AA342F">
        <w:t>8</w:t>
      </w:r>
      <w:r w:rsidRPr="002F2CA8">
        <w:t>.</w:t>
      </w:r>
      <w:r w:rsidR="00AA342F">
        <w:t>6</w:t>
      </w:r>
      <w:r w:rsidRPr="002F2CA8">
        <w:t xml:space="preserve">0, </w:t>
      </w:r>
      <w:r>
        <w:t>CI = 3.</w:t>
      </w:r>
      <w:r w:rsidR="00AA342F">
        <w:t>76</w:t>
      </w:r>
      <w:r>
        <w:t>-1</w:t>
      </w:r>
      <w:r w:rsidR="00AA342F">
        <w:t>9.63</w:t>
      </w:r>
      <w:r w:rsidRPr="002F2CA8">
        <w:t>)</w:t>
      </w:r>
      <w:r w:rsidR="00AA342F">
        <w:t xml:space="preserve"> or cannabis (OR = 2.51, CI = 1.06-5.95)</w:t>
      </w:r>
      <w:r w:rsidRPr="002F2CA8">
        <w:t xml:space="preserve"> as a </w:t>
      </w:r>
      <w:r w:rsidR="00EE7A8F">
        <w:t>PDOC</w:t>
      </w:r>
      <w:r w:rsidRPr="002F2CA8">
        <w:t xml:space="preserve"> compared to alcohol, having </w:t>
      </w:r>
      <w:r>
        <w:t xml:space="preserve">residential rehabilitation as their PIT (OR = </w:t>
      </w:r>
      <w:r w:rsidR="00AA342F">
        <w:t>3.28</w:t>
      </w:r>
      <w:r>
        <w:t>, CI = 1.</w:t>
      </w:r>
      <w:r w:rsidR="00AA342F">
        <w:t>4</w:t>
      </w:r>
      <w:r>
        <w:t>3-</w:t>
      </w:r>
      <w:r w:rsidR="00AA342F">
        <w:t>7.50</w:t>
      </w:r>
      <w:r>
        <w:t>), PIT-completed (OR = 2.</w:t>
      </w:r>
      <w:r w:rsidR="00AA342F">
        <w:t>83</w:t>
      </w:r>
      <w:r>
        <w:t>, CI = 1.</w:t>
      </w:r>
      <w:r w:rsidR="00AA342F">
        <w:t>39</w:t>
      </w:r>
      <w:r>
        <w:t>-5.</w:t>
      </w:r>
      <w:r w:rsidR="00AA342F">
        <w:t>74</w:t>
      </w:r>
      <w:r w:rsidRPr="002F2CA8">
        <w:t>) and mutual aid attendance (OR</w:t>
      </w:r>
      <w:r>
        <w:t xml:space="preserve"> </w:t>
      </w:r>
      <w:r w:rsidRPr="002F2CA8">
        <w:t>=</w:t>
      </w:r>
      <w:r>
        <w:t xml:space="preserve"> </w:t>
      </w:r>
      <w:r w:rsidRPr="002F2CA8">
        <w:t>1.9</w:t>
      </w:r>
      <w:r w:rsidR="00AA342F">
        <w:t>4</w:t>
      </w:r>
      <w:r w:rsidRPr="002F2CA8">
        <w:t xml:space="preserve">, </w:t>
      </w:r>
      <w:r>
        <w:t>CI = 1.0</w:t>
      </w:r>
      <w:r w:rsidR="00AA342F">
        <w:t>05</w:t>
      </w:r>
      <w:r>
        <w:t>-3.</w:t>
      </w:r>
      <w:r w:rsidR="00AA342F">
        <w:t>7</w:t>
      </w:r>
      <w:r>
        <w:t>3</w:t>
      </w:r>
      <w:r w:rsidRPr="002F2CA8">
        <w:t xml:space="preserve">) were significant predictors of </w:t>
      </w:r>
      <w:r w:rsidR="00EE7A8F">
        <w:t>PDOC</w:t>
      </w:r>
      <w:r w:rsidRPr="002F2CA8">
        <w:t xml:space="preserve"> abstinence. </w:t>
      </w:r>
      <w:r>
        <w:t>E</w:t>
      </w:r>
      <w:r w:rsidRPr="002F2CA8">
        <w:t>ngaging with an employment service significant</w:t>
      </w:r>
      <w:r>
        <w:t>ly</w:t>
      </w:r>
      <w:r w:rsidRPr="002F2CA8">
        <w:t xml:space="preserve"> predict</w:t>
      </w:r>
      <w:r>
        <w:t xml:space="preserve">ed reduced likelihood of abstinence from the </w:t>
      </w:r>
      <w:r w:rsidR="00EE7A8F">
        <w:t>PDOC</w:t>
      </w:r>
      <w:r w:rsidRPr="002F2CA8">
        <w:t xml:space="preserve"> (OR</w:t>
      </w:r>
      <w:r>
        <w:t xml:space="preserve"> </w:t>
      </w:r>
      <w:r w:rsidRPr="002F2CA8">
        <w:t>= 0.</w:t>
      </w:r>
      <w:r w:rsidR="00AA342F">
        <w:t>44</w:t>
      </w:r>
      <w:r w:rsidRPr="002F2CA8">
        <w:t xml:space="preserve">, </w:t>
      </w:r>
      <w:r>
        <w:t>CI = 0.</w:t>
      </w:r>
      <w:r w:rsidR="00AA342F">
        <w:t>24</w:t>
      </w:r>
      <w:r>
        <w:t>-0.</w:t>
      </w:r>
      <w:r w:rsidR="00AA342F">
        <w:t>78</w:t>
      </w:r>
      <w:r w:rsidRPr="002F2CA8">
        <w:t>).</w:t>
      </w:r>
      <w:r w:rsidR="00AA342F">
        <w:t xml:space="preserve"> There was an overall effect of </w:t>
      </w:r>
      <w:proofErr w:type="spellStart"/>
      <w:r w:rsidR="00AA342F">
        <w:t>AoD</w:t>
      </w:r>
      <w:proofErr w:type="spellEnd"/>
      <w:r w:rsidR="00AA342F">
        <w:t xml:space="preserve"> pathway score (p &lt; .01) but this was difficult to interpret as neither </w:t>
      </w:r>
      <w:r w:rsidR="00F30ADC">
        <w:t>having</w:t>
      </w:r>
      <w:r w:rsidR="00AA342F">
        <w:t xml:space="preserve"> 1 point (OR = 1.70, CI = 0.65-4.41) nor </w:t>
      </w:r>
      <w:r w:rsidR="00F30ADC">
        <w:t>having</w:t>
      </w:r>
      <w:r w:rsidR="00AA342F">
        <w:t xml:space="preserve"> 2 points (OR = 0.57, CI = 0.21-1.51</w:t>
      </w:r>
      <w:r w:rsidR="00F30ADC">
        <w:t>) significantly predicted a different outcome from those with 0 points.</w:t>
      </w:r>
      <w:bookmarkStart w:id="128" w:name="_Toc387426338"/>
    </w:p>
    <w:p w:rsidR="00FA516F" w:rsidRDefault="00FA516F" w:rsidP="0034684A">
      <w:pPr>
        <w:pStyle w:val="FAREH3"/>
      </w:pPr>
      <w:r>
        <w:lastRenderedPageBreak/>
        <w:t>Weighting of sample according to PIT type</w:t>
      </w:r>
    </w:p>
    <w:p w:rsidR="00317CA2" w:rsidRPr="00143847" w:rsidRDefault="00FA516F" w:rsidP="00FA516F">
      <w:pPr>
        <w:pStyle w:val="FAREnormaltext"/>
      </w:pPr>
      <w:r w:rsidRPr="00143847">
        <w:t>The proportion of our sample in each treatment type differed markedly from the proportion of total episodes of each type of treatment (for clients’ own substance use) in the specialist A</w:t>
      </w:r>
      <w:r w:rsidR="00A27AF7" w:rsidRPr="00143847">
        <w:t>O</w:t>
      </w:r>
      <w:r w:rsidRPr="00143847">
        <w:t xml:space="preserve">D treatment system </w:t>
      </w:r>
      <w:r w:rsidR="00410E52" w:rsidRPr="00143847">
        <w:t>based on</w:t>
      </w:r>
      <w:r w:rsidRPr="00143847">
        <w:t xml:space="preserve"> </w:t>
      </w:r>
      <w:r w:rsidR="000A2E35" w:rsidRPr="00143847">
        <w:t xml:space="preserve">the </w:t>
      </w:r>
      <w:r w:rsidRPr="00143847">
        <w:t xml:space="preserve">2011-12 AIHW dataset (combining data from WA and Victoria). </w:t>
      </w:r>
    </w:p>
    <w:p w:rsidR="00317CA2" w:rsidRPr="00415291" w:rsidRDefault="00317CA2" w:rsidP="00317CA2">
      <w:pPr>
        <w:pStyle w:val="FAREtableheading"/>
      </w:pPr>
      <w:bookmarkStart w:id="129" w:name="_Toc398105079"/>
      <w:proofErr w:type="gramStart"/>
      <w:r w:rsidRPr="00415291">
        <w:t xml:space="preserve">Table </w:t>
      </w:r>
      <w:r w:rsidR="00BE3D19">
        <w:fldChar w:fldCharType="begin"/>
      </w:r>
      <w:r w:rsidR="00AC0921">
        <w:instrText xml:space="preserve"> STYLEREF 1 \s </w:instrText>
      </w:r>
      <w:r w:rsidR="00BE3D19">
        <w:fldChar w:fldCharType="separate"/>
      </w:r>
      <w:r w:rsidR="00E150CA">
        <w:rPr>
          <w:noProof/>
        </w:rPr>
        <w:t>3</w:t>
      </w:r>
      <w:r w:rsidR="00BE3D19">
        <w:rPr>
          <w:noProof/>
        </w:rPr>
        <w:fldChar w:fldCharType="end"/>
      </w:r>
      <w:r w:rsidRPr="00415291">
        <w:t>.</w:t>
      </w:r>
      <w:proofErr w:type="gramEnd"/>
      <w:r w:rsidR="00BE3D19" w:rsidRPr="00415291">
        <w:fldChar w:fldCharType="begin"/>
      </w:r>
      <w:r w:rsidRPr="00415291">
        <w:instrText xml:space="preserve"> SEQ Table \* ARABIC \s 1 </w:instrText>
      </w:r>
      <w:r w:rsidR="00BE3D19" w:rsidRPr="00415291">
        <w:fldChar w:fldCharType="separate"/>
      </w:r>
      <w:r w:rsidR="00E150CA">
        <w:rPr>
          <w:noProof/>
        </w:rPr>
        <w:t>17</w:t>
      </w:r>
      <w:r w:rsidR="00BE3D19" w:rsidRPr="00415291">
        <w:fldChar w:fldCharType="end"/>
      </w:r>
      <w:r w:rsidR="006244F5">
        <w:t xml:space="preserve"> </w:t>
      </w:r>
      <w:r>
        <w:t xml:space="preserve"> </w:t>
      </w:r>
      <w:r w:rsidRPr="00415291">
        <w:t>Proportion of treatment episodes by treatment type and jurisdiction</w:t>
      </w:r>
      <w:bookmarkEnd w:id="129"/>
    </w:p>
    <w:tbl>
      <w:tblPr>
        <w:tblW w:w="9277" w:type="dxa"/>
        <w:tblInd w:w="93" w:type="dxa"/>
        <w:tblBorders>
          <w:top w:val="single" w:sz="4" w:space="0" w:color="auto"/>
          <w:bottom w:val="single" w:sz="4" w:space="0" w:color="auto"/>
        </w:tblBorders>
        <w:tblLook w:val="04A0" w:firstRow="1" w:lastRow="0" w:firstColumn="1" w:lastColumn="0" w:noHBand="0" w:noVBand="1"/>
      </w:tblPr>
      <w:tblGrid>
        <w:gridCol w:w="2495"/>
        <w:gridCol w:w="862"/>
        <w:gridCol w:w="862"/>
        <w:gridCol w:w="843"/>
        <w:gridCol w:w="843"/>
        <w:gridCol w:w="843"/>
        <w:gridCol w:w="843"/>
        <w:gridCol w:w="843"/>
        <w:gridCol w:w="843"/>
      </w:tblGrid>
      <w:tr w:rsidR="00317CA2" w:rsidTr="00B11DEE">
        <w:trPr>
          <w:trHeight w:hRule="exact" w:val="340"/>
        </w:trPr>
        <w:tc>
          <w:tcPr>
            <w:tcW w:w="2495" w:type="dxa"/>
            <w:tcBorders>
              <w:top w:val="single" w:sz="4" w:space="0" w:color="auto"/>
              <w:bottom w:val="single" w:sz="4" w:space="0" w:color="auto"/>
            </w:tcBorders>
            <w:shd w:val="clear" w:color="auto" w:fill="FFFFFF"/>
          </w:tcPr>
          <w:p w:rsidR="00317CA2" w:rsidRPr="005719A1" w:rsidRDefault="00317CA2" w:rsidP="00317CA2">
            <w:pPr>
              <w:keepNext/>
              <w:spacing w:after="0" w:line="240" w:lineRule="auto"/>
              <w:rPr>
                <w:rFonts w:asciiTheme="minorHAnsi" w:eastAsia="Times New Roman" w:hAnsiTheme="minorHAnsi" w:cstheme="majorBidi"/>
                <w:b/>
                <w:bCs/>
                <w:color w:val="000000"/>
              </w:rPr>
            </w:pPr>
          </w:p>
        </w:tc>
        <w:tc>
          <w:tcPr>
            <w:tcW w:w="862" w:type="dxa"/>
            <w:tcBorders>
              <w:top w:val="single" w:sz="4" w:space="0" w:color="auto"/>
              <w:bottom w:val="single" w:sz="4" w:space="0" w:color="auto"/>
            </w:tcBorders>
            <w:shd w:val="clear" w:color="auto" w:fill="FFFFFF"/>
            <w:vAlign w:val="center"/>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ACT</w:t>
            </w:r>
          </w:p>
        </w:tc>
        <w:tc>
          <w:tcPr>
            <w:tcW w:w="862" w:type="dxa"/>
            <w:tcBorders>
              <w:top w:val="single" w:sz="4" w:space="0" w:color="auto"/>
              <w:bottom w:val="single" w:sz="4" w:space="0" w:color="auto"/>
            </w:tcBorders>
            <w:shd w:val="clear" w:color="auto" w:fill="FFFFFF"/>
            <w:vAlign w:val="center"/>
            <w:hideMark/>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NSW</w:t>
            </w:r>
          </w:p>
        </w:tc>
        <w:tc>
          <w:tcPr>
            <w:tcW w:w="843" w:type="dxa"/>
            <w:tcBorders>
              <w:top w:val="single" w:sz="4" w:space="0" w:color="auto"/>
              <w:bottom w:val="single" w:sz="4" w:space="0" w:color="auto"/>
            </w:tcBorders>
            <w:shd w:val="clear" w:color="auto" w:fill="FFFFFF"/>
            <w:vAlign w:val="center"/>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NT</w:t>
            </w:r>
          </w:p>
        </w:tc>
        <w:tc>
          <w:tcPr>
            <w:tcW w:w="843" w:type="dxa"/>
            <w:tcBorders>
              <w:top w:val="single" w:sz="4" w:space="0" w:color="auto"/>
              <w:bottom w:val="single" w:sz="4" w:space="0" w:color="auto"/>
            </w:tcBorders>
            <w:shd w:val="clear" w:color="auto" w:fill="FFFFFF"/>
            <w:vAlign w:val="center"/>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QLD</w:t>
            </w:r>
          </w:p>
        </w:tc>
        <w:tc>
          <w:tcPr>
            <w:tcW w:w="843" w:type="dxa"/>
            <w:tcBorders>
              <w:top w:val="single" w:sz="4" w:space="0" w:color="auto"/>
              <w:bottom w:val="single" w:sz="4" w:space="0" w:color="auto"/>
            </w:tcBorders>
            <w:shd w:val="clear" w:color="auto" w:fill="FFFFFF"/>
            <w:vAlign w:val="center"/>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SA</w:t>
            </w:r>
          </w:p>
        </w:tc>
        <w:tc>
          <w:tcPr>
            <w:tcW w:w="843" w:type="dxa"/>
            <w:tcBorders>
              <w:top w:val="single" w:sz="4" w:space="0" w:color="auto"/>
              <w:bottom w:val="single" w:sz="4" w:space="0" w:color="auto"/>
            </w:tcBorders>
            <w:shd w:val="clear" w:color="auto" w:fill="FFFFFF"/>
            <w:vAlign w:val="center"/>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TAS</w:t>
            </w:r>
          </w:p>
        </w:tc>
        <w:tc>
          <w:tcPr>
            <w:tcW w:w="843" w:type="dxa"/>
            <w:tcBorders>
              <w:top w:val="single" w:sz="4" w:space="0" w:color="auto"/>
              <w:bottom w:val="single" w:sz="4" w:space="0" w:color="auto"/>
            </w:tcBorders>
            <w:shd w:val="clear" w:color="auto" w:fill="FFFFFF"/>
            <w:vAlign w:val="center"/>
            <w:hideMark/>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VIC</w:t>
            </w:r>
          </w:p>
        </w:tc>
        <w:tc>
          <w:tcPr>
            <w:tcW w:w="843" w:type="dxa"/>
            <w:tcBorders>
              <w:top w:val="single" w:sz="4" w:space="0" w:color="auto"/>
              <w:bottom w:val="single" w:sz="4" w:space="0" w:color="auto"/>
            </w:tcBorders>
            <w:shd w:val="clear" w:color="auto" w:fill="FFFFFF"/>
            <w:vAlign w:val="center"/>
            <w:hideMark/>
          </w:tcPr>
          <w:p w:rsidR="00317CA2" w:rsidRPr="005719A1" w:rsidRDefault="00317CA2" w:rsidP="00317CA2">
            <w:pPr>
              <w:keepNext/>
              <w:spacing w:after="0" w:line="240" w:lineRule="auto"/>
              <w:jc w:val="center"/>
              <w:rPr>
                <w:rFonts w:asciiTheme="minorHAnsi" w:hAnsiTheme="minorHAnsi" w:cstheme="majorBidi"/>
                <w:b/>
                <w:bCs/>
                <w:color w:val="000000"/>
              </w:rPr>
            </w:pPr>
            <w:r w:rsidRPr="005719A1">
              <w:rPr>
                <w:rFonts w:asciiTheme="minorHAnsi" w:hAnsiTheme="minorHAnsi" w:cstheme="majorBidi"/>
                <w:b/>
                <w:bCs/>
                <w:color w:val="000000"/>
              </w:rPr>
              <w:t>WA</w:t>
            </w:r>
          </w:p>
        </w:tc>
      </w:tr>
      <w:tr w:rsidR="00317CA2" w:rsidRPr="00190C63" w:rsidTr="00B11DEE">
        <w:trPr>
          <w:trHeight w:hRule="exact" w:val="340"/>
        </w:trPr>
        <w:tc>
          <w:tcPr>
            <w:tcW w:w="2495" w:type="dxa"/>
            <w:tcBorders>
              <w:top w:val="single" w:sz="4" w:space="0" w:color="auto"/>
            </w:tcBorders>
            <w:shd w:val="clear" w:color="auto" w:fill="auto"/>
            <w:hideMark/>
          </w:tcPr>
          <w:p w:rsidR="00317CA2" w:rsidRPr="00190C63" w:rsidRDefault="00317CA2" w:rsidP="00317CA2">
            <w:pPr>
              <w:keepNext/>
              <w:spacing w:after="0" w:line="240" w:lineRule="auto"/>
              <w:rPr>
                <w:rFonts w:asciiTheme="minorHAnsi" w:eastAsia="Times New Roman" w:hAnsiTheme="minorHAnsi" w:cstheme="majorBidi"/>
                <w:color w:val="000000"/>
              </w:rPr>
            </w:pPr>
            <w:r w:rsidRPr="00190C63">
              <w:rPr>
                <w:rFonts w:asciiTheme="minorHAnsi" w:eastAsia="Times New Roman" w:hAnsiTheme="minorHAnsi" w:cstheme="majorBidi"/>
                <w:color w:val="000000"/>
              </w:rPr>
              <w:t>Withdrawal</w:t>
            </w:r>
          </w:p>
        </w:tc>
        <w:tc>
          <w:tcPr>
            <w:tcW w:w="862" w:type="dxa"/>
            <w:tcBorders>
              <w:top w:val="single" w:sz="4" w:space="0" w:color="auto"/>
              <w:bottom w:val="nil"/>
            </w:tcBorders>
            <w:shd w:val="clear" w:color="auto" w:fill="auto"/>
            <w:vAlign w:val="center"/>
          </w:tcPr>
          <w:p w:rsidR="00317CA2" w:rsidRPr="00AF2A0D" w:rsidRDefault="00317CA2" w:rsidP="00317CA2">
            <w:pPr>
              <w:keepNext/>
              <w:spacing w:after="0" w:line="240" w:lineRule="auto"/>
              <w:jc w:val="center"/>
              <w:rPr>
                <w:rFonts w:asciiTheme="minorHAnsi" w:hAnsiTheme="minorHAnsi" w:cstheme="majorBidi"/>
                <w:color w:val="000000"/>
              </w:rPr>
            </w:pPr>
            <w:r w:rsidRPr="00AF2A0D">
              <w:rPr>
                <w:rFonts w:asciiTheme="minorHAnsi" w:hAnsiTheme="minorHAnsi" w:cstheme="majorBidi"/>
                <w:color w:val="000000"/>
              </w:rPr>
              <w:t>24.0</w:t>
            </w:r>
          </w:p>
        </w:tc>
        <w:tc>
          <w:tcPr>
            <w:tcW w:w="862" w:type="dxa"/>
            <w:tcBorders>
              <w:top w:val="single" w:sz="4" w:space="0" w:color="auto"/>
              <w:bottom w:val="nil"/>
            </w:tcBorders>
            <w:shd w:val="clear" w:color="auto" w:fill="auto"/>
            <w:vAlign w:val="center"/>
            <w:hideMark/>
          </w:tcPr>
          <w:p w:rsidR="00317CA2" w:rsidRPr="003A1351" w:rsidRDefault="00317CA2" w:rsidP="00317CA2">
            <w:pPr>
              <w:keepNext/>
              <w:spacing w:after="0" w:line="240" w:lineRule="auto"/>
              <w:jc w:val="center"/>
              <w:rPr>
                <w:rFonts w:asciiTheme="minorHAnsi" w:hAnsiTheme="minorHAnsi" w:cstheme="majorBidi"/>
                <w:color w:val="000000"/>
              </w:rPr>
            </w:pPr>
            <w:r w:rsidRPr="003A1351">
              <w:rPr>
                <w:rFonts w:asciiTheme="minorHAnsi" w:hAnsiTheme="minorHAnsi" w:cstheme="majorBidi"/>
                <w:color w:val="000000"/>
              </w:rPr>
              <w:t>17.3</w:t>
            </w:r>
          </w:p>
        </w:tc>
        <w:tc>
          <w:tcPr>
            <w:tcW w:w="843" w:type="dxa"/>
            <w:tcBorders>
              <w:top w:val="single" w:sz="4" w:space="0" w:color="auto"/>
              <w:bottom w:val="nil"/>
            </w:tcBorders>
            <w:shd w:val="clear" w:color="auto" w:fill="auto"/>
            <w:vAlign w:val="center"/>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10.8</w:t>
            </w:r>
          </w:p>
        </w:tc>
        <w:tc>
          <w:tcPr>
            <w:tcW w:w="843" w:type="dxa"/>
            <w:tcBorders>
              <w:top w:val="single" w:sz="4" w:space="0" w:color="auto"/>
              <w:bottom w:val="nil"/>
            </w:tcBorders>
            <w:shd w:val="clear" w:color="auto" w:fill="auto"/>
            <w:vAlign w:val="center"/>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11.2</w:t>
            </w:r>
          </w:p>
        </w:tc>
        <w:tc>
          <w:tcPr>
            <w:tcW w:w="843" w:type="dxa"/>
            <w:tcBorders>
              <w:top w:val="single" w:sz="4" w:space="0" w:color="auto"/>
              <w:bottom w:val="nil"/>
            </w:tcBorders>
            <w:shd w:val="clear" w:color="auto" w:fill="auto"/>
            <w:vAlign w:val="center"/>
          </w:tcPr>
          <w:p w:rsidR="00317CA2" w:rsidRPr="000428EB" w:rsidRDefault="00317CA2" w:rsidP="00317CA2">
            <w:pPr>
              <w:keepNext/>
              <w:spacing w:after="0" w:line="240" w:lineRule="auto"/>
              <w:jc w:val="center"/>
              <w:rPr>
                <w:rFonts w:asciiTheme="minorHAnsi" w:hAnsiTheme="minorHAnsi" w:cstheme="majorBidi"/>
                <w:color w:val="000000"/>
              </w:rPr>
            </w:pPr>
            <w:r w:rsidRPr="000428EB">
              <w:rPr>
                <w:rFonts w:asciiTheme="minorHAnsi" w:hAnsiTheme="minorHAnsi" w:cstheme="majorBidi"/>
                <w:color w:val="000000"/>
              </w:rPr>
              <w:t>22.3</w:t>
            </w:r>
          </w:p>
        </w:tc>
        <w:tc>
          <w:tcPr>
            <w:tcW w:w="843" w:type="dxa"/>
            <w:tcBorders>
              <w:top w:val="single" w:sz="4" w:space="0" w:color="auto"/>
              <w:bottom w:val="nil"/>
            </w:tcBorders>
            <w:shd w:val="clear" w:color="auto" w:fill="auto"/>
            <w:vAlign w:val="center"/>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2.4</w:t>
            </w:r>
          </w:p>
        </w:tc>
        <w:tc>
          <w:tcPr>
            <w:tcW w:w="843" w:type="dxa"/>
            <w:tcBorders>
              <w:top w:val="single" w:sz="4" w:space="0" w:color="auto"/>
              <w:bottom w:val="nil"/>
            </w:tcBorders>
            <w:shd w:val="clear" w:color="auto" w:fill="auto"/>
            <w:vAlign w:val="bottom"/>
            <w:hideMark/>
          </w:tcPr>
          <w:p w:rsidR="00317CA2" w:rsidRDefault="00317CA2" w:rsidP="00317CA2">
            <w:pPr>
              <w:jc w:val="center"/>
              <w:rPr>
                <w:rFonts w:cs="Calibri"/>
                <w:color w:val="000000"/>
              </w:rPr>
            </w:pPr>
            <w:r>
              <w:rPr>
                <w:rFonts w:cs="Calibri"/>
                <w:color w:val="000000"/>
              </w:rPr>
              <w:t>22.3</w:t>
            </w:r>
          </w:p>
        </w:tc>
        <w:tc>
          <w:tcPr>
            <w:tcW w:w="843" w:type="dxa"/>
            <w:tcBorders>
              <w:top w:val="single" w:sz="4" w:space="0" w:color="auto"/>
              <w:bottom w:val="nil"/>
            </w:tcBorders>
            <w:shd w:val="clear" w:color="auto" w:fill="auto"/>
            <w:vAlign w:val="center"/>
            <w:hideMark/>
          </w:tcPr>
          <w:p w:rsidR="00317CA2" w:rsidRPr="003A1351" w:rsidRDefault="00317CA2" w:rsidP="00317CA2">
            <w:pPr>
              <w:keepNext/>
              <w:spacing w:after="0" w:line="240" w:lineRule="auto"/>
              <w:jc w:val="center"/>
              <w:rPr>
                <w:rFonts w:asciiTheme="minorHAnsi" w:hAnsiTheme="minorHAnsi" w:cstheme="majorBidi"/>
                <w:color w:val="000000"/>
              </w:rPr>
            </w:pPr>
            <w:r w:rsidRPr="003A1351">
              <w:rPr>
                <w:rFonts w:asciiTheme="minorHAnsi" w:hAnsiTheme="minorHAnsi" w:cstheme="majorBidi"/>
                <w:color w:val="000000"/>
              </w:rPr>
              <w:t>14.7</w:t>
            </w:r>
          </w:p>
        </w:tc>
      </w:tr>
      <w:tr w:rsidR="00317CA2" w:rsidRPr="00190C63" w:rsidTr="00B11DEE">
        <w:trPr>
          <w:trHeight w:hRule="exact" w:val="340"/>
        </w:trPr>
        <w:tc>
          <w:tcPr>
            <w:tcW w:w="2495" w:type="dxa"/>
            <w:shd w:val="clear" w:color="auto" w:fill="auto"/>
            <w:hideMark/>
          </w:tcPr>
          <w:p w:rsidR="00317CA2" w:rsidRPr="00190C63" w:rsidRDefault="00317CA2" w:rsidP="00317CA2">
            <w:pPr>
              <w:keepNext/>
              <w:spacing w:after="0" w:line="240" w:lineRule="auto"/>
              <w:rPr>
                <w:rFonts w:asciiTheme="minorHAnsi" w:eastAsia="Times New Roman" w:hAnsiTheme="minorHAnsi" w:cstheme="majorBidi"/>
                <w:color w:val="000000"/>
              </w:rPr>
            </w:pPr>
            <w:r w:rsidRPr="00190C63">
              <w:rPr>
                <w:rFonts w:asciiTheme="minorHAnsi" w:eastAsia="Times New Roman" w:hAnsiTheme="minorHAnsi" w:cstheme="majorBidi"/>
                <w:color w:val="000000"/>
              </w:rPr>
              <w:t>Counselling</w:t>
            </w:r>
          </w:p>
        </w:tc>
        <w:tc>
          <w:tcPr>
            <w:tcW w:w="862" w:type="dxa"/>
            <w:tcBorders>
              <w:top w:val="nil"/>
              <w:bottom w:val="nil"/>
            </w:tcBorders>
            <w:shd w:val="clear" w:color="auto" w:fill="auto"/>
            <w:vAlign w:val="center"/>
          </w:tcPr>
          <w:p w:rsidR="00317CA2" w:rsidRPr="003A1351" w:rsidRDefault="00317CA2" w:rsidP="00317CA2">
            <w:pPr>
              <w:keepNext/>
              <w:spacing w:after="0" w:line="240" w:lineRule="auto"/>
              <w:jc w:val="center"/>
              <w:rPr>
                <w:rFonts w:asciiTheme="minorHAnsi" w:hAnsiTheme="minorHAnsi" w:cstheme="majorBidi"/>
                <w:color w:val="000000"/>
              </w:rPr>
            </w:pPr>
            <w:r w:rsidRPr="003A1351">
              <w:rPr>
                <w:rFonts w:asciiTheme="minorHAnsi" w:hAnsiTheme="minorHAnsi" w:cstheme="majorBidi"/>
                <w:color w:val="000000"/>
              </w:rPr>
              <w:t>18.9</w:t>
            </w:r>
          </w:p>
        </w:tc>
        <w:tc>
          <w:tcPr>
            <w:tcW w:w="862" w:type="dxa"/>
            <w:tcBorders>
              <w:top w:val="nil"/>
              <w:bottom w:val="nil"/>
            </w:tcBorders>
            <w:shd w:val="clear" w:color="auto" w:fill="auto"/>
            <w:vAlign w:val="center"/>
            <w:hideMark/>
          </w:tcPr>
          <w:p w:rsidR="00317CA2" w:rsidRPr="00AF2A0D" w:rsidRDefault="00317CA2" w:rsidP="00317CA2">
            <w:pPr>
              <w:keepNext/>
              <w:spacing w:after="0" w:line="240" w:lineRule="auto"/>
              <w:jc w:val="center"/>
              <w:rPr>
                <w:rFonts w:asciiTheme="minorHAnsi" w:hAnsiTheme="minorHAnsi" w:cstheme="majorBidi"/>
                <w:color w:val="000000"/>
              </w:rPr>
            </w:pPr>
            <w:r w:rsidRPr="00AF2A0D">
              <w:rPr>
                <w:rFonts w:asciiTheme="minorHAnsi" w:hAnsiTheme="minorHAnsi" w:cstheme="majorBidi"/>
                <w:color w:val="000000"/>
              </w:rPr>
              <w:t>27.7</w:t>
            </w:r>
          </w:p>
        </w:tc>
        <w:tc>
          <w:tcPr>
            <w:tcW w:w="843" w:type="dxa"/>
            <w:tcBorders>
              <w:top w:val="nil"/>
              <w:bottom w:val="nil"/>
            </w:tcBorders>
            <w:shd w:val="clear" w:color="auto" w:fill="auto"/>
            <w:vAlign w:val="center"/>
          </w:tcPr>
          <w:p w:rsidR="00317CA2" w:rsidRPr="000428EB" w:rsidRDefault="00317CA2" w:rsidP="00317CA2">
            <w:pPr>
              <w:keepNext/>
              <w:spacing w:after="0" w:line="240" w:lineRule="auto"/>
              <w:jc w:val="center"/>
              <w:rPr>
                <w:rFonts w:asciiTheme="minorHAnsi" w:hAnsiTheme="minorHAnsi" w:cstheme="majorBidi"/>
                <w:color w:val="000000"/>
              </w:rPr>
            </w:pPr>
            <w:r w:rsidRPr="000428EB">
              <w:rPr>
                <w:rFonts w:asciiTheme="minorHAnsi" w:hAnsiTheme="minorHAnsi" w:cstheme="majorBidi"/>
                <w:color w:val="000000"/>
              </w:rPr>
              <w:t>21.6</w:t>
            </w:r>
          </w:p>
        </w:tc>
        <w:tc>
          <w:tcPr>
            <w:tcW w:w="843" w:type="dxa"/>
            <w:tcBorders>
              <w:top w:val="nil"/>
              <w:bottom w:val="nil"/>
            </w:tcBorders>
            <w:shd w:val="clear" w:color="auto" w:fill="auto"/>
            <w:vAlign w:val="center"/>
          </w:tcPr>
          <w:p w:rsidR="00317CA2" w:rsidRPr="00AF2A0D" w:rsidRDefault="00317CA2" w:rsidP="00317CA2">
            <w:pPr>
              <w:keepNext/>
              <w:spacing w:after="0" w:line="240" w:lineRule="auto"/>
              <w:jc w:val="center"/>
              <w:rPr>
                <w:rFonts w:asciiTheme="minorHAnsi" w:hAnsiTheme="minorHAnsi" w:cstheme="majorBidi"/>
                <w:color w:val="000000"/>
              </w:rPr>
            </w:pPr>
            <w:r w:rsidRPr="00AF2A0D">
              <w:rPr>
                <w:rFonts w:asciiTheme="minorHAnsi" w:hAnsiTheme="minorHAnsi" w:cstheme="majorBidi"/>
                <w:color w:val="000000"/>
              </w:rPr>
              <w:t>34.5</w:t>
            </w:r>
          </w:p>
        </w:tc>
        <w:tc>
          <w:tcPr>
            <w:tcW w:w="843" w:type="dxa"/>
            <w:tcBorders>
              <w:top w:val="nil"/>
              <w:bottom w:val="nil"/>
            </w:tcBorders>
            <w:shd w:val="clear" w:color="auto" w:fill="auto"/>
            <w:vAlign w:val="center"/>
          </w:tcPr>
          <w:p w:rsidR="00317CA2" w:rsidRPr="00AF2A0D" w:rsidRDefault="00317CA2" w:rsidP="00317CA2">
            <w:pPr>
              <w:keepNext/>
              <w:spacing w:after="0" w:line="240" w:lineRule="auto"/>
              <w:jc w:val="center"/>
              <w:rPr>
                <w:rFonts w:asciiTheme="minorHAnsi" w:hAnsiTheme="minorHAnsi" w:cstheme="majorBidi"/>
                <w:color w:val="000000"/>
              </w:rPr>
            </w:pPr>
            <w:r w:rsidRPr="00AF2A0D">
              <w:rPr>
                <w:rFonts w:asciiTheme="minorHAnsi" w:hAnsiTheme="minorHAnsi" w:cstheme="majorBidi"/>
                <w:color w:val="000000"/>
              </w:rPr>
              <w:t>27.7</w:t>
            </w:r>
          </w:p>
        </w:tc>
        <w:tc>
          <w:tcPr>
            <w:tcW w:w="843" w:type="dxa"/>
            <w:tcBorders>
              <w:top w:val="nil"/>
              <w:bottom w:val="nil"/>
            </w:tcBorders>
            <w:shd w:val="clear" w:color="auto" w:fill="auto"/>
            <w:vAlign w:val="center"/>
          </w:tcPr>
          <w:p w:rsidR="00317CA2" w:rsidRPr="00AF2A0D" w:rsidRDefault="00317CA2" w:rsidP="00317CA2">
            <w:pPr>
              <w:keepNext/>
              <w:spacing w:after="0" w:line="240" w:lineRule="auto"/>
              <w:jc w:val="center"/>
              <w:rPr>
                <w:rFonts w:asciiTheme="minorHAnsi" w:hAnsiTheme="minorHAnsi" w:cstheme="majorBidi"/>
                <w:color w:val="000000"/>
              </w:rPr>
            </w:pPr>
            <w:r w:rsidRPr="00AF2A0D">
              <w:rPr>
                <w:rFonts w:asciiTheme="minorHAnsi" w:hAnsiTheme="minorHAnsi" w:cstheme="majorBidi"/>
                <w:color w:val="000000"/>
              </w:rPr>
              <w:t>59.3</w:t>
            </w:r>
          </w:p>
        </w:tc>
        <w:tc>
          <w:tcPr>
            <w:tcW w:w="843" w:type="dxa"/>
            <w:tcBorders>
              <w:top w:val="nil"/>
              <w:bottom w:val="nil"/>
            </w:tcBorders>
            <w:shd w:val="clear" w:color="auto" w:fill="auto"/>
            <w:vAlign w:val="bottom"/>
            <w:hideMark/>
          </w:tcPr>
          <w:p w:rsidR="00317CA2" w:rsidRDefault="00317CA2" w:rsidP="00317CA2">
            <w:pPr>
              <w:jc w:val="center"/>
              <w:rPr>
                <w:rFonts w:cs="Calibri"/>
                <w:color w:val="000000"/>
              </w:rPr>
            </w:pPr>
            <w:r>
              <w:rPr>
                <w:rFonts w:cs="Calibri"/>
                <w:color w:val="000000"/>
              </w:rPr>
              <w:t>52.1</w:t>
            </w:r>
          </w:p>
        </w:tc>
        <w:tc>
          <w:tcPr>
            <w:tcW w:w="843" w:type="dxa"/>
            <w:tcBorders>
              <w:top w:val="nil"/>
              <w:bottom w:val="nil"/>
            </w:tcBorders>
            <w:shd w:val="clear" w:color="auto" w:fill="auto"/>
            <w:vAlign w:val="center"/>
            <w:hideMark/>
          </w:tcPr>
          <w:p w:rsidR="00317CA2" w:rsidRPr="00AF2A0D" w:rsidRDefault="00317CA2" w:rsidP="00317CA2">
            <w:pPr>
              <w:keepNext/>
              <w:spacing w:after="0" w:line="240" w:lineRule="auto"/>
              <w:jc w:val="center"/>
              <w:rPr>
                <w:rFonts w:asciiTheme="minorHAnsi" w:hAnsiTheme="minorHAnsi" w:cstheme="majorBidi"/>
                <w:color w:val="000000"/>
              </w:rPr>
            </w:pPr>
            <w:r w:rsidRPr="00AF2A0D">
              <w:rPr>
                <w:rFonts w:asciiTheme="minorHAnsi" w:hAnsiTheme="minorHAnsi" w:cstheme="majorBidi"/>
                <w:color w:val="000000"/>
              </w:rPr>
              <w:t>58.3</w:t>
            </w:r>
          </w:p>
        </w:tc>
      </w:tr>
      <w:tr w:rsidR="00317CA2" w:rsidRPr="00190C63" w:rsidTr="00B11DEE">
        <w:trPr>
          <w:trHeight w:hRule="exact" w:val="340"/>
        </w:trPr>
        <w:tc>
          <w:tcPr>
            <w:tcW w:w="2495" w:type="dxa"/>
            <w:shd w:val="clear" w:color="auto" w:fill="auto"/>
            <w:hideMark/>
          </w:tcPr>
          <w:p w:rsidR="00317CA2" w:rsidRPr="00190C63" w:rsidRDefault="00317CA2" w:rsidP="00317CA2">
            <w:pPr>
              <w:keepNext/>
              <w:spacing w:after="0" w:line="240" w:lineRule="auto"/>
              <w:rPr>
                <w:rFonts w:asciiTheme="minorHAnsi" w:eastAsia="Times New Roman" w:hAnsiTheme="minorHAnsi" w:cstheme="majorBidi"/>
                <w:color w:val="000000"/>
              </w:rPr>
            </w:pPr>
            <w:r w:rsidRPr="00190C63">
              <w:rPr>
                <w:rFonts w:asciiTheme="minorHAnsi" w:eastAsia="Times New Roman" w:hAnsiTheme="minorHAnsi" w:cstheme="majorBidi"/>
                <w:color w:val="000000"/>
              </w:rPr>
              <w:t>Rehabilitation</w:t>
            </w:r>
          </w:p>
        </w:tc>
        <w:tc>
          <w:tcPr>
            <w:tcW w:w="862" w:type="dxa"/>
            <w:tcBorders>
              <w:top w:val="nil"/>
            </w:tcBorders>
            <w:shd w:val="clear" w:color="auto" w:fill="auto"/>
            <w:vAlign w:val="center"/>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6.1</w:t>
            </w:r>
          </w:p>
        </w:tc>
        <w:tc>
          <w:tcPr>
            <w:tcW w:w="862" w:type="dxa"/>
            <w:tcBorders>
              <w:top w:val="nil"/>
            </w:tcBorders>
            <w:shd w:val="clear" w:color="auto" w:fill="auto"/>
            <w:vAlign w:val="center"/>
            <w:hideMark/>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13.0</w:t>
            </w:r>
          </w:p>
        </w:tc>
        <w:tc>
          <w:tcPr>
            <w:tcW w:w="843" w:type="dxa"/>
            <w:tcBorders>
              <w:top w:val="nil"/>
            </w:tcBorders>
            <w:shd w:val="clear" w:color="auto" w:fill="auto"/>
            <w:vAlign w:val="center"/>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15.3</w:t>
            </w:r>
          </w:p>
        </w:tc>
        <w:tc>
          <w:tcPr>
            <w:tcW w:w="843" w:type="dxa"/>
            <w:tcBorders>
              <w:top w:val="nil"/>
            </w:tcBorders>
            <w:shd w:val="clear" w:color="auto" w:fill="auto"/>
            <w:vAlign w:val="center"/>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5.5</w:t>
            </w:r>
          </w:p>
        </w:tc>
        <w:tc>
          <w:tcPr>
            <w:tcW w:w="843" w:type="dxa"/>
            <w:tcBorders>
              <w:top w:val="nil"/>
            </w:tcBorders>
            <w:shd w:val="clear" w:color="auto" w:fill="auto"/>
            <w:vAlign w:val="center"/>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11.7</w:t>
            </w:r>
          </w:p>
        </w:tc>
        <w:tc>
          <w:tcPr>
            <w:tcW w:w="843" w:type="dxa"/>
            <w:tcBorders>
              <w:top w:val="nil"/>
            </w:tcBorders>
            <w:shd w:val="clear" w:color="auto" w:fill="auto"/>
            <w:vAlign w:val="center"/>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8.9</w:t>
            </w:r>
          </w:p>
        </w:tc>
        <w:tc>
          <w:tcPr>
            <w:tcW w:w="843" w:type="dxa"/>
            <w:tcBorders>
              <w:top w:val="nil"/>
              <w:bottom w:val="nil"/>
            </w:tcBorders>
            <w:shd w:val="clear" w:color="auto" w:fill="auto"/>
            <w:vAlign w:val="bottom"/>
            <w:hideMark/>
          </w:tcPr>
          <w:p w:rsidR="00317CA2" w:rsidRDefault="00317CA2" w:rsidP="00317CA2">
            <w:pPr>
              <w:jc w:val="center"/>
              <w:rPr>
                <w:rFonts w:cs="Calibri"/>
                <w:color w:val="000000"/>
              </w:rPr>
            </w:pPr>
            <w:r>
              <w:rPr>
                <w:rFonts w:cs="Calibri"/>
                <w:color w:val="000000"/>
              </w:rPr>
              <w:t>3.7</w:t>
            </w:r>
          </w:p>
        </w:tc>
        <w:tc>
          <w:tcPr>
            <w:tcW w:w="843" w:type="dxa"/>
            <w:tcBorders>
              <w:top w:val="nil"/>
            </w:tcBorders>
            <w:shd w:val="clear" w:color="auto" w:fill="auto"/>
            <w:vAlign w:val="center"/>
            <w:hideMark/>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6.3</w:t>
            </w:r>
          </w:p>
        </w:tc>
      </w:tr>
      <w:tr w:rsidR="00317CA2" w:rsidRPr="00190C63" w:rsidTr="00B11DEE">
        <w:trPr>
          <w:trHeight w:hRule="exact" w:val="340"/>
        </w:trPr>
        <w:tc>
          <w:tcPr>
            <w:tcW w:w="2495" w:type="dxa"/>
            <w:shd w:val="clear" w:color="auto" w:fill="auto"/>
            <w:hideMark/>
          </w:tcPr>
          <w:p w:rsidR="00317CA2" w:rsidRPr="00190C63" w:rsidRDefault="00317CA2" w:rsidP="00317CA2">
            <w:pPr>
              <w:keepNext/>
              <w:spacing w:after="0" w:line="240" w:lineRule="auto"/>
              <w:rPr>
                <w:rFonts w:asciiTheme="minorHAnsi" w:eastAsia="Times New Roman" w:hAnsiTheme="minorHAnsi" w:cstheme="majorBidi"/>
                <w:color w:val="000000"/>
              </w:rPr>
            </w:pPr>
            <w:r w:rsidRPr="00190C63">
              <w:rPr>
                <w:rFonts w:asciiTheme="minorHAnsi" w:eastAsia="Times New Roman" w:hAnsiTheme="minorHAnsi" w:cstheme="majorBidi"/>
                <w:color w:val="000000"/>
              </w:rPr>
              <w:t>Case management only</w:t>
            </w:r>
          </w:p>
        </w:tc>
        <w:tc>
          <w:tcPr>
            <w:tcW w:w="862" w:type="dxa"/>
            <w:shd w:val="clear" w:color="auto" w:fill="auto"/>
            <w:vAlign w:val="center"/>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16.1</w:t>
            </w:r>
          </w:p>
        </w:tc>
        <w:tc>
          <w:tcPr>
            <w:tcW w:w="862" w:type="dxa"/>
            <w:shd w:val="clear" w:color="auto" w:fill="auto"/>
            <w:vAlign w:val="center"/>
            <w:hideMark/>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9.9</w:t>
            </w:r>
          </w:p>
        </w:tc>
        <w:tc>
          <w:tcPr>
            <w:tcW w:w="843" w:type="dxa"/>
            <w:tcBorders>
              <w:bottom w:val="nil"/>
            </w:tcBorders>
            <w:shd w:val="clear" w:color="auto" w:fill="auto"/>
            <w:vAlign w:val="center"/>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2.0</w:t>
            </w:r>
          </w:p>
        </w:tc>
        <w:tc>
          <w:tcPr>
            <w:tcW w:w="843" w:type="dxa"/>
            <w:tcBorders>
              <w:bottom w:val="nil"/>
            </w:tcBorders>
            <w:shd w:val="clear" w:color="auto" w:fill="auto"/>
            <w:vAlign w:val="center"/>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4.3</w:t>
            </w:r>
          </w:p>
        </w:tc>
        <w:tc>
          <w:tcPr>
            <w:tcW w:w="843" w:type="dxa"/>
            <w:shd w:val="clear" w:color="auto" w:fill="auto"/>
            <w:vAlign w:val="center"/>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2.2</w:t>
            </w:r>
          </w:p>
        </w:tc>
        <w:tc>
          <w:tcPr>
            <w:tcW w:w="843" w:type="dxa"/>
            <w:tcBorders>
              <w:bottom w:val="nil"/>
            </w:tcBorders>
            <w:shd w:val="clear" w:color="auto" w:fill="auto"/>
            <w:vAlign w:val="center"/>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5.8</w:t>
            </w:r>
          </w:p>
        </w:tc>
        <w:tc>
          <w:tcPr>
            <w:tcW w:w="843" w:type="dxa"/>
            <w:tcBorders>
              <w:top w:val="nil"/>
              <w:bottom w:val="nil"/>
            </w:tcBorders>
            <w:shd w:val="clear" w:color="auto" w:fill="auto"/>
            <w:vAlign w:val="bottom"/>
            <w:hideMark/>
          </w:tcPr>
          <w:p w:rsidR="00317CA2" w:rsidRDefault="00317CA2" w:rsidP="00317CA2">
            <w:pPr>
              <w:jc w:val="center"/>
              <w:rPr>
                <w:rFonts w:cs="Calibri"/>
                <w:color w:val="000000"/>
              </w:rPr>
            </w:pPr>
            <w:r>
              <w:rPr>
                <w:rFonts w:cs="Calibri"/>
                <w:color w:val="000000"/>
              </w:rPr>
              <w:t>11.7</w:t>
            </w:r>
          </w:p>
        </w:tc>
        <w:tc>
          <w:tcPr>
            <w:tcW w:w="843" w:type="dxa"/>
            <w:shd w:val="clear" w:color="auto" w:fill="auto"/>
            <w:vAlign w:val="center"/>
            <w:hideMark/>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5.6</w:t>
            </w:r>
          </w:p>
        </w:tc>
      </w:tr>
      <w:tr w:rsidR="00317CA2" w:rsidRPr="00190C63" w:rsidTr="00B11DEE">
        <w:trPr>
          <w:trHeight w:hRule="exact" w:val="340"/>
        </w:trPr>
        <w:tc>
          <w:tcPr>
            <w:tcW w:w="2495" w:type="dxa"/>
            <w:shd w:val="clear" w:color="auto" w:fill="auto"/>
            <w:hideMark/>
          </w:tcPr>
          <w:p w:rsidR="00317CA2" w:rsidRPr="00190C63" w:rsidRDefault="00317CA2" w:rsidP="00317CA2">
            <w:pPr>
              <w:keepNext/>
              <w:spacing w:after="0" w:line="240" w:lineRule="auto"/>
              <w:rPr>
                <w:rFonts w:asciiTheme="minorHAnsi" w:eastAsia="Times New Roman" w:hAnsiTheme="minorHAnsi" w:cstheme="majorBidi"/>
                <w:color w:val="000000"/>
              </w:rPr>
            </w:pPr>
            <w:r w:rsidRPr="00190C63">
              <w:rPr>
                <w:rFonts w:asciiTheme="minorHAnsi" w:eastAsia="Times New Roman" w:hAnsiTheme="minorHAnsi" w:cstheme="majorBidi"/>
                <w:color w:val="000000"/>
              </w:rPr>
              <w:t xml:space="preserve">Information/education </w:t>
            </w:r>
          </w:p>
        </w:tc>
        <w:tc>
          <w:tcPr>
            <w:tcW w:w="862" w:type="dxa"/>
            <w:tcBorders>
              <w:bottom w:val="nil"/>
            </w:tcBorders>
            <w:shd w:val="clear" w:color="auto" w:fill="auto"/>
            <w:vAlign w:val="center"/>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12.9</w:t>
            </w:r>
          </w:p>
        </w:tc>
        <w:tc>
          <w:tcPr>
            <w:tcW w:w="862" w:type="dxa"/>
            <w:shd w:val="clear" w:color="auto" w:fill="auto"/>
            <w:vAlign w:val="center"/>
            <w:hideMark/>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0.9</w:t>
            </w:r>
          </w:p>
        </w:tc>
        <w:tc>
          <w:tcPr>
            <w:tcW w:w="843" w:type="dxa"/>
            <w:tcBorders>
              <w:top w:val="nil"/>
              <w:bottom w:val="nil"/>
            </w:tcBorders>
            <w:shd w:val="clear" w:color="auto" w:fill="auto"/>
            <w:vAlign w:val="center"/>
          </w:tcPr>
          <w:p w:rsidR="00317CA2" w:rsidRPr="003A1351" w:rsidRDefault="00317CA2" w:rsidP="00317CA2">
            <w:pPr>
              <w:keepNext/>
              <w:spacing w:after="0" w:line="240" w:lineRule="auto"/>
              <w:jc w:val="center"/>
              <w:rPr>
                <w:rFonts w:asciiTheme="minorHAnsi" w:hAnsiTheme="minorHAnsi" w:cstheme="majorBidi"/>
                <w:color w:val="000000"/>
              </w:rPr>
            </w:pPr>
            <w:r w:rsidRPr="003A1351">
              <w:rPr>
                <w:rFonts w:asciiTheme="minorHAnsi" w:hAnsiTheme="minorHAnsi" w:cstheme="majorBidi"/>
                <w:color w:val="000000"/>
              </w:rPr>
              <w:t>22.2</w:t>
            </w:r>
          </w:p>
        </w:tc>
        <w:tc>
          <w:tcPr>
            <w:tcW w:w="843" w:type="dxa"/>
            <w:tcBorders>
              <w:top w:val="nil"/>
              <w:bottom w:val="nil"/>
            </w:tcBorders>
            <w:shd w:val="clear" w:color="auto" w:fill="auto"/>
            <w:vAlign w:val="center"/>
          </w:tcPr>
          <w:p w:rsidR="00317CA2" w:rsidRPr="000428EB" w:rsidRDefault="00317CA2" w:rsidP="00317CA2">
            <w:pPr>
              <w:keepNext/>
              <w:spacing w:after="0" w:line="240" w:lineRule="auto"/>
              <w:jc w:val="center"/>
              <w:rPr>
                <w:rFonts w:asciiTheme="minorHAnsi" w:hAnsiTheme="minorHAnsi" w:cstheme="majorBidi"/>
                <w:color w:val="000000"/>
              </w:rPr>
            </w:pPr>
            <w:r w:rsidRPr="000428EB">
              <w:rPr>
                <w:rFonts w:asciiTheme="minorHAnsi" w:hAnsiTheme="minorHAnsi" w:cstheme="majorBidi"/>
                <w:color w:val="000000"/>
              </w:rPr>
              <w:t>19.5</w:t>
            </w:r>
          </w:p>
        </w:tc>
        <w:tc>
          <w:tcPr>
            <w:tcW w:w="843" w:type="dxa"/>
            <w:tcBorders>
              <w:bottom w:val="nil"/>
            </w:tcBorders>
            <w:shd w:val="clear" w:color="auto" w:fill="auto"/>
            <w:vAlign w:val="center"/>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6.2</w:t>
            </w:r>
          </w:p>
        </w:tc>
        <w:tc>
          <w:tcPr>
            <w:tcW w:w="843" w:type="dxa"/>
            <w:tcBorders>
              <w:top w:val="nil"/>
              <w:bottom w:val="nil"/>
            </w:tcBorders>
            <w:shd w:val="clear" w:color="auto" w:fill="auto"/>
            <w:vAlign w:val="center"/>
          </w:tcPr>
          <w:p w:rsidR="00317CA2" w:rsidRPr="003A1351" w:rsidRDefault="00317CA2" w:rsidP="00317CA2">
            <w:pPr>
              <w:keepNext/>
              <w:spacing w:after="0" w:line="240" w:lineRule="auto"/>
              <w:jc w:val="center"/>
              <w:rPr>
                <w:rFonts w:asciiTheme="minorHAnsi" w:hAnsiTheme="minorHAnsi" w:cstheme="majorBidi"/>
                <w:color w:val="000000"/>
              </w:rPr>
            </w:pPr>
            <w:r w:rsidRPr="003A1351">
              <w:rPr>
                <w:rFonts w:asciiTheme="minorHAnsi" w:hAnsiTheme="minorHAnsi" w:cstheme="majorBidi"/>
                <w:color w:val="000000"/>
              </w:rPr>
              <w:t>12.5</w:t>
            </w:r>
          </w:p>
        </w:tc>
        <w:tc>
          <w:tcPr>
            <w:tcW w:w="843" w:type="dxa"/>
            <w:tcBorders>
              <w:top w:val="nil"/>
              <w:bottom w:val="nil"/>
            </w:tcBorders>
            <w:shd w:val="clear" w:color="auto" w:fill="auto"/>
            <w:vAlign w:val="bottom"/>
            <w:hideMark/>
          </w:tcPr>
          <w:p w:rsidR="00317CA2" w:rsidRDefault="00317CA2" w:rsidP="00317CA2">
            <w:pPr>
              <w:jc w:val="center"/>
              <w:rPr>
                <w:rFonts w:cs="Calibri"/>
                <w:color w:val="000000"/>
              </w:rPr>
            </w:pPr>
            <w:r>
              <w:rPr>
                <w:rFonts w:cs="Calibri"/>
                <w:color w:val="000000"/>
              </w:rPr>
              <w:t>0.4</w:t>
            </w:r>
          </w:p>
        </w:tc>
        <w:tc>
          <w:tcPr>
            <w:tcW w:w="843" w:type="dxa"/>
            <w:tcBorders>
              <w:bottom w:val="nil"/>
            </w:tcBorders>
            <w:shd w:val="clear" w:color="auto" w:fill="auto"/>
            <w:vAlign w:val="center"/>
            <w:hideMark/>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5.6</w:t>
            </w:r>
          </w:p>
        </w:tc>
      </w:tr>
      <w:tr w:rsidR="00317CA2" w:rsidRPr="00190C63" w:rsidTr="00B11DEE">
        <w:trPr>
          <w:trHeight w:hRule="exact" w:val="340"/>
        </w:trPr>
        <w:tc>
          <w:tcPr>
            <w:tcW w:w="2495" w:type="dxa"/>
            <w:tcBorders>
              <w:bottom w:val="nil"/>
            </w:tcBorders>
            <w:shd w:val="clear" w:color="auto" w:fill="auto"/>
            <w:hideMark/>
          </w:tcPr>
          <w:p w:rsidR="00317CA2" w:rsidRPr="00190C63" w:rsidRDefault="00317CA2" w:rsidP="00317CA2">
            <w:pPr>
              <w:keepNext/>
              <w:spacing w:after="0" w:line="240" w:lineRule="auto"/>
              <w:rPr>
                <w:rFonts w:asciiTheme="minorHAnsi" w:eastAsia="Times New Roman" w:hAnsiTheme="minorHAnsi" w:cstheme="majorBidi"/>
                <w:color w:val="000000"/>
              </w:rPr>
            </w:pPr>
            <w:r w:rsidRPr="00190C63">
              <w:rPr>
                <w:rFonts w:asciiTheme="minorHAnsi" w:eastAsia="Times New Roman" w:hAnsiTheme="minorHAnsi" w:cstheme="majorBidi"/>
                <w:color w:val="000000"/>
              </w:rPr>
              <w:t>Assessment only</w:t>
            </w:r>
          </w:p>
        </w:tc>
        <w:tc>
          <w:tcPr>
            <w:tcW w:w="862" w:type="dxa"/>
            <w:tcBorders>
              <w:top w:val="nil"/>
              <w:bottom w:val="nil"/>
            </w:tcBorders>
            <w:shd w:val="clear" w:color="auto" w:fill="auto"/>
            <w:vAlign w:val="center"/>
          </w:tcPr>
          <w:p w:rsidR="00317CA2" w:rsidRPr="000428EB" w:rsidRDefault="00317CA2" w:rsidP="00317CA2">
            <w:pPr>
              <w:keepNext/>
              <w:spacing w:after="0" w:line="240" w:lineRule="auto"/>
              <w:jc w:val="center"/>
              <w:rPr>
                <w:rFonts w:asciiTheme="minorHAnsi" w:hAnsiTheme="minorHAnsi" w:cstheme="majorBidi"/>
                <w:color w:val="000000"/>
              </w:rPr>
            </w:pPr>
            <w:r w:rsidRPr="000428EB">
              <w:rPr>
                <w:rFonts w:asciiTheme="minorHAnsi" w:hAnsiTheme="minorHAnsi" w:cstheme="majorBidi"/>
                <w:color w:val="000000"/>
              </w:rPr>
              <w:t>18.1</w:t>
            </w:r>
          </w:p>
        </w:tc>
        <w:tc>
          <w:tcPr>
            <w:tcW w:w="862" w:type="dxa"/>
            <w:tcBorders>
              <w:bottom w:val="nil"/>
            </w:tcBorders>
            <w:shd w:val="clear" w:color="auto" w:fill="auto"/>
            <w:vAlign w:val="center"/>
            <w:hideMark/>
          </w:tcPr>
          <w:p w:rsidR="00317CA2" w:rsidRPr="00190C63" w:rsidRDefault="00317CA2" w:rsidP="00317CA2">
            <w:pPr>
              <w:keepNext/>
              <w:spacing w:after="0" w:line="240" w:lineRule="auto"/>
              <w:jc w:val="center"/>
              <w:rPr>
                <w:rFonts w:asciiTheme="minorHAnsi" w:hAnsiTheme="minorHAnsi" w:cstheme="majorBidi"/>
                <w:color w:val="000000"/>
              </w:rPr>
            </w:pPr>
            <w:r>
              <w:rPr>
                <w:rFonts w:asciiTheme="minorHAnsi" w:hAnsiTheme="minorHAnsi" w:cstheme="majorBidi"/>
                <w:color w:val="000000"/>
              </w:rPr>
              <w:t>15.3</w:t>
            </w:r>
          </w:p>
        </w:tc>
        <w:tc>
          <w:tcPr>
            <w:tcW w:w="843" w:type="dxa"/>
            <w:tcBorders>
              <w:top w:val="nil"/>
              <w:bottom w:val="nil"/>
            </w:tcBorders>
            <w:shd w:val="clear" w:color="auto" w:fill="auto"/>
            <w:vAlign w:val="center"/>
          </w:tcPr>
          <w:p w:rsidR="00317CA2" w:rsidRPr="00AF2A0D" w:rsidRDefault="00317CA2" w:rsidP="00317CA2">
            <w:pPr>
              <w:keepNext/>
              <w:spacing w:after="0" w:line="240" w:lineRule="auto"/>
              <w:jc w:val="center"/>
              <w:rPr>
                <w:rFonts w:asciiTheme="minorHAnsi" w:hAnsiTheme="minorHAnsi" w:cstheme="majorBidi"/>
                <w:color w:val="000000"/>
              </w:rPr>
            </w:pPr>
            <w:r w:rsidRPr="00AF2A0D">
              <w:rPr>
                <w:rFonts w:asciiTheme="minorHAnsi" w:hAnsiTheme="minorHAnsi" w:cstheme="majorBidi"/>
                <w:color w:val="000000"/>
              </w:rPr>
              <w:t>41.0</w:t>
            </w:r>
          </w:p>
        </w:tc>
        <w:tc>
          <w:tcPr>
            <w:tcW w:w="843" w:type="dxa"/>
            <w:tcBorders>
              <w:top w:val="nil"/>
              <w:bottom w:val="nil"/>
            </w:tcBorders>
            <w:shd w:val="clear" w:color="auto" w:fill="auto"/>
            <w:vAlign w:val="center"/>
          </w:tcPr>
          <w:p w:rsidR="00317CA2" w:rsidRPr="003A1351" w:rsidRDefault="00317CA2" w:rsidP="00317CA2">
            <w:pPr>
              <w:keepNext/>
              <w:spacing w:after="0" w:line="240" w:lineRule="auto"/>
              <w:jc w:val="center"/>
              <w:rPr>
                <w:rFonts w:asciiTheme="minorHAnsi" w:hAnsiTheme="minorHAnsi" w:cstheme="majorBidi"/>
                <w:color w:val="000000"/>
              </w:rPr>
            </w:pPr>
            <w:r w:rsidRPr="003A1351">
              <w:rPr>
                <w:rFonts w:asciiTheme="minorHAnsi" w:hAnsiTheme="minorHAnsi" w:cstheme="majorBidi"/>
                <w:color w:val="000000"/>
              </w:rPr>
              <w:t>22.1</w:t>
            </w:r>
          </w:p>
        </w:tc>
        <w:tc>
          <w:tcPr>
            <w:tcW w:w="843" w:type="dxa"/>
            <w:tcBorders>
              <w:top w:val="nil"/>
              <w:bottom w:val="nil"/>
            </w:tcBorders>
            <w:shd w:val="clear" w:color="auto" w:fill="auto"/>
            <w:vAlign w:val="center"/>
          </w:tcPr>
          <w:p w:rsidR="00317CA2" w:rsidRPr="003A1351" w:rsidRDefault="00317CA2" w:rsidP="00317CA2">
            <w:pPr>
              <w:keepNext/>
              <w:spacing w:after="0" w:line="240" w:lineRule="auto"/>
              <w:jc w:val="center"/>
              <w:rPr>
                <w:rFonts w:asciiTheme="minorHAnsi" w:hAnsiTheme="minorHAnsi" w:cstheme="majorBidi"/>
              </w:rPr>
            </w:pPr>
            <w:r w:rsidRPr="003A1351">
              <w:rPr>
                <w:rFonts w:asciiTheme="minorHAnsi" w:hAnsiTheme="minorHAnsi" w:cstheme="majorBidi"/>
              </w:rPr>
              <w:t>22.9</w:t>
            </w:r>
          </w:p>
        </w:tc>
        <w:tc>
          <w:tcPr>
            <w:tcW w:w="843" w:type="dxa"/>
            <w:tcBorders>
              <w:top w:val="nil"/>
              <w:bottom w:val="nil"/>
            </w:tcBorders>
            <w:shd w:val="clear" w:color="auto" w:fill="auto"/>
            <w:vAlign w:val="center"/>
          </w:tcPr>
          <w:p w:rsidR="00317CA2" w:rsidRPr="000428EB" w:rsidRDefault="00317CA2" w:rsidP="00317CA2">
            <w:pPr>
              <w:keepNext/>
              <w:spacing w:after="0" w:line="240" w:lineRule="auto"/>
              <w:jc w:val="center"/>
              <w:rPr>
                <w:rFonts w:asciiTheme="minorHAnsi" w:hAnsiTheme="minorHAnsi" w:cstheme="majorBidi"/>
                <w:color w:val="000000"/>
              </w:rPr>
            </w:pPr>
            <w:r w:rsidRPr="000428EB">
              <w:rPr>
                <w:rFonts w:asciiTheme="minorHAnsi" w:hAnsiTheme="minorHAnsi" w:cstheme="majorBidi"/>
                <w:color w:val="000000"/>
              </w:rPr>
              <w:t>10.2</w:t>
            </w:r>
          </w:p>
        </w:tc>
        <w:tc>
          <w:tcPr>
            <w:tcW w:w="843" w:type="dxa"/>
            <w:tcBorders>
              <w:top w:val="nil"/>
              <w:bottom w:val="nil"/>
            </w:tcBorders>
            <w:shd w:val="clear" w:color="auto" w:fill="auto"/>
            <w:vAlign w:val="bottom"/>
            <w:hideMark/>
          </w:tcPr>
          <w:p w:rsidR="00317CA2" w:rsidRDefault="00317CA2" w:rsidP="00317CA2">
            <w:pPr>
              <w:jc w:val="center"/>
              <w:rPr>
                <w:rFonts w:cs="Calibri"/>
                <w:color w:val="000000"/>
              </w:rPr>
            </w:pPr>
            <w:r>
              <w:rPr>
                <w:rFonts w:cs="Calibri"/>
                <w:color w:val="000000"/>
              </w:rPr>
              <w:t>8.6</w:t>
            </w:r>
          </w:p>
        </w:tc>
        <w:tc>
          <w:tcPr>
            <w:tcW w:w="843" w:type="dxa"/>
            <w:tcBorders>
              <w:top w:val="nil"/>
              <w:bottom w:val="nil"/>
            </w:tcBorders>
            <w:shd w:val="clear" w:color="auto" w:fill="auto"/>
            <w:vAlign w:val="center"/>
            <w:hideMark/>
          </w:tcPr>
          <w:p w:rsidR="00317CA2" w:rsidRPr="000428EB" w:rsidRDefault="00317CA2" w:rsidP="00317CA2">
            <w:pPr>
              <w:keepNext/>
              <w:spacing w:after="0" w:line="240" w:lineRule="auto"/>
              <w:jc w:val="center"/>
              <w:rPr>
                <w:rFonts w:asciiTheme="minorHAnsi" w:hAnsiTheme="minorHAnsi" w:cstheme="majorBidi"/>
                <w:color w:val="000000"/>
              </w:rPr>
            </w:pPr>
            <w:r w:rsidRPr="000428EB">
              <w:rPr>
                <w:rFonts w:asciiTheme="minorHAnsi" w:hAnsiTheme="minorHAnsi" w:cstheme="majorBidi"/>
                <w:color w:val="000000"/>
              </w:rPr>
              <w:t>7.4</w:t>
            </w:r>
          </w:p>
        </w:tc>
      </w:tr>
      <w:tr w:rsidR="00317CA2" w:rsidRPr="00190C63" w:rsidTr="00B11DEE">
        <w:trPr>
          <w:trHeight w:hRule="exact" w:val="340"/>
        </w:trPr>
        <w:tc>
          <w:tcPr>
            <w:tcW w:w="2495" w:type="dxa"/>
            <w:tcBorders>
              <w:top w:val="nil"/>
              <w:bottom w:val="nil"/>
            </w:tcBorders>
            <w:shd w:val="clear" w:color="auto" w:fill="auto"/>
            <w:hideMark/>
          </w:tcPr>
          <w:p w:rsidR="00317CA2" w:rsidRPr="00190C63" w:rsidRDefault="00317CA2" w:rsidP="00317CA2">
            <w:pPr>
              <w:spacing w:after="0" w:line="240" w:lineRule="auto"/>
              <w:rPr>
                <w:rFonts w:asciiTheme="minorHAnsi" w:eastAsia="Times New Roman" w:hAnsiTheme="minorHAnsi" w:cstheme="majorBidi"/>
                <w:color w:val="000000"/>
              </w:rPr>
            </w:pPr>
            <w:r w:rsidRPr="00190C63">
              <w:rPr>
                <w:rFonts w:asciiTheme="minorHAnsi" w:eastAsia="Times New Roman" w:hAnsiTheme="minorHAnsi" w:cstheme="majorBidi"/>
                <w:color w:val="000000"/>
              </w:rPr>
              <w:t>Other/pharmacotherapy</w:t>
            </w:r>
          </w:p>
        </w:tc>
        <w:tc>
          <w:tcPr>
            <w:tcW w:w="862" w:type="dxa"/>
            <w:tcBorders>
              <w:top w:val="nil"/>
              <w:bottom w:val="nil"/>
            </w:tcBorders>
            <w:shd w:val="clear" w:color="auto" w:fill="auto"/>
            <w:vAlign w:val="center"/>
          </w:tcPr>
          <w:p w:rsidR="00317CA2" w:rsidRPr="00190C63" w:rsidRDefault="00317CA2" w:rsidP="00317CA2">
            <w:pPr>
              <w:spacing w:after="0" w:line="240" w:lineRule="auto"/>
              <w:jc w:val="center"/>
              <w:rPr>
                <w:rFonts w:asciiTheme="minorHAnsi" w:hAnsiTheme="minorHAnsi" w:cstheme="majorBidi"/>
                <w:color w:val="000000"/>
              </w:rPr>
            </w:pPr>
            <w:r>
              <w:rPr>
                <w:rFonts w:asciiTheme="minorHAnsi" w:hAnsiTheme="minorHAnsi" w:cstheme="majorBidi"/>
                <w:color w:val="000000"/>
              </w:rPr>
              <w:t>3.8</w:t>
            </w:r>
          </w:p>
        </w:tc>
        <w:tc>
          <w:tcPr>
            <w:tcW w:w="862" w:type="dxa"/>
            <w:tcBorders>
              <w:top w:val="nil"/>
              <w:bottom w:val="nil"/>
            </w:tcBorders>
            <w:shd w:val="clear" w:color="auto" w:fill="auto"/>
            <w:vAlign w:val="center"/>
            <w:hideMark/>
          </w:tcPr>
          <w:p w:rsidR="00317CA2" w:rsidRPr="000428EB" w:rsidRDefault="00317CA2" w:rsidP="00317CA2">
            <w:pPr>
              <w:spacing w:after="0" w:line="240" w:lineRule="auto"/>
              <w:jc w:val="center"/>
              <w:rPr>
                <w:rFonts w:asciiTheme="minorHAnsi" w:hAnsiTheme="minorHAnsi" w:cstheme="majorBidi"/>
                <w:color w:val="000000"/>
              </w:rPr>
            </w:pPr>
            <w:r w:rsidRPr="000428EB">
              <w:rPr>
                <w:rFonts w:asciiTheme="minorHAnsi" w:hAnsiTheme="minorHAnsi" w:cstheme="majorBidi"/>
                <w:color w:val="000000"/>
              </w:rPr>
              <w:t>15.9</w:t>
            </w:r>
          </w:p>
        </w:tc>
        <w:tc>
          <w:tcPr>
            <w:tcW w:w="843" w:type="dxa"/>
            <w:tcBorders>
              <w:top w:val="nil"/>
              <w:bottom w:val="nil"/>
            </w:tcBorders>
            <w:shd w:val="clear" w:color="auto" w:fill="auto"/>
            <w:vAlign w:val="center"/>
          </w:tcPr>
          <w:p w:rsidR="00317CA2" w:rsidRPr="00190C63" w:rsidRDefault="00317CA2" w:rsidP="00317CA2">
            <w:pPr>
              <w:spacing w:after="0" w:line="240" w:lineRule="auto"/>
              <w:jc w:val="center"/>
              <w:rPr>
                <w:rFonts w:asciiTheme="minorHAnsi" w:hAnsiTheme="minorHAnsi" w:cstheme="majorBidi"/>
                <w:color w:val="000000"/>
              </w:rPr>
            </w:pPr>
            <w:r>
              <w:rPr>
                <w:rFonts w:asciiTheme="minorHAnsi" w:hAnsiTheme="minorHAnsi" w:cstheme="majorBidi"/>
                <w:color w:val="000000"/>
              </w:rPr>
              <w:t>7.1</w:t>
            </w:r>
          </w:p>
        </w:tc>
        <w:tc>
          <w:tcPr>
            <w:tcW w:w="843" w:type="dxa"/>
            <w:tcBorders>
              <w:top w:val="nil"/>
              <w:bottom w:val="nil"/>
            </w:tcBorders>
            <w:shd w:val="clear" w:color="auto" w:fill="auto"/>
            <w:vAlign w:val="center"/>
          </w:tcPr>
          <w:p w:rsidR="00317CA2" w:rsidRPr="00190C63" w:rsidRDefault="00317CA2" w:rsidP="00317CA2">
            <w:pPr>
              <w:spacing w:after="0" w:line="240" w:lineRule="auto"/>
              <w:jc w:val="center"/>
              <w:rPr>
                <w:rFonts w:asciiTheme="minorHAnsi" w:hAnsiTheme="minorHAnsi" w:cstheme="majorBidi"/>
                <w:color w:val="000000"/>
              </w:rPr>
            </w:pPr>
            <w:r>
              <w:rPr>
                <w:rFonts w:asciiTheme="minorHAnsi" w:hAnsiTheme="minorHAnsi" w:cstheme="majorBidi"/>
                <w:color w:val="000000"/>
              </w:rPr>
              <w:t>2.9</w:t>
            </w:r>
          </w:p>
        </w:tc>
        <w:tc>
          <w:tcPr>
            <w:tcW w:w="843" w:type="dxa"/>
            <w:tcBorders>
              <w:top w:val="nil"/>
              <w:bottom w:val="nil"/>
            </w:tcBorders>
            <w:shd w:val="clear" w:color="auto" w:fill="auto"/>
            <w:vAlign w:val="center"/>
          </w:tcPr>
          <w:p w:rsidR="00317CA2" w:rsidRPr="00190C63" w:rsidRDefault="00317CA2" w:rsidP="00317CA2">
            <w:pPr>
              <w:spacing w:after="0" w:line="240" w:lineRule="auto"/>
              <w:jc w:val="center"/>
              <w:rPr>
                <w:rFonts w:asciiTheme="minorHAnsi" w:hAnsiTheme="minorHAnsi" w:cstheme="majorBidi"/>
              </w:rPr>
            </w:pPr>
            <w:r>
              <w:rPr>
                <w:rFonts w:asciiTheme="minorHAnsi" w:hAnsiTheme="minorHAnsi" w:cstheme="majorBidi"/>
              </w:rPr>
              <w:t>7.0</w:t>
            </w:r>
          </w:p>
        </w:tc>
        <w:tc>
          <w:tcPr>
            <w:tcW w:w="843" w:type="dxa"/>
            <w:tcBorders>
              <w:top w:val="nil"/>
              <w:bottom w:val="nil"/>
            </w:tcBorders>
            <w:shd w:val="clear" w:color="auto" w:fill="auto"/>
            <w:vAlign w:val="center"/>
          </w:tcPr>
          <w:p w:rsidR="00317CA2" w:rsidRPr="006C0A65" w:rsidRDefault="00317CA2" w:rsidP="00317CA2">
            <w:pPr>
              <w:spacing w:after="0" w:line="240" w:lineRule="auto"/>
              <w:jc w:val="center"/>
              <w:rPr>
                <w:rFonts w:asciiTheme="minorHAnsi" w:eastAsia="Times New Roman" w:hAnsiTheme="minorHAnsi" w:cstheme="majorBidi"/>
                <w:bCs/>
                <w:color w:val="000000"/>
              </w:rPr>
            </w:pPr>
            <w:r>
              <w:rPr>
                <w:rFonts w:asciiTheme="minorHAnsi" w:eastAsia="Times New Roman" w:hAnsiTheme="minorHAnsi" w:cstheme="majorBidi"/>
                <w:bCs/>
                <w:color w:val="000000"/>
              </w:rPr>
              <w:t>0.8</w:t>
            </w:r>
          </w:p>
        </w:tc>
        <w:tc>
          <w:tcPr>
            <w:tcW w:w="843" w:type="dxa"/>
            <w:tcBorders>
              <w:top w:val="nil"/>
              <w:bottom w:val="nil"/>
            </w:tcBorders>
            <w:shd w:val="clear" w:color="auto" w:fill="auto"/>
            <w:vAlign w:val="bottom"/>
            <w:hideMark/>
          </w:tcPr>
          <w:p w:rsidR="00317CA2" w:rsidRDefault="00317CA2" w:rsidP="00317CA2">
            <w:pPr>
              <w:jc w:val="center"/>
              <w:rPr>
                <w:rFonts w:cs="Calibri"/>
                <w:color w:val="000000"/>
              </w:rPr>
            </w:pPr>
            <w:r>
              <w:rPr>
                <w:rFonts w:cs="Calibri"/>
                <w:color w:val="000000"/>
              </w:rPr>
              <w:t>1.1</w:t>
            </w:r>
          </w:p>
        </w:tc>
        <w:tc>
          <w:tcPr>
            <w:tcW w:w="843" w:type="dxa"/>
            <w:tcBorders>
              <w:top w:val="nil"/>
              <w:bottom w:val="nil"/>
            </w:tcBorders>
            <w:shd w:val="clear" w:color="auto" w:fill="auto"/>
            <w:vAlign w:val="center"/>
            <w:hideMark/>
          </w:tcPr>
          <w:p w:rsidR="00317CA2" w:rsidRPr="00190C63" w:rsidRDefault="00317CA2" w:rsidP="00317CA2">
            <w:pPr>
              <w:spacing w:after="0" w:line="240" w:lineRule="auto"/>
              <w:jc w:val="center"/>
              <w:rPr>
                <w:rFonts w:asciiTheme="minorHAnsi" w:hAnsiTheme="minorHAnsi" w:cstheme="majorBidi"/>
                <w:color w:val="000000"/>
              </w:rPr>
            </w:pPr>
            <w:r>
              <w:rPr>
                <w:rFonts w:asciiTheme="minorHAnsi" w:hAnsiTheme="minorHAnsi" w:cstheme="majorBidi"/>
                <w:color w:val="000000"/>
              </w:rPr>
              <w:t>2.2</w:t>
            </w:r>
          </w:p>
        </w:tc>
      </w:tr>
      <w:tr w:rsidR="00317CA2" w:rsidTr="00317CA2">
        <w:trPr>
          <w:trHeight w:hRule="exact" w:val="624"/>
        </w:trPr>
        <w:tc>
          <w:tcPr>
            <w:tcW w:w="2495" w:type="dxa"/>
            <w:tcBorders>
              <w:top w:val="nil"/>
              <w:bottom w:val="single" w:sz="4" w:space="0" w:color="auto"/>
            </w:tcBorders>
            <w:shd w:val="clear" w:color="auto" w:fill="auto"/>
            <w:hideMark/>
          </w:tcPr>
          <w:p w:rsidR="00317CA2" w:rsidRPr="00190C63" w:rsidRDefault="00317CA2" w:rsidP="00317CA2">
            <w:pPr>
              <w:spacing w:after="0" w:line="240" w:lineRule="auto"/>
              <w:rPr>
                <w:rFonts w:asciiTheme="minorHAnsi" w:eastAsia="Times New Roman" w:hAnsiTheme="minorHAnsi" w:cstheme="majorBidi"/>
                <w:b/>
                <w:color w:val="000000"/>
              </w:rPr>
            </w:pPr>
            <w:r w:rsidRPr="00190C63">
              <w:rPr>
                <w:rFonts w:asciiTheme="minorHAnsi" w:eastAsia="Times New Roman" w:hAnsiTheme="minorHAnsi" w:cstheme="majorBidi"/>
                <w:b/>
                <w:color w:val="000000"/>
              </w:rPr>
              <w:t xml:space="preserve">Total number of treatment episodes </w:t>
            </w:r>
          </w:p>
        </w:tc>
        <w:tc>
          <w:tcPr>
            <w:tcW w:w="862" w:type="dxa"/>
            <w:tcBorders>
              <w:top w:val="nil"/>
              <w:bottom w:val="single" w:sz="4" w:space="0" w:color="auto"/>
            </w:tcBorders>
            <w:shd w:val="clear" w:color="auto" w:fill="auto"/>
            <w:vAlign w:val="center"/>
          </w:tcPr>
          <w:p w:rsidR="00317CA2" w:rsidRPr="00190C63" w:rsidRDefault="00317CA2" w:rsidP="00317CA2">
            <w:pPr>
              <w:spacing w:after="0" w:line="240" w:lineRule="auto"/>
              <w:jc w:val="right"/>
              <w:rPr>
                <w:rFonts w:asciiTheme="minorHAnsi" w:hAnsiTheme="minorHAnsi" w:cstheme="majorBidi"/>
                <w:b/>
                <w:color w:val="000000"/>
              </w:rPr>
            </w:pPr>
            <w:r>
              <w:rPr>
                <w:rFonts w:asciiTheme="minorHAnsi" w:hAnsiTheme="minorHAnsi" w:cstheme="majorBidi"/>
                <w:b/>
                <w:color w:val="000000"/>
              </w:rPr>
              <w:t>4,010</w:t>
            </w:r>
          </w:p>
        </w:tc>
        <w:tc>
          <w:tcPr>
            <w:tcW w:w="862" w:type="dxa"/>
            <w:tcBorders>
              <w:top w:val="nil"/>
              <w:bottom w:val="single" w:sz="4" w:space="0" w:color="auto"/>
            </w:tcBorders>
            <w:shd w:val="clear" w:color="auto" w:fill="auto"/>
            <w:vAlign w:val="center"/>
            <w:hideMark/>
          </w:tcPr>
          <w:p w:rsidR="00317CA2" w:rsidRPr="00190C63" w:rsidRDefault="00317CA2" w:rsidP="00317CA2">
            <w:pPr>
              <w:spacing w:after="0" w:line="240" w:lineRule="auto"/>
              <w:jc w:val="right"/>
              <w:rPr>
                <w:rFonts w:asciiTheme="minorHAnsi" w:hAnsiTheme="minorHAnsi" w:cstheme="majorBidi"/>
                <w:b/>
                <w:color w:val="000000"/>
              </w:rPr>
            </w:pPr>
            <w:r>
              <w:rPr>
                <w:rFonts w:asciiTheme="minorHAnsi" w:hAnsiTheme="minorHAnsi" w:cstheme="majorBidi"/>
                <w:b/>
                <w:color w:val="000000"/>
              </w:rPr>
              <w:t>40,014</w:t>
            </w:r>
          </w:p>
        </w:tc>
        <w:tc>
          <w:tcPr>
            <w:tcW w:w="843" w:type="dxa"/>
            <w:tcBorders>
              <w:top w:val="nil"/>
              <w:bottom w:val="single" w:sz="4" w:space="0" w:color="auto"/>
            </w:tcBorders>
            <w:shd w:val="clear" w:color="auto" w:fill="auto"/>
            <w:vAlign w:val="center"/>
          </w:tcPr>
          <w:p w:rsidR="00317CA2" w:rsidRPr="00190C63" w:rsidRDefault="00317CA2" w:rsidP="00317CA2">
            <w:pPr>
              <w:spacing w:after="0" w:line="240" w:lineRule="auto"/>
              <w:jc w:val="right"/>
              <w:rPr>
                <w:rFonts w:asciiTheme="minorHAnsi" w:hAnsiTheme="minorHAnsi" w:cstheme="majorBidi"/>
                <w:b/>
                <w:color w:val="000000"/>
              </w:rPr>
            </w:pPr>
            <w:r>
              <w:rPr>
                <w:rFonts w:asciiTheme="minorHAnsi" w:hAnsiTheme="minorHAnsi" w:cstheme="majorBidi"/>
                <w:b/>
                <w:color w:val="000000"/>
              </w:rPr>
              <w:t>3,175</w:t>
            </w:r>
          </w:p>
        </w:tc>
        <w:tc>
          <w:tcPr>
            <w:tcW w:w="843" w:type="dxa"/>
            <w:tcBorders>
              <w:top w:val="nil"/>
              <w:bottom w:val="single" w:sz="4" w:space="0" w:color="auto"/>
            </w:tcBorders>
            <w:shd w:val="clear" w:color="auto" w:fill="auto"/>
            <w:vAlign w:val="center"/>
          </w:tcPr>
          <w:p w:rsidR="00317CA2" w:rsidRPr="00190C63" w:rsidRDefault="00317CA2" w:rsidP="00317CA2">
            <w:pPr>
              <w:spacing w:after="0" w:line="240" w:lineRule="auto"/>
              <w:jc w:val="right"/>
              <w:rPr>
                <w:rFonts w:asciiTheme="minorHAnsi" w:hAnsiTheme="minorHAnsi" w:cstheme="majorBidi"/>
                <w:b/>
                <w:color w:val="000000"/>
              </w:rPr>
            </w:pPr>
            <w:r>
              <w:rPr>
                <w:rFonts w:asciiTheme="minorHAnsi" w:hAnsiTheme="minorHAnsi" w:cstheme="majorBidi"/>
                <w:b/>
                <w:color w:val="000000"/>
              </w:rPr>
              <w:t>24,705</w:t>
            </w:r>
          </w:p>
        </w:tc>
        <w:tc>
          <w:tcPr>
            <w:tcW w:w="843" w:type="dxa"/>
            <w:tcBorders>
              <w:top w:val="nil"/>
              <w:bottom w:val="single" w:sz="4" w:space="0" w:color="auto"/>
            </w:tcBorders>
            <w:shd w:val="clear" w:color="auto" w:fill="auto"/>
            <w:vAlign w:val="center"/>
          </w:tcPr>
          <w:p w:rsidR="00317CA2" w:rsidRPr="00190C63" w:rsidRDefault="00317CA2" w:rsidP="00317CA2">
            <w:pPr>
              <w:spacing w:after="0" w:line="240" w:lineRule="auto"/>
              <w:jc w:val="right"/>
              <w:rPr>
                <w:rFonts w:asciiTheme="minorHAnsi" w:hAnsiTheme="minorHAnsi" w:cstheme="majorBidi"/>
                <w:b/>
              </w:rPr>
            </w:pPr>
            <w:r>
              <w:rPr>
                <w:rFonts w:asciiTheme="minorHAnsi" w:hAnsiTheme="minorHAnsi" w:cstheme="majorBidi"/>
                <w:b/>
              </w:rPr>
              <w:t>8,613</w:t>
            </w:r>
          </w:p>
        </w:tc>
        <w:tc>
          <w:tcPr>
            <w:tcW w:w="843" w:type="dxa"/>
            <w:tcBorders>
              <w:top w:val="nil"/>
              <w:bottom w:val="single" w:sz="4" w:space="0" w:color="auto"/>
            </w:tcBorders>
            <w:shd w:val="clear" w:color="auto" w:fill="auto"/>
            <w:vAlign w:val="center"/>
          </w:tcPr>
          <w:p w:rsidR="00317CA2" w:rsidRPr="00190C63" w:rsidRDefault="00317CA2" w:rsidP="00317CA2">
            <w:pPr>
              <w:spacing w:after="0" w:line="240" w:lineRule="auto"/>
              <w:jc w:val="right"/>
              <w:rPr>
                <w:rFonts w:asciiTheme="minorHAnsi" w:hAnsiTheme="minorHAnsi" w:cstheme="majorBidi"/>
                <w:b/>
                <w:color w:val="000000"/>
              </w:rPr>
            </w:pPr>
            <w:r>
              <w:rPr>
                <w:rFonts w:asciiTheme="minorHAnsi" w:hAnsiTheme="minorHAnsi" w:cstheme="majorBidi"/>
                <w:b/>
                <w:color w:val="000000"/>
              </w:rPr>
              <w:t>1,554</w:t>
            </w:r>
          </w:p>
        </w:tc>
        <w:tc>
          <w:tcPr>
            <w:tcW w:w="843" w:type="dxa"/>
            <w:tcBorders>
              <w:top w:val="nil"/>
              <w:bottom w:val="single" w:sz="4" w:space="0" w:color="auto"/>
            </w:tcBorders>
            <w:shd w:val="clear" w:color="auto" w:fill="auto"/>
            <w:vAlign w:val="center"/>
            <w:hideMark/>
          </w:tcPr>
          <w:p w:rsidR="00317CA2" w:rsidRPr="00190C63" w:rsidRDefault="00317CA2" w:rsidP="00317CA2">
            <w:pPr>
              <w:spacing w:after="0" w:line="240" w:lineRule="auto"/>
              <w:jc w:val="right"/>
              <w:rPr>
                <w:rFonts w:asciiTheme="minorHAnsi" w:hAnsiTheme="minorHAnsi" w:cstheme="majorBidi"/>
                <w:b/>
                <w:color w:val="000000"/>
              </w:rPr>
            </w:pPr>
            <w:r>
              <w:rPr>
                <w:rFonts w:asciiTheme="minorHAnsi" w:hAnsiTheme="minorHAnsi" w:cstheme="majorBidi"/>
                <w:b/>
                <w:color w:val="000000"/>
              </w:rPr>
              <w:t>50,004</w:t>
            </w:r>
          </w:p>
        </w:tc>
        <w:tc>
          <w:tcPr>
            <w:tcW w:w="843" w:type="dxa"/>
            <w:tcBorders>
              <w:top w:val="nil"/>
              <w:bottom w:val="single" w:sz="4" w:space="0" w:color="auto"/>
            </w:tcBorders>
            <w:shd w:val="clear" w:color="auto" w:fill="auto"/>
            <w:vAlign w:val="center"/>
            <w:hideMark/>
          </w:tcPr>
          <w:p w:rsidR="00317CA2" w:rsidRPr="00190C63" w:rsidRDefault="00317CA2" w:rsidP="00317CA2">
            <w:pPr>
              <w:spacing w:after="0" w:line="240" w:lineRule="auto"/>
              <w:jc w:val="right"/>
              <w:rPr>
                <w:rFonts w:asciiTheme="minorHAnsi" w:hAnsiTheme="minorHAnsi" w:cstheme="majorBidi"/>
                <w:b/>
                <w:color w:val="000000"/>
                <w:shd w:val="clear" w:color="auto" w:fill="DAEEF3" w:themeFill="accent5" w:themeFillTint="33"/>
              </w:rPr>
            </w:pPr>
            <w:r w:rsidRPr="005F694D">
              <w:rPr>
                <w:rFonts w:asciiTheme="minorHAnsi" w:hAnsiTheme="minorHAnsi" w:cstheme="majorBidi"/>
                <w:b/>
                <w:color w:val="000000"/>
              </w:rPr>
              <w:t>17</w:t>
            </w:r>
            <w:r>
              <w:rPr>
                <w:rFonts w:asciiTheme="minorHAnsi" w:hAnsiTheme="minorHAnsi" w:cstheme="majorBidi"/>
                <w:b/>
                <w:color w:val="000000"/>
              </w:rPr>
              <w:t>,</w:t>
            </w:r>
            <w:r w:rsidRPr="005F694D">
              <w:rPr>
                <w:rFonts w:asciiTheme="minorHAnsi" w:hAnsiTheme="minorHAnsi" w:cstheme="majorBidi"/>
                <w:b/>
                <w:color w:val="000000"/>
              </w:rPr>
              <w:t>403</w:t>
            </w:r>
          </w:p>
        </w:tc>
      </w:tr>
    </w:tbl>
    <w:p w:rsidR="00317CA2" w:rsidRDefault="00317CA2" w:rsidP="008E0FD3">
      <w:pPr>
        <w:spacing w:after="0"/>
        <w:rPr>
          <w:sz w:val="18"/>
        </w:rPr>
      </w:pPr>
      <w:r w:rsidRPr="008E0FD3">
        <w:rPr>
          <w:sz w:val="18"/>
        </w:rPr>
        <w:t>Source: AIHW AODTS NMDS, AOD treatment services in ACT 20</w:t>
      </w:r>
      <w:r w:rsidR="008E0FD3">
        <w:rPr>
          <w:sz w:val="18"/>
        </w:rPr>
        <w:t>11-12</w:t>
      </w:r>
    </w:p>
    <w:p w:rsidR="008E0FD3" w:rsidRPr="008E0FD3" w:rsidRDefault="008E0FD3" w:rsidP="008E0FD3">
      <w:pPr>
        <w:spacing w:after="0"/>
        <w:rPr>
          <w:sz w:val="18"/>
        </w:rPr>
      </w:pPr>
    </w:p>
    <w:p w:rsidR="00D13083" w:rsidRPr="00143847" w:rsidRDefault="00FA516F" w:rsidP="00FA516F">
      <w:pPr>
        <w:pStyle w:val="FAREnormaltext"/>
      </w:pPr>
      <w:r w:rsidRPr="00143847">
        <w:t>We therefore repeated selected analyses with our data weighted according to PIT type to make our baseline sample representative of the whole population of closed treatment episodes. The AIHW reports numbers of closed episodes for counselling, withdrawal management, assessment only, support and case management only, rehabilitation, information and education only, pharmacotherapy, and “other”. Our sample did not include participants whose PIT types were support and case management only or information and education only, and the types of treatments defined as “other” in the AIHW data are unclear. Thus, numbers of episodes where these were the main treatment types were not counted in the total “population” of treatment episodes in WA and Victoria that we used to calculate weightings. Moreover, no data is presented in the AIHW report for Victoria or WA regarding number of treatment episodes where pharmacotherapy or referral to peer support was the main treatment type, and our participants who reported these as their PIT types were therefore excluded from weighted analyses.</w:t>
      </w:r>
      <w:r w:rsidR="00143847">
        <w:t xml:space="preserve"> </w:t>
      </w:r>
      <w:r w:rsidRPr="00143847">
        <w:t>First we repeated bivariate chi-square analyses examining differences in outcome rates by PIT type</w:t>
      </w:r>
      <w:r w:rsidR="00D13083" w:rsidRPr="00143847">
        <w:t xml:space="preserve"> (see Table 3.1</w:t>
      </w:r>
      <w:r w:rsidR="00317CA2" w:rsidRPr="00143847">
        <w:t>8</w:t>
      </w:r>
      <w:r w:rsidR="00D13083" w:rsidRPr="00143847">
        <w:t>)</w:t>
      </w:r>
      <w:r w:rsidRPr="00143847">
        <w:t>.</w:t>
      </w:r>
    </w:p>
    <w:p w:rsidR="00685AFF" w:rsidRDefault="00685AFF">
      <w:pPr>
        <w:spacing w:after="120" w:line="240" w:lineRule="auto"/>
        <w:ind w:left="1191" w:hanging="1134"/>
        <w:jc w:val="both"/>
        <w:rPr>
          <w:b/>
          <w:lang w:val="en-GB" w:eastAsia="en-AU"/>
        </w:rPr>
      </w:pPr>
      <w:r>
        <w:br w:type="page"/>
      </w:r>
    </w:p>
    <w:p w:rsidR="00D13083" w:rsidRDefault="00A27AF7" w:rsidP="00D13083">
      <w:pPr>
        <w:pStyle w:val="FAREtableheading"/>
        <w:rPr>
          <w:rFonts w:eastAsia="Times New Roman"/>
          <w:b w:val="0"/>
          <w:bCs/>
          <w:noProof/>
          <w:kern w:val="32"/>
          <w:sz w:val="36"/>
          <w:szCs w:val="36"/>
          <w:lang w:val="en-US"/>
        </w:rPr>
      </w:pPr>
      <w:bookmarkStart w:id="130" w:name="_Toc398105080"/>
      <w:proofErr w:type="gramStart"/>
      <w:r w:rsidRPr="00415291">
        <w:lastRenderedPageBreak/>
        <w:t xml:space="preserve">Table </w:t>
      </w:r>
      <w:r w:rsidR="00BE3D19">
        <w:fldChar w:fldCharType="begin"/>
      </w:r>
      <w:r w:rsidR="000311C5">
        <w:instrText xml:space="preserve"> STYLEREF 1 \s </w:instrText>
      </w:r>
      <w:r w:rsidR="00BE3D19">
        <w:fldChar w:fldCharType="separate"/>
      </w:r>
      <w:r w:rsidR="00E150CA">
        <w:rPr>
          <w:noProof/>
        </w:rPr>
        <w:t>3</w:t>
      </w:r>
      <w:r w:rsidR="00BE3D19">
        <w:rPr>
          <w:noProof/>
        </w:rPr>
        <w:fldChar w:fldCharType="end"/>
      </w:r>
      <w:r w:rsidRPr="00415291">
        <w:t>.</w:t>
      </w:r>
      <w:proofErr w:type="gramEnd"/>
      <w:r w:rsidR="00BE3D19" w:rsidRPr="00415291">
        <w:fldChar w:fldCharType="begin"/>
      </w:r>
      <w:r w:rsidRPr="00415291">
        <w:instrText xml:space="preserve"> SEQ Table \* ARABIC \s 1 </w:instrText>
      </w:r>
      <w:r w:rsidR="00BE3D19" w:rsidRPr="00415291">
        <w:fldChar w:fldCharType="separate"/>
      </w:r>
      <w:r w:rsidR="00E150CA">
        <w:rPr>
          <w:noProof/>
        </w:rPr>
        <w:t>18</w:t>
      </w:r>
      <w:r w:rsidR="00BE3D19" w:rsidRPr="00415291">
        <w:fldChar w:fldCharType="end"/>
      </w:r>
      <w:r w:rsidR="006244F5">
        <w:rPr>
          <w:lang w:val="en-AU" w:eastAsia="en-US"/>
        </w:rPr>
        <w:t xml:space="preserve">  </w:t>
      </w:r>
      <w:r w:rsidR="00D13083">
        <w:rPr>
          <w:lang w:val="en-AU" w:eastAsia="en-US"/>
        </w:rPr>
        <w:t>Abstinence and Success rates by PIT using weighted and unweighted data</w:t>
      </w:r>
      <w:bookmarkEnd w:id="130"/>
      <w:r w:rsidR="00D13083">
        <w:rPr>
          <w:lang w:val="en-AU" w:eastAsia="en-US"/>
        </w:rPr>
        <w:t xml:space="preserve"> </w:t>
      </w:r>
    </w:p>
    <w:tbl>
      <w:tblPr>
        <w:tblStyle w:val="TableGrid"/>
        <w:tblW w:w="5000" w:type="pct"/>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Caption w:val="Table 3.18  Abstinence and Success rates by PIT using weighted and unweighted data "/>
        <w:tblDescription w:val="Table 3.18  Abstinence and Success rates by PIT using weighted and unweighted data "/>
      </w:tblPr>
      <w:tblGrid>
        <w:gridCol w:w="2802"/>
        <w:gridCol w:w="1701"/>
        <w:gridCol w:w="1702"/>
        <w:gridCol w:w="1558"/>
        <w:gridCol w:w="1479"/>
      </w:tblGrid>
      <w:tr w:rsidR="00D13083" w:rsidTr="00046CCA">
        <w:trPr>
          <w:tblHeader/>
        </w:trPr>
        <w:tc>
          <w:tcPr>
            <w:tcW w:w="1516" w:type="pct"/>
            <w:tcBorders>
              <w:top w:val="single" w:sz="4" w:space="0" w:color="auto"/>
              <w:bottom w:val="single" w:sz="4" w:space="0" w:color="auto"/>
            </w:tcBorders>
          </w:tcPr>
          <w:p w:rsidR="00D13083" w:rsidRPr="00685AFF" w:rsidRDefault="00D13083" w:rsidP="00143847">
            <w:pPr>
              <w:spacing w:after="0" w:line="240" w:lineRule="auto"/>
              <w:rPr>
                <w:sz w:val="22"/>
                <w:szCs w:val="22"/>
              </w:rPr>
            </w:pPr>
            <w:r w:rsidRPr="00685AFF">
              <w:rPr>
                <w:sz w:val="22"/>
                <w:szCs w:val="22"/>
              </w:rPr>
              <w:t>PIT type</w:t>
            </w:r>
          </w:p>
        </w:tc>
        <w:tc>
          <w:tcPr>
            <w:tcW w:w="920" w:type="pct"/>
            <w:tcBorders>
              <w:top w:val="single" w:sz="4" w:space="0" w:color="auto"/>
              <w:bottom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Abstinence</w:t>
            </w:r>
          </w:p>
        </w:tc>
        <w:tc>
          <w:tcPr>
            <w:tcW w:w="921" w:type="pct"/>
            <w:tcBorders>
              <w:top w:val="single" w:sz="4" w:space="0" w:color="auto"/>
              <w:bottom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Abstinence (weighted)</w:t>
            </w:r>
          </w:p>
        </w:tc>
        <w:tc>
          <w:tcPr>
            <w:tcW w:w="843" w:type="pct"/>
            <w:tcBorders>
              <w:top w:val="single" w:sz="4" w:space="0" w:color="auto"/>
              <w:bottom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Success</w:t>
            </w:r>
          </w:p>
        </w:tc>
        <w:tc>
          <w:tcPr>
            <w:tcW w:w="800" w:type="pct"/>
            <w:tcBorders>
              <w:top w:val="single" w:sz="4" w:space="0" w:color="auto"/>
              <w:bottom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Success (weighted)</w:t>
            </w:r>
          </w:p>
        </w:tc>
      </w:tr>
      <w:tr w:rsidR="00D13083" w:rsidTr="00685AFF">
        <w:trPr>
          <w:trHeight w:hRule="exact" w:val="340"/>
        </w:trPr>
        <w:tc>
          <w:tcPr>
            <w:tcW w:w="1516" w:type="pct"/>
            <w:tcBorders>
              <w:top w:val="single" w:sz="4" w:space="0" w:color="auto"/>
            </w:tcBorders>
          </w:tcPr>
          <w:p w:rsidR="00D13083" w:rsidRPr="00685AFF" w:rsidRDefault="00D13083" w:rsidP="00143847">
            <w:pPr>
              <w:spacing w:after="0" w:line="240" w:lineRule="auto"/>
              <w:rPr>
                <w:sz w:val="22"/>
                <w:szCs w:val="22"/>
              </w:rPr>
            </w:pPr>
            <w:r w:rsidRPr="00685AFF">
              <w:rPr>
                <w:sz w:val="22"/>
                <w:szCs w:val="22"/>
              </w:rPr>
              <w:t>Outpatient</w:t>
            </w:r>
          </w:p>
        </w:tc>
        <w:tc>
          <w:tcPr>
            <w:tcW w:w="920" w:type="pct"/>
            <w:tcBorders>
              <w:top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27.6</w:t>
            </w:r>
          </w:p>
        </w:tc>
        <w:tc>
          <w:tcPr>
            <w:tcW w:w="921" w:type="pct"/>
            <w:tcBorders>
              <w:top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27.4</w:t>
            </w:r>
          </w:p>
        </w:tc>
        <w:tc>
          <w:tcPr>
            <w:tcW w:w="843" w:type="pct"/>
            <w:tcBorders>
              <w:top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41.8</w:t>
            </w:r>
          </w:p>
        </w:tc>
        <w:tc>
          <w:tcPr>
            <w:tcW w:w="800" w:type="pct"/>
            <w:tcBorders>
              <w:top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41.3</w:t>
            </w:r>
          </w:p>
        </w:tc>
      </w:tr>
      <w:tr w:rsidR="00D13083" w:rsidTr="00685AFF">
        <w:trPr>
          <w:trHeight w:hRule="exact" w:val="340"/>
        </w:trPr>
        <w:tc>
          <w:tcPr>
            <w:tcW w:w="1516" w:type="pct"/>
          </w:tcPr>
          <w:p w:rsidR="00D13083" w:rsidRPr="00685AFF" w:rsidRDefault="008E0FD3" w:rsidP="00143847">
            <w:pPr>
              <w:spacing w:after="0" w:line="240" w:lineRule="auto"/>
              <w:rPr>
                <w:sz w:val="22"/>
                <w:szCs w:val="22"/>
              </w:rPr>
            </w:pPr>
            <w:r w:rsidRPr="00685AFF">
              <w:rPr>
                <w:sz w:val="22"/>
                <w:szCs w:val="22"/>
              </w:rPr>
              <w:t>Acute withdrawal</w:t>
            </w:r>
          </w:p>
        </w:tc>
        <w:tc>
          <w:tcPr>
            <w:tcW w:w="920" w:type="pct"/>
          </w:tcPr>
          <w:p w:rsidR="00D13083" w:rsidRPr="00685AFF" w:rsidRDefault="00D13083" w:rsidP="00143847">
            <w:pPr>
              <w:spacing w:after="0" w:line="240" w:lineRule="auto"/>
              <w:jc w:val="center"/>
              <w:rPr>
                <w:sz w:val="22"/>
                <w:szCs w:val="22"/>
              </w:rPr>
            </w:pPr>
            <w:r w:rsidRPr="00685AFF">
              <w:rPr>
                <w:sz w:val="22"/>
                <w:szCs w:val="22"/>
              </w:rPr>
              <w:t>21.3</w:t>
            </w:r>
          </w:p>
        </w:tc>
        <w:tc>
          <w:tcPr>
            <w:tcW w:w="921" w:type="pct"/>
          </w:tcPr>
          <w:p w:rsidR="00D13083" w:rsidRPr="00685AFF" w:rsidRDefault="00D13083" w:rsidP="00143847">
            <w:pPr>
              <w:spacing w:after="0" w:line="240" w:lineRule="auto"/>
              <w:jc w:val="center"/>
              <w:rPr>
                <w:sz w:val="22"/>
                <w:szCs w:val="22"/>
              </w:rPr>
            </w:pPr>
            <w:r w:rsidRPr="00685AFF">
              <w:rPr>
                <w:sz w:val="22"/>
                <w:szCs w:val="22"/>
              </w:rPr>
              <w:t>21.3</w:t>
            </w:r>
          </w:p>
        </w:tc>
        <w:tc>
          <w:tcPr>
            <w:tcW w:w="843" w:type="pct"/>
          </w:tcPr>
          <w:p w:rsidR="00D13083" w:rsidRPr="00685AFF" w:rsidRDefault="00D13083" w:rsidP="00143847">
            <w:pPr>
              <w:spacing w:after="0" w:line="240" w:lineRule="auto"/>
              <w:jc w:val="center"/>
              <w:rPr>
                <w:sz w:val="22"/>
                <w:szCs w:val="22"/>
              </w:rPr>
            </w:pPr>
            <w:r w:rsidRPr="00685AFF">
              <w:rPr>
                <w:sz w:val="22"/>
                <w:szCs w:val="22"/>
              </w:rPr>
              <w:t>35.1</w:t>
            </w:r>
          </w:p>
        </w:tc>
        <w:tc>
          <w:tcPr>
            <w:tcW w:w="800" w:type="pct"/>
          </w:tcPr>
          <w:p w:rsidR="00D13083" w:rsidRPr="00685AFF" w:rsidRDefault="00D13083" w:rsidP="00143847">
            <w:pPr>
              <w:spacing w:after="0" w:line="240" w:lineRule="auto"/>
              <w:jc w:val="center"/>
              <w:rPr>
                <w:sz w:val="22"/>
                <w:szCs w:val="22"/>
              </w:rPr>
            </w:pPr>
            <w:r w:rsidRPr="00685AFF">
              <w:rPr>
                <w:sz w:val="22"/>
                <w:szCs w:val="22"/>
              </w:rPr>
              <w:t>35.2</w:t>
            </w:r>
          </w:p>
        </w:tc>
      </w:tr>
      <w:tr w:rsidR="00D13083" w:rsidTr="00685AFF">
        <w:trPr>
          <w:trHeight w:hRule="exact" w:val="340"/>
        </w:trPr>
        <w:tc>
          <w:tcPr>
            <w:tcW w:w="1516" w:type="pct"/>
          </w:tcPr>
          <w:p w:rsidR="00D13083" w:rsidRPr="00685AFF" w:rsidRDefault="008E0FD3" w:rsidP="00143847">
            <w:pPr>
              <w:spacing w:after="0" w:line="240" w:lineRule="auto"/>
              <w:rPr>
                <w:sz w:val="22"/>
                <w:szCs w:val="22"/>
              </w:rPr>
            </w:pPr>
            <w:r w:rsidRPr="00685AFF">
              <w:rPr>
                <w:sz w:val="22"/>
                <w:szCs w:val="22"/>
              </w:rPr>
              <w:t xml:space="preserve">Residential </w:t>
            </w:r>
            <w:r w:rsidR="00D13083" w:rsidRPr="00685AFF">
              <w:rPr>
                <w:sz w:val="22"/>
                <w:szCs w:val="22"/>
              </w:rPr>
              <w:t>rehabilitation</w:t>
            </w:r>
          </w:p>
        </w:tc>
        <w:tc>
          <w:tcPr>
            <w:tcW w:w="920" w:type="pct"/>
          </w:tcPr>
          <w:p w:rsidR="00D13083" w:rsidRPr="00685AFF" w:rsidRDefault="00D13083" w:rsidP="00143847">
            <w:pPr>
              <w:spacing w:after="0" w:line="240" w:lineRule="auto"/>
              <w:jc w:val="center"/>
              <w:rPr>
                <w:sz w:val="22"/>
                <w:szCs w:val="22"/>
              </w:rPr>
            </w:pPr>
            <w:r w:rsidRPr="00685AFF">
              <w:rPr>
                <w:sz w:val="22"/>
                <w:szCs w:val="22"/>
              </w:rPr>
              <w:t>36.2</w:t>
            </w:r>
          </w:p>
        </w:tc>
        <w:tc>
          <w:tcPr>
            <w:tcW w:w="921" w:type="pct"/>
          </w:tcPr>
          <w:p w:rsidR="00D13083" w:rsidRPr="00685AFF" w:rsidRDefault="00D13083" w:rsidP="00143847">
            <w:pPr>
              <w:spacing w:after="0" w:line="240" w:lineRule="auto"/>
              <w:jc w:val="center"/>
              <w:rPr>
                <w:sz w:val="22"/>
                <w:szCs w:val="22"/>
              </w:rPr>
            </w:pPr>
            <w:r w:rsidRPr="00685AFF">
              <w:rPr>
                <w:sz w:val="22"/>
                <w:szCs w:val="22"/>
              </w:rPr>
              <w:t>36.1</w:t>
            </w:r>
          </w:p>
        </w:tc>
        <w:tc>
          <w:tcPr>
            <w:tcW w:w="843" w:type="pct"/>
          </w:tcPr>
          <w:p w:rsidR="00D13083" w:rsidRPr="00685AFF" w:rsidRDefault="00D13083" w:rsidP="00143847">
            <w:pPr>
              <w:spacing w:after="0" w:line="240" w:lineRule="auto"/>
              <w:jc w:val="center"/>
              <w:rPr>
                <w:sz w:val="22"/>
                <w:szCs w:val="22"/>
              </w:rPr>
            </w:pPr>
            <w:r w:rsidRPr="00685AFF">
              <w:rPr>
                <w:sz w:val="22"/>
                <w:szCs w:val="22"/>
              </w:rPr>
              <w:t>40.1</w:t>
            </w:r>
          </w:p>
        </w:tc>
        <w:tc>
          <w:tcPr>
            <w:tcW w:w="800" w:type="pct"/>
          </w:tcPr>
          <w:p w:rsidR="00D13083" w:rsidRPr="00685AFF" w:rsidRDefault="00D13083" w:rsidP="00143847">
            <w:pPr>
              <w:spacing w:after="0" w:line="240" w:lineRule="auto"/>
              <w:jc w:val="center"/>
              <w:rPr>
                <w:sz w:val="22"/>
                <w:szCs w:val="22"/>
              </w:rPr>
            </w:pPr>
            <w:r w:rsidRPr="00685AFF">
              <w:rPr>
                <w:sz w:val="22"/>
                <w:szCs w:val="22"/>
              </w:rPr>
              <w:t>40.0</w:t>
            </w:r>
          </w:p>
        </w:tc>
      </w:tr>
      <w:tr w:rsidR="00D13083" w:rsidTr="00685AFF">
        <w:trPr>
          <w:trHeight w:hRule="exact" w:val="340"/>
        </w:trPr>
        <w:tc>
          <w:tcPr>
            <w:tcW w:w="1516" w:type="pct"/>
          </w:tcPr>
          <w:p w:rsidR="00D13083" w:rsidRPr="00685AFF" w:rsidRDefault="00D13083" w:rsidP="00143847">
            <w:pPr>
              <w:spacing w:after="0" w:line="240" w:lineRule="auto"/>
              <w:rPr>
                <w:sz w:val="22"/>
                <w:szCs w:val="22"/>
              </w:rPr>
            </w:pPr>
            <w:r w:rsidRPr="00685AFF">
              <w:rPr>
                <w:sz w:val="22"/>
                <w:szCs w:val="22"/>
              </w:rPr>
              <w:t>Total</w:t>
            </w:r>
          </w:p>
        </w:tc>
        <w:tc>
          <w:tcPr>
            <w:tcW w:w="920" w:type="pct"/>
          </w:tcPr>
          <w:p w:rsidR="00D13083" w:rsidRPr="00685AFF" w:rsidRDefault="00D13083" w:rsidP="00143847">
            <w:pPr>
              <w:spacing w:after="0" w:line="240" w:lineRule="auto"/>
              <w:jc w:val="center"/>
              <w:rPr>
                <w:sz w:val="22"/>
                <w:szCs w:val="22"/>
              </w:rPr>
            </w:pPr>
            <w:r w:rsidRPr="00685AFF">
              <w:rPr>
                <w:sz w:val="22"/>
                <w:szCs w:val="22"/>
              </w:rPr>
              <w:t>27.2</w:t>
            </w:r>
          </w:p>
        </w:tc>
        <w:tc>
          <w:tcPr>
            <w:tcW w:w="921" w:type="pct"/>
          </w:tcPr>
          <w:p w:rsidR="00D13083" w:rsidRPr="00685AFF" w:rsidRDefault="00D13083" w:rsidP="00143847">
            <w:pPr>
              <w:spacing w:after="0" w:line="240" w:lineRule="auto"/>
              <w:jc w:val="center"/>
              <w:rPr>
                <w:sz w:val="22"/>
                <w:szCs w:val="22"/>
              </w:rPr>
            </w:pPr>
            <w:r w:rsidRPr="00685AFF">
              <w:rPr>
                <w:sz w:val="22"/>
                <w:szCs w:val="22"/>
              </w:rPr>
              <w:t>26.4</w:t>
            </w:r>
          </w:p>
        </w:tc>
        <w:tc>
          <w:tcPr>
            <w:tcW w:w="843" w:type="pct"/>
          </w:tcPr>
          <w:p w:rsidR="00D13083" w:rsidRPr="00685AFF" w:rsidRDefault="00D13083" w:rsidP="00143847">
            <w:pPr>
              <w:spacing w:after="0" w:line="240" w:lineRule="auto"/>
              <w:jc w:val="center"/>
              <w:rPr>
                <w:sz w:val="22"/>
                <w:szCs w:val="22"/>
              </w:rPr>
            </w:pPr>
            <w:r w:rsidRPr="00685AFF">
              <w:rPr>
                <w:sz w:val="22"/>
                <w:szCs w:val="22"/>
              </w:rPr>
              <w:t>38.3</w:t>
            </w:r>
          </w:p>
        </w:tc>
        <w:tc>
          <w:tcPr>
            <w:tcW w:w="800" w:type="pct"/>
          </w:tcPr>
          <w:p w:rsidR="00D13083" w:rsidRPr="00685AFF" w:rsidRDefault="00D13083" w:rsidP="00143847">
            <w:pPr>
              <w:spacing w:after="0" w:line="240" w:lineRule="auto"/>
              <w:jc w:val="center"/>
              <w:rPr>
                <w:sz w:val="22"/>
                <w:szCs w:val="22"/>
              </w:rPr>
            </w:pPr>
            <w:r w:rsidRPr="00685AFF">
              <w:rPr>
                <w:sz w:val="22"/>
                <w:szCs w:val="22"/>
              </w:rPr>
              <w:t>39.9</w:t>
            </w:r>
          </w:p>
        </w:tc>
      </w:tr>
      <w:tr w:rsidR="00D13083" w:rsidTr="00685AFF">
        <w:tc>
          <w:tcPr>
            <w:tcW w:w="1516" w:type="pct"/>
          </w:tcPr>
          <w:p w:rsidR="00D13083" w:rsidRPr="00685AFF" w:rsidRDefault="00143847" w:rsidP="00143847">
            <w:pPr>
              <w:rPr>
                <w:sz w:val="22"/>
                <w:szCs w:val="22"/>
              </w:rPr>
            </w:pPr>
            <w:r w:rsidRPr="00685AFF">
              <w:rPr>
                <w:sz w:val="22"/>
                <w:szCs w:val="22"/>
              </w:rPr>
              <w:sym w:font="Symbol" w:char="F063"/>
            </w:r>
            <w:r w:rsidRPr="00685AFF">
              <w:rPr>
                <w:sz w:val="22"/>
                <w:szCs w:val="22"/>
                <w:vertAlign w:val="superscript"/>
              </w:rPr>
              <w:t>2</w:t>
            </w:r>
            <w:r w:rsidR="00D13083" w:rsidRPr="00685AFF">
              <w:rPr>
                <w:sz w:val="22"/>
                <w:szCs w:val="22"/>
              </w:rPr>
              <w:t xml:space="preserve"> and (</w:t>
            </w:r>
            <w:r w:rsidR="00D13083" w:rsidRPr="00685AFF">
              <w:rPr>
                <w:i/>
                <w:sz w:val="22"/>
                <w:szCs w:val="22"/>
              </w:rPr>
              <w:t>p</w:t>
            </w:r>
            <w:r w:rsidR="00D13083" w:rsidRPr="00685AFF">
              <w:rPr>
                <w:sz w:val="22"/>
                <w:szCs w:val="22"/>
              </w:rPr>
              <w:t xml:space="preserve"> value)</w:t>
            </w:r>
          </w:p>
        </w:tc>
        <w:tc>
          <w:tcPr>
            <w:tcW w:w="920" w:type="pct"/>
          </w:tcPr>
          <w:p w:rsidR="00D13083" w:rsidRPr="00685AFF" w:rsidRDefault="00D13083" w:rsidP="00143847">
            <w:pPr>
              <w:spacing w:after="0" w:line="240" w:lineRule="auto"/>
              <w:jc w:val="center"/>
              <w:rPr>
                <w:sz w:val="22"/>
                <w:szCs w:val="22"/>
              </w:rPr>
            </w:pPr>
            <w:r w:rsidRPr="00685AFF">
              <w:rPr>
                <w:sz w:val="22"/>
                <w:szCs w:val="22"/>
              </w:rPr>
              <w:t>14.6 (</w:t>
            </w:r>
            <w:r w:rsidRPr="00685AFF">
              <w:rPr>
                <w:i/>
                <w:sz w:val="22"/>
                <w:szCs w:val="22"/>
              </w:rPr>
              <w:t>p</w:t>
            </w:r>
            <w:r w:rsidRPr="00685AFF">
              <w:rPr>
                <w:sz w:val="22"/>
                <w:szCs w:val="22"/>
              </w:rPr>
              <w:t xml:space="preserve"> &lt;.01)</w:t>
            </w:r>
          </w:p>
        </w:tc>
        <w:tc>
          <w:tcPr>
            <w:tcW w:w="921" w:type="pct"/>
          </w:tcPr>
          <w:p w:rsidR="00D13083" w:rsidRPr="00685AFF" w:rsidRDefault="00D13083" w:rsidP="00143847">
            <w:pPr>
              <w:spacing w:after="0" w:line="240" w:lineRule="auto"/>
              <w:jc w:val="center"/>
              <w:rPr>
                <w:sz w:val="22"/>
                <w:szCs w:val="22"/>
              </w:rPr>
            </w:pPr>
            <w:r w:rsidRPr="00685AFF">
              <w:rPr>
                <w:sz w:val="22"/>
                <w:szCs w:val="22"/>
              </w:rPr>
              <w:t>4.3 (</w:t>
            </w:r>
            <w:r w:rsidRPr="00685AFF">
              <w:rPr>
                <w:i/>
                <w:sz w:val="22"/>
                <w:szCs w:val="22"/>
              </w:rPr>
              <w:t>p</w:t>
            </w:r>
            <w:r w:rsidRPr="00685AFF">
              <w:rPr>
                <w:sz w:val="22"/>
                <w:szCs w:val="22"/>
              </w:rPr>
              <w:t xml:space="preserve"> = 0.11)</w:t>
            </w:r>
          </w:p>
        </w:tc>
        <w:tc>
          <w:tcPr>
            <w:tcW w:w="843" w:type="pct"/>
          </w:tcPr>
          <w:p w:rsidR="00D13083" w:rsidRPr="00685AFF" w:rsidRDefault="00D13083" w:rsidP="00143847">
            <w:pPr>
              <w:spacing w:after="0" w:line="240" w:lineRule="auto"/>
              <w:jc w:val="center"/>
              <w:rPr>
                <w:sz w:val="22"/>
                <w:szCs w:val="22"/>
              </w:rPr>
            </w:pPr>
            <w:r w:rsidRPr="00685AFF">
              <w:rPr>
                <w:sz w:val="22"/>
                <w:szCs w:val="22"/>
              </w:rPr>
              <w:t>2.7 (</w:t>
            </w:r>
            <w:r w:rsidRPr="00685AFF">
              <w:rPr>
                <w:i/>
                <w:sz w:val="22"/>
                <w:szCs w:val="22"/>
              </w:rPr>
              <w:t>p</w:t>
            </w:r>
            <w:r w:rsidRPr="00685AFF">
              <w:rPr>
                <w:sz w:val="22"/>
                <w:szCs w:val="22"/>
              </w:rPr>
              <w:t xml:space="preserve"> = 0.25)</w:t>
            </w:r>
          </w:p>
        </w:tc>
        <w:tc>
          <w:tcPr>
            <w:tcW w:w="800" w:type="pct"/>
          </w:tcPr>
          <w:p w:rsidR="00D13083" w:rsidRPr="00685AFF" w:rsidRDefault="00D13083" w:rsidP="00143847">
            <w:pPr>
              <w:spacing w:after="0" w:line="240" w:lineRule="auto"/>
              <w:jc w:val="center"/>
              <w:rPr>
                <w:sz w:val="22"/>
                <w:szCs w:val="22"/>
              </w:rPr>
            </w:pPr>
            <w:r w:rsidRPr="00685AFF">
              <w:rPr>
                <w:sz w:val="22"/>
                <w:szCs w:val="22"/>
              </w:rPr>
              <w:t>2.0 (</w:t>
            </w:r>
            <w:r w:rsidRPr="00685AFF">
              <w:rPr>
                <w:i/>
                <w:sz w:val="22"/>
                <w:szCs w:val="22"/>
              </w:rPr>
              <w:t>p</w:t>
            </w:r>
            <w:r w:rsidRPr="00685AFF">
              <w:rPr>
                <w:sz w:val="22"/>
                <w:szCs w:val="22"/>
              </w:rPr>
              <w:t xml:space="preserve"> = 0.36)</w:t>
            </w:r>
          </w:p>
        </w:tc>
      </w:tr>
    </w:tbl>
    <w:p w:rsidR="00685AFF" w:rsidRDefault="00685AFF" w:rsidP="00FA516F">
      <w:pPr>
        <w:pStyle w:val="FAREnormaltext"/>
      </w:pPr>
    </w:p>
    <w:p w:rsidR="00FA516F" w:rsidRPr="00143847" w:rsidRDefault="00FA516F" w:rsidP="00FA516F">
      <w:pPr>
        <w:pStyle w:val="FAREnormaltext"/>
      </w:pPr>
      <w:r w:rsidRPr="00143847">
        <w:t xml:space="preserve">The overall weighted rate of abstinence from the baseline PDOC at follow-up was 33% (down slightly from the 38% observed in unweighted </w:t>
      </w:r>
      <w:r w:rsidR="000A2E35" w:rsidRPr="00143847">
        <w:t>analysis</w:t>
      </w:r>
      <w:r w:rsidRPr="00143847">
        <w:t>). The rate of this outcome differed significantly by PIT type</w:t>
      </w:r>
      <w:r w:rsidR="000A2E35" w:rsidRPr="00143847">
        <w:t>.</w:t>
      </w:r>
      <w:r w:rsidRPr="00143847">
        <w:t xml:space="preserve"> Those with long-term residential treatment as their PIT showed superior rates of abstinence to outpatients and those in acute withdrawal (57% vs. 33% and 30% respectively, p &lt; .05). The weighted rate for </w:t>
      </w:r>
      <w:r w:rsidR="006E2012" w:rsidRPr="00143847">
        <w:t xml:space="preserve">treatment </w:t>
      </w:r>
      <w:r w:rsidRPr="00143847">
        <w:t xml:space="preserve">success </w:t>
      </w:r>
      <w:r w:rsidR="006E2012" w:rsidRPr="00143847">
        <w:t>(abstinence or at least a 50% reduction in frequency of use of PDOC</w:t>
      </w:r>
      <w:r w:rsidR="00D27010" w:rsidRPr="00143847">
        <w:t xml:space="preserve">) </w:t>
      </w:r>
      <w:r w:rsidRPr="00143847">
        <w:t xml:space="preserve">was 50% and for abstinence from all DOCs was 28%. Differences between PIT types did not reach significance for these outcomes in weighted analyses. Assuming that all participants who withdrew or were lost to follow-up were treatment failures, weighted outcome rates would be 26% for PDOC abstinence and 40% for </w:t>
      </w:r>
      <w:r w:rsidR="00D27010" w:rsidRPr="00143847">
        <w:t xml:space="preserve">treatment </w:t>
      </w:r>
      <w:r w:rsidRPr="00143847">
        <w:t>success, and these rates did not differ significantly by PIT type. Chi square analyses comparing these outcomes by PDOC suggested that participants with opioids or meth</w:t>
      </w:r>
      <w:r w:rsidR="00E977AF">
        <w:t>/</w:t>
      </w:r>
      <w:r w:rsidRPr="00143847">
        <w:t xml:space="preserve">amphetamine as their PDOCs had consistently better outcomes than those with alcohol, cannabis, or other substances as their PDOC (see table </w:t>
      </w:r>
      <w:r w:rsidR="00D13083" w:rsidRPr="00143847">
        <w:t>3.1</w:t>
      </w:r>
      <w:r w:rsidR="00317CA2" w:rsidRPr="00143847">
        <w:t>9</w:t>
      </w:r>
      <w:r w:rsidR="00D13083" w:rsidRPr="00143847">
        <w:t xml:space="preserve"> </w:t>
      </w:r>
      <w:r w:rsidR="00D260C2" w:rsidRPr="00143847">
        <w:t>to</w:t>
      </w:r>
      <w:r w:rsidR="00D13083" w:rsidRPr="00143847">
        <w:t xml:space="preserve"> 3.</w:t>
      </w:r>
      <w:r w:rsidR="00D260C2" w:rsidRPr="00143847">
        <w:t>2</w:t>
      </w:r>
      <w:r w:rsidR="00317CA2" w:rsidRPr="00143847">
        <w:t>1</w:t>
      </w:r>
      <w:r w:rsidRPr="00143847">
        <w:t>).</w:t>
      </w:r>
    </w:p>
    <w:p w:rsidR="00D13083" w:rsidRDefault="00A27AF7" w:rsidP="00D13083">
      <w:pPr>
        <w:pStyle w:val="FAREtableheading"/>
        <w:rPr>
          <w:rFonts w:eastAsia="Times New Roman"/>
          <w:b w:val="0"/>
          <w:bCs/>
          <w:noProof/>
          <w:kern w:val="32"/>
          <w:sz w:val="36"/>
          <w:szCs w:val="36"/>
          <w:lang w:val="en-US"/>
        </w:rPr>
      </w:pPr>
      <w:bookmarkStart w:id="131" w:name="_Toc398105081"/>
      <w:proofErr w:type="gramStart"/>
      <w:r w:rsidRPr="00415291">
        <w:t xml:space="preserve">Table </w:t>
      </w:r>
      <w:r w:rsidR="00BE3D19">
        <w:fldChar w:fldCharType="begin"/>
      </w:r>
      <w:r w:rsidR="000311C5">
        <w:instrText xml:space="preserve"> STYLEREF 1 \s </w:instrText>
      </w:r>
      <w:r w:rsidR="00BE3D19">
        <w:fldChar w:fldCharType="separate"/>
      </w:r>
      <w:r w:rsidR="00E150CA">
        <w:rPr>
          <w:noProof/>
        </w:rPr>
        <w:t>3</w:t>
      </w:r>
      <w:r w:rsidR="00BE3D19">
        <w:rPr>
          <w:noProof/>
        </w:rPr>
        <w:fldChar w:fldCharType="end"/>
      </w:r>
      <w:r w:rsidRPr="00415291">
        <w:t>.</w:t>
      </w:r>
      <w:proofErr w:type="gramEnd"/>
      <w:r w:rsidR="00BE3D19" w:rsidRPr="00415291">
        <w:fldChar w:fldCharType="begin"/>
      </w:r>
      <w:r w:rsidRPr="00415291">
        <w:instrText xml:space="preserve"> SEQ Table \* ARABIC \s 1 </w:instrText>
      </w:r>
      <w:r w:rsidR="00BE3D19" w:rsidRPr="00415291">
        <w:fldChar w:fldCharType="separate"/>
      </w:r>
      <w:r w:rsidR="00E150CA">
        <w:rPr>
          <w:noProof/>
        </w:rPr>
        <w:t>19</w:t>
      </w:r>
      <w:r w:rsidR="00BE3D19" w:rsidRPr="00415291">
        <w:fldChar w:fldCharType="end"/>
      </w:r>
      <w:r w:rsidR="006244F5">
        <w:rPr>
          <w:lang w:val="en-AU" w:eastAsia="en-US"/>
        </w:rPr>
        <w:t xml:space="preserve"> </w:t>
      </w:r>
      <w:r w:rsidRPr="00542036">
        <w:rPr>
          <w:lang w:val="en-AU" w:eastAsia="en-US"/>
        </w:rPr>
        <w:t xml:space="preserve"> </w:t>
      </w:r>
      <w:r w:rsidR="00D13083">
        <w:rPr>
          <w:lang w:val="en-AU" w:eastAsia="en-US"/>
        </w:rPr>
        <w:t>Abstinence and Success rates by PDOC using weighted and unweighted data</w:t>
      </w:r>
      <w:bookmarkEnd w:id="131"/>
      <w:r w:rsidR="00D13083">
        <w:rPr>
          <w:lang w:val="en-AU" w:eastAsia="en-US"/>
        </w:rPr>
        <w:t xml:space="preserve"> </w:t>
      </w:r>
    </w:p>
    <w:tbl>
      <w:tblPr>
        <w:tblStyle w:val="TableGrid"/>
        <w:tblW w:w="0" w:type="auto"/>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Caption w:val="Table 3.19  Abstinence and Success rates by PDOC using weighted and unweighted data "/>
        <w:tblDescription w:val="Table 3.19  Abstinence and Success rates by PDOC using weighted and unweighted data "/>
      </w:tblPr>
      <w:tblGrid>
        <w:gridCol w:w="2040"/>
        <w:gridCol w:w="1805"/>
        <w:gridCol w:w="1806"/>
        <w:gridCol w:w="1786"/>
        <w:gridCol w:w="1805"/>
      </w:tblGrid>
      <w:tr w:rsidR="00D13083" w:rsidTr="00046CCA">
        <w:trPr>
          <w:trHeight w:hRule="exact" w:val="567"/>
          <w:tblHeader/>
        </w:trPr>
        <w:tc>
          <w:tcPr>
            <w:tcW w:w="1848" w:type="dxa"/>
            <w:tcBorders>
              <w:top w:val="single" w:sz="4" w:space="0" w:color="auto"/>
              <w:bottom w:val="single" w:sz="4" w:space="0" w:color="auto"/>
            </w:tcBorders>
          </w:tcPr>
          <w:p w:rsidR="00D13083" w:rsidRPr="00685AFF" w:rsidRDefault="00D13083" w:rsidP="00143847">
            <w:pPr>
              <w:spacing w:after="0" w:line="240" w:lineRule="auto"/>
              <w:rPr>
                <w:sz w:val="22"/>
                <w:szCs w:val="22"/>
              </w:rPr>
            </w:pPr>
            <w:r w:rsidRPr="00685AFF">
              <w:rPr>
                <w:sz w:val="22"/>
                <w:szCs w:val="22"/>
              </w:rPr>
              <w:t>PDOC</w:t>
            </w:r>
          </w:p>
        </w:tc>
        <w:tc>
          <w:tcPr>
            <w:tcW w:w="1848" w:type="dxa"/>
            <w:tcBorders>
              <w:top w:val="single" w:sz="4" w:space="0" w:color="auto"/>
              <w:bottom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Abstinence</w:t>
            </w:r>
          </w:p>
        </w:tc>
        <w:tc>
          <w:tcPr>
            <w:tcW w:w="1848" w:type="dxa"/>
            <w:tcBorders>
              <w:top w:val="single" w:sz="4" w:space="0" w:color="auto"/>
              <w:bottom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Abstinence (weighted)</w:t>
            </w:r>
          </w:p>
        </w:tc>
        <w:tc>
          <w:tcPr>
            <w:tcW w:w="1849" w:type="dxa"/>
            <w:tcBorders>
              <w:top w:val="single" w:sz="4" w:space="0" w:color="auto"/>
              <w:bottom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Success</w:t>
            </w:r>
          </w:p>
        </w:tc>
        <w:tc>
          <w:tcPr>
            <w:tcW w:w="1849" w:type="dxa"/>
            <w:tcBorders>
              <w:top w:val="single" w:sz="4" w:space="0" w:color="auto"/>
              <w:bottom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Success (weighted)</w:t>
            </w:r>
          </w:p>
        </w:tc>
      </w:tr>
      <w:tr w:rsidR="00D13083" w:rsidTr="00685AFF">
        <w:trPr>
          <w:trHeight w:hRule="exact" w:val="340"/>
        </w:trPr>
        <w:tc>
          <w:tcPr>
            <w:tcW w:w="1848" w:type="dxa"/>
            <w:tcBorders>
              <w:top w:val="single" w:sz="4" w:space="0" w:color="auto"/>
            </w:tcBorders>
          </w:tcPr>
          <w:p w:rsidR="00D13083" w:rsidRPr="00685AFF" w:rsidRDefault="00D13083" w:rsidP="00143847">
            <w:pPr>
              <w:spacing w:after="0" w:line="240" w:lineRule="auto"/>
              <w:rPr>
                <w:sz w:val="22"/>
                <w:szCs w:val="22"/>
              </w:rPr>
            </w:pPr>
            <w:r w:rsidRPr="00685AFF">
              <w:rPr>
                <w:sz w:val="22"/>
                <w:szCs w:val="22"/>
              </w:rPr>
              <w:t>Alcohol</w:t>
            </w:r>
          </w:p>
        </w:tc>
        <w:tc>
          <w:tcPr>
            <w:tcW w:w="1848" w:type="dxa"/>
            <w:tcBorders>
              <w:top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21.3</w:t>
            </w:r>
          </w:p>
        </w:tc>
        <w:tc>
          <w:tcPr>
            <w:tcW w:w="1848" w:type="dxa"/>
            <w:tcBorders>
              <w:top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19.7</w:t>
            </w:r>
          </w:p>
        </w:tc>
        <w:tc>
          <w:tcPr>
            <w:tcW w:w="1849" w:type="dxa"/>
            <w:tcBorders>
              <w:top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34.9</w:t>
            </w:r>
          </w:p>
        </w:tc>
        <w:tc>
          <w:tcPr>
            <w:tcW w:w="1849" w:type="dxa"/>
            <w:tcBorders>
              <w:top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34.3</w:t>
            </w:r>
          </w:p>
        </w:tc>
      </w:tr>
      <w:tr w:rsidR="00D13083" w:rsidTr="00685AFF">
        <w:trPr>
          <w:trHeight w:hRule="exact" w:val="340"/>
        </w:trPr>
        <w:tc>
          <w:tcPr>
            <w:tcW w:w="1848" w:type="dxa"/>
          </w:tcPr>
          <w:p w:rsidR="00D13083" w:rsidRPr="00685AFF" w:rsidRDefault="00D13083" w:rsidP="00143847">
            <w:pPr>
              <w:spacing w:after="0" w:line="240" w:lineRule="auto"/>
              <w:rPr>
                <w:sz w:val="22"/>
                <w:szCs w:val="22"/>
              </w:rPr>
            </w:pPr>
            <w:r w:rsidRPr="00685AFF">
              <w:rPr>
                <w:sz w:val="22"/>
                <w:szCs w:val="22"/>
              </w:rPr>
              <w:t>Cannabis</w:t>
            </w:r>
          </w:p>
        </w:tc>
        <w:tc>
          <w:tcPr>
            <w:tcW w:w="1848" w:type="dxa"/>
          </w:tcPr>
          <w:p w:rsidR="00D13083" w:rsidRPr="00685AFF" w:rsidRDefault="00D13083" w:rsidP="00143847">
            <w:pPr>
              <w:spacing w:after="0" w:line="240" w:lineRule="auto"/>
              <w:jc w:val="center"/>
              <w:rPr>
                <w:sz w:val="22"/>
                <w:szCs w:val="22"/>
              </w:rPr>
            </w:pPr>
            <w:r w:rsidRPr="00685AFF">
              <w:rPr>
                <w:sz w:val="22"/>
                <w:szCs w:val="22"/>
              </w:rPr>
              <w:t>23.4</w:t>
            </w:r>
          </w:p>
        </w:tc>
        <w:tc>
          <w:tcPr>
            <w:tcW w:w="1848" w:type="dxa"/>
          </w:tcPr>
          <w:p w:rsidR="00D13083" w:rsidRPr="00685AFF" w:rsidRDefault="00D13083" w:rsidP="00143847">
            <w:pPr>
              <w:spacing w:after="0" w:line="240" w:lineRule="auto"/>
              <w:jc w:val="center"/>
              <w:rPr>
                <w:sz w:val="22"/>
                <w:szCs w:val="22"/>
              </w:rPr>
            </w:pPr>
            <w:r w:rsidRPr="00685AFF">
              <w:rPr>
                <w:sz w:val="22"/>
                <w:szCs w:val="22"/>
              </w:rPr>
              <w:t>24.6</w:t>
            </w:r>
          </w:p>
        </w:tc>
        <w:tc>
          <w:tcPr>
            <w:tcW w:w="1849" w:type="dxa"/>
          </w:tcPr>
          <w:p w:rsidR="00D13083" w:rsidRPr="00685AFF" w:rsidRDefault="00D13083" w:rsidP="00143847">
            <w:pPr>
              <w:spacing w:after="0" w:line="240" w:lineRule="auto"/>
              <w:jc w:val="center"/>
              <w:rPr>
                <w:sz w:val="22"/>
                <w:szCs w:val="22"/>
              </w:rPr>
            </w:pPr>
            <w:r w:rsidRPr="00685AFF">
              <w:rPr>
                <w:sz w:val="22"/>
                <w:szCs w:val="22"/>
              </w:rPr>
              <w:t>38.1</w:t>
            </w:r>
          </w:p>
        </w:tc>
        <w:tc>
          <w:tcPr>
            <w:tcW w:w="1849" w:type="dxa"/>
          </w:tcPr>
          <w:p w:rsidR="00D13083" w:rsidRPr="00685AFF" w:rsidRDefault="00D13083" w:rsidP="00143847">
            <w:pPr>
              <w:spacing w:after="0" w:line="240" w:lineRule="auto"/>
              <w:jc w:val="center"/>
              <w:rPr>
                <w:sz w:val="22"/>
                <w:szCs w:val="22"/>
              </w:rPr>
            </w:pPr>
            <w:r w:rsidRPr="00685AFF">
              <w:rPr>
                <w:sz w:val="22"/>
                <w:szCs w:val="22"/>
              </w:rPr>
              <w:t>39.9</w:t>
            </w:r>
          </w:p>
        </w:tc>
      </w:tr>
      <w:tr w:rsidR="00D13083" w:rsidTr="00685AFF">
        <w:trPr>
          <w:trHeight w:hRule="exact" w:val="340"/>
        </w:trPr>
        <w:tc>
          <w:tcPr>
            <w:tcW w:w="1848" w:type="dxa"/>
          </w:tcPr>
          <w:p w:rsidR="00D13083" w:rsidRPr="00685AFF" w:rsidRDefault="007B2AEE" w:rsidP="00143847">
            <w:pPr>
              <w:spacing w:after="0" w:line="240" w:lineRule="auto"/>
              <w:rPr>
                <w:sz w:val="22"/>
                <w:szCs w:val="22"/>
              </w:rPr>
            </w:pPr>
            <w:r w:rsidRPr="00685AFF">
              <w:rPr>
                <w:sz w:val="22"/>
                <w:szCs w:val="22"/>
              </w:rPr>
              <w:t>Opioids</w:t>
            </w:r>
          </w:p>
        </w:tc>
        <w:tc>
          <w:tcPr>
            <w:tcW w:w="1848" w:type="dxa"/>
          </w:tcPr>
          <w:p w:rsidR="00D13083" w:rsidRPr="00685AFF" w:rsidRDefault="00D13083" w:rsidP="00143847">
            <w:pPr>
              <w:spacing w:after="0" w:line="240" w:lineRule="auto"/>
              <w:jc w:val="center"/>
              <w:rPr>
                <w:sz w:val="22"/>
                <w:szCs w:val="22"/>
              </w:rPr>
            </w:pPr>
            <w:r w:rsidRPr="00685AFF">
              <w:rPr>
                <w:sz w:val="22"/>
                <w:szCs w:val="22"/>
              </w:rPr>
              <w:t>34.5</w:t>
            </w:r>
          </w:p>
        </w:tc>
        <w:tc>
          <w:tcPr>
            <w:tcW w:w="1848" w:type="dxa"/>
          </w:tcPr>
          <w:p w:rsidR="00D13083" w:rsidRPr="00685AFF" w:rsidRDefault="00D13083" w:rsidP="00143847">
            <w:pPr>
              <w:spacing w:after="0" w:line="240" w:lineRule="auto"/>
              <w:jc w:val="center"/>
              <w:rPr>
                <w:sz w:val="22"/>
                <w:szCs w:val="22"/>
              </w:rPr>
            </w:pPr>
            <w:r w:rsidRPr="00685AFF">
              <w:rPr>
                <w:sz w:val="22"/>
                <w:szCs w:val="22"/>
              </w:rPr>
              <w:t>37.0</w:t>
            </w:r>
          </w:p>
        </w:tc>
        <w:tc>
          <w:tcPr>
            <w:tcW w:w="1849" w:type="dxa"/>
          </w:tcPr>
          <w:p w:rsidR="00D13083" w:rsidRPr="00685AFF" w:rsidRDefault="00D13083" w:rsidP="00143847">
            <w:pPr>
              <w:spacing w:after="0" w:line="240" w:lineRule="auto"/>
              <w:jc w:val="center"/>
              <w:rPr>
                <w:sz w:val="22"/>
                <w:szCs w:val="22"/>
              </w:rPr>
            </w:pPr>
            <w:r w:rsidRPr="00685AFF">
              <w:rPr>
                <w:sz w:val="22"/>
                <w:szCs w:val="22"/>
              </w:rPr>
              <w:t>43.2</w:t>
            </w:r>
          </w:p>
        </w:tc>
        <w:tc>
          <w:tcPr>
            <w:tcW w:w="1849" w:type="dxa"/>
          </w:tcPr>
          <w:p w:rsidR="00D13083" w:rsidRPr="00685AFF" w:rsidRDefault="00D13083" w:rsidP="00143847">
            <w:pPr>
              <w:spacing w:after="0" w:line="240" w:lineRule="auto"/>
              <w:jc w:val="center"/>
              <w:rPr>
                <w:sz w:val="22"/>
                <w:szCs w:val="22"/>
              </w:rPr>
            </w:pPr>
            <w:r w:rsidRPr="00685AFF">
              <w:rPr>
                <w:sz w:val="22"/>
                <w:szCs w:val="22"/>
              </w:rPr>
              <w:t>47.5</w:t>
            </w:r>
          </w:p>
        </w:tc>
      </w:tr>
      <w:tr w:rsidR="00D13083" w:rsidTr="00685AFF">
        <w:trPr>
          <w:trHeight w:hRule="exact" w:val="340"/>
        </w:trPr>
        <w:tc>
          <w:tcPr>
            <w:tcW w:w="1848" w:type="dxa"/>
          </w:tcPr>
          <w:p w:rsidR="00D13083" w:rsidRPr="00685AFF" w:rsidRDefault="00E977AF" w:rsidP="00E977AF">
            <w:pPr>
              <w:spacing w:after="0" w:line="240" w:lineRule="auto"/>
              <w:rPr>
                <w:sz w:val="22"/>
                <w:szCs w:val="22"/>
              </w:rPr>
            </w:pPr>
            <w:r w:rsidRPr="00685AFF">
              <w:rPr>
                <w:sz w:val="22"/>
                <w:szCs w:val="22"/>
              </w:rPr>
              <w:t>Meth/a</w:t>
            </w:r>
            <w:r w:rsidR="00D13083" w:rsidRPr="00685AFF">
              <w:rPr>
                <w:sz w:val="22"/>
                <w:szCs w:val="22"/>
              </w:rPr>
              <w:t>mphetamine</w:t>
            </w:r>
          </w:p>
        </w:tc>
        <w:tc>
          <w:tcPr>
            <w:tcW w:w="1848" w:type="dxa"/>
          </w:tcPr>
          <w:p w:rsidR="00D13083" w:rsidRPr="00685AFF" w:rsidRDefault="00D13083" w:rsidP="00143847">
            <w:pPr>
              <w:spacing w:after="0" w:line="240" w:lineRule="auto"/>
              <w:jc w:val="center"/>
              <w:rPr>
                <w:sz w:val="22"/>
                <w:szCs w:val="22"/>
              </w:rPr>
            </w:pPr>
            <w:r w:rsidRPr="00685AFF">
              <w:rPr>
                <w:sz w:val="22"/>
                <w:szCs w:val="22"/>
              </w:rPr>
              <w:t>37.8</w:t>
            </w:r>
          </w:p>
        </w:tc>
        <w:tc>
          <w:tcPr>
            <w:tcW w:w="1848" w:type="dxa"/>
          </w:tcPr>
          <w:p w:rsidR="00D13083" w:rsidRPr="00685AFF" w:rsidRDefault="00D13083" w:rsidP="00143847">
            <w:pPr>
              <w:spacing w:after="0" w:line="240" w:lineRule="auto"/>
              <w:jc w:val="center"/>
              <w:rPr>
                <w:sz w:val="22"/>
                <w:szCs w:val="22"/>
              </w:rPr>
            </w:pPr>
            <w:r w:rsidRPr="00685AFF">
              <w:rPr>
                <w:sz w:val="22"/>
                <w:szCs w:val="22"/>
              </w:rPr>
              <w:t>38.4</w:t>
            </w:r>
          </w:p>
        </w:tc>
        <w:tc>
          <w:tcPr>
            <w:tcW w:w="1849" w:type="dxa"/>
          </w:tcPr>
          <w:p w:rsidR="00D13083" w:rsidRPr="00685AFF" w:rsidRDefault="00D13083" w:rsidP="00143847">
            <w:pPr>
              <w:spacing w:after="0" w:line="240" w:lineRule="auto"/>
              <w:jc w:val="center"/>
              <w:rPr>
                <w:sz w:val="22"/>
                <w:szCs w:val="22"/>
              </w:rPr>
            </w:pPr>
            <w:r w:rsidRPr="00685AFF">
              <w:rPr>
                <w:sz w:val="22"/>
                <w:szCs w:val="22"/>
              </w:rPr>
              <w:t>45.2</w:t>
            </w:r>
          </w:p>
        </w:tc>
        <w:tc>
          <w:tcPr>
            <w:tcW w:w="1849" w:type="dxa"/>
          </w:tcPr>
          <w:p w:rsidR="00D13083" w:rsidRPr="00685AFF" w:rsidRDefault="00D13083" w:rsidP="00143847">
            <w:pPr>
              <w:spacing w:after="0" w:line="240" w:lineRule="auto"/>
              <w:jc w:val="center"/>
              <w:rPr>
                <w:sz w:val="22"/>
                <w:szCs w:val="22"/>
              </w:rPr>
            </w:pPr>
            <w:r w:rsidRPr="00685AFF">
              <w:rPr>
                <w:sz w:val="22"/>
                <w:szCs w:val="22"/>
              </w:rPr>
              <w:t>51.3</w:t>
            </w:r>
          </w:p>
        </w:tc>
      </w:tr>
      <w:tr w:rsidR="00D13083" w:rsidTr="00685AFF">
        <w:trPr>
          <w:trHeight w:hRule="exact" w:val="340"/>
        </w:trPr>
        <w:tc>
          <w:tcPr>
            <w:tcW w:w="1848" w:type="dxa"/>
          </w:tcPr>
          <w:p w:rsidR="00D13083" w:rsidRPr="00685AFF" w:rsidRDefault="00D13083" w:rsidP="00143847">
            <w:pPr>
              <w:spacing w:after="0" w:line="240" w:lineRule="auto"/>
              <w:rPr>
                <w:sz w:val="22"/>
                <w:szCs w:val="22"/>
              </w:rPr>
            </w:pPr>
            <w:r w:rsidRPr="00685AFF">
              <w:rPr>
                <w:sz w:val="22"/>
                <w:szCs w:val="22"/>
              </w:rPr>
              <w:t>Other</w:t>
            </w:r>
          </w:p>
        </w:tc>
        <w:tc>
          <w:tcPr>
            <w:tcW w:w="1848" w:type="dxa"/>
          </w:tcPr>
          <w:p w:rsidR="00D13083" w:rsidRPr="00685AFF" w:rsidRDefault="00D13083" w:rsidP="00143847">
            <w:pPr>
              <w:spacing w:after="0" w:line="240" w:lineRule="auto"/>
              <w:jc w:val="center"/>
              <w:rPr>
                <w:sz w:val="22"/>
                <w:szCs w:val="22"/>
              </w:rPr>
            </w:pPr>
            <w:r w:rsidRPr="00685AFF">
              <w:rPr>
                <w:sz w:val="22"/>
                <w:szCs w:val="22"/>
              </w:rPr>
              <w:t>25.0</w:t>
            </w:r>
          </w:p>
        </w:tc>
        <w:tc>
          <w:tcPr>
            <w:tcW w:w="1848" w:type="dxa"/>
          </w:tcPr>
          <w:p w:rsidR="00D13083" w:rsidRPr="00685AFF" w:rsidRDefault="00D13083" w:rsidP="00143847">
            <w:pPr>
              <w:spacing w:after="0" w:line="240" w:lineRule="auto"/>
              <w:jc w:val="center"/>
              <w:rPr>
                <w:sz w:val="22"/>
                <w:szCs w:val="22"/>
              </w:rPr>
            </w:pPr>
            <w:r w:rsidRPr="00685AFF">
              <w:rPr>
                <w:sz w:val="22"/>
                <w:szCs w:val="22"/>
              </w:rPr>
              <w:t>21.7</w:t>
            </w:r>
          </w:p>
        </w:tc>
        <w:tc>
          <w:tcPr>
            <w:tcW w:w="1849" w:type="dxa"/>
          </w:tcPr>
          <w:p w:rsidR="00D13083" w:rsidRPr="00685AFF" w:rsidRDefault="00D13083" w:rsidP="00143847">
            <w:pPr>
              <w:spacing w:after="0" w:line="240" w:lineRule="auto"/>
              <w:jc w:val="center"/>
              <w:rPr>
                <w:sz w:val="22"/>
                <w:szCs w:val="22"/>
              </w:rPr>
            </w:pPr>
            <w:r w:rsidRPr="00685AFF">
              <w:rPr>
                <w:sz w:val="22"/>
                <w:szCs w:val="22"/>
              </w:rPr>
              <w:t>27.3</w:t>
            </w:r>
          </w:p>
        </w:tc>
        <w:tc>
          <w:tcPr>
            <w:tcW w:w="1849" w:type="dxa"/>
          </w:tcPr>
          <w:p w:rsidR="00D13083" w:rsidRPr="00685AFF" w:rsidRDefault="00D13083" w:rsidP="00143847">
            <w:pPr>
              <w:spacing w:after="0" w:line="240" w:lineRule="auto"/>
              <w:jc w:val="center"/>
              <w:rPr>
                <w:sz w:val="22"/>
                <w:szCs w:val="22"/>
              </w:rPr>
            </w:pPr>
            <w:r w:rsidRPr="00685AFF">
              <w:rPr>
                <w:sz w:val="22"/>
                <w:szCs w:val="22"/>
              </w:rPr>
              <w:t>22.7</w:t>
            </w:r>
          </w:p>
        </w:tc>
      </w:tr>
      <w:tr w:rsidR="00D13083" w:rsidTr="00685AFF">
        <w:trPr>
          <w:trHeight w:hRule="exact" w:val="340"/>
        </w:trPr>
        <w:tc>
          <w:tcPr>
            <w:tcW w:w="1848" w:type="dxa"/>
          </w:tcPr>
          <w:p w:rsidR="00D13083" w:rsidRPr="00685AFF" w:rsidRDefault="00D13083" w:rsidP="00143847">
            <w:pPr>
              <w:spacing w:after="0" w:line="240" w:lineRule="auto"/>
              <w:rPr>
                <w:sz w:val="22"/>
                <w:szCs w:val="22"/>
              </w:rPr>
            </w:pPr>
            <w:r w:rsidRPr="00685AFF">
              <w:rPr>
                <w:sz w:val="22"/>
                <w:szCs w:val="22"/>
              </w:rPr>
              <w:t>Total</w:t>
            </w:r>
          </w:p>
        </w:tc>
        <w:tc>
          <w:tcPr>
            <w:tcW w:w="1848" w:type="dxa"/>
          </w:tcPr>
          <w:p w:rsidR="00D13083" w:rsidRPr="00685AFF" w:rsidRDefault="00D13083" w:rsidP="00143847">
            <w:pPr>
              <w:spacing w:after="0" w:line="240" w:lineRule="auto"/>
              <w:jc w:val="center"/>
              <w:rPr>
                <w:sz w:val="22"/>
                <w:szCs w:val="22"/>
              </w:rPr>
            </w:pPr>
            <w:r w:rsidRPr="00685AFF">
              <w:rPr>
                <w:sz w:val="22"/>
                <w:szCs w:val="22"/>
              </w:rPr>
              <w:t>27.3</w:t>
            </w:r>
          </w:p>
        </w:tc>
        <w:tc>
          <w:tcPr>
            <w:tcW w:w="1848" w:type="dxa"/>
          </w:tcPr>
          <w:p w:rsidR="00D13083" w:rsidRPr="00685AFF" w:rsidRDefault="00D13083" w:rsidP="00143847">
            <w:pPr>
              <w:spacing w:after="0" w:line="240" w:lineRule="auto"/>
              <w:jc w:val="center"/>
              <w:rPr>
                <w:sz w:val="22"/>
                <w:szCs w:val="22"/>
              </w:rPr>
            </w:pPr>
            <w:r w:rsidRPr="00685AFF">
              <w:rPr>
                <w:sz w:val="22"/>
                <w:szCs w:val="22"/>
              </w:rPr>
              <w:t>26.6</w:t>
            </w:r>
          </w:p>
        </w:tc>
        <w:tc>
          <w:tcPr>
            <w:tcW w:w="1849" w:type="dxa"/>
          </w:tcPr>
          <w:p w:rsidR="00D13083" w:rsidRPr="00685AFF" w:rsidRDefault="00D13083" w:rsidP="00143847">
            <w:pPr>
              <w:spacing w:after="0" w:line="240" w:lineRule="auto"/>
              <w:jc w:val="center"/>
              <w:rPr>
                <w:sz w:val="22"/>
                <w:szCs w:val="22"/>
              </w:rPr>
            </w:pPr>
            <w:r w:rsidRPr="00685AFF">
              <w:rPr>
                <w:sz w:val="22"/>
                <w:szCs w:val="22"/>
              </w:rPr>
              <w:t>38.4</w:t>
            </w:r>
          </w:p>
        </w:tc>
        <w:tc>
          <w:tcPr>
            <w:tcW w:w="1849" w:type="dxa"/>
          </w:tcPr>
          <w:p w:rsidR="00D13083" w:rsidRPr="00685AFF" w:rsidRDefault="00D13083" w:rsidP="00143847">
            <w:pPr>
              <w:spacing w:after="0" w:line="240" w:lineRule="auto"/>
              <w:jc w:val="center"/>
              <w:rPr>
                <w:sz w:val="22"/>
                <w:szCs w:val="22"/>
              </w:rPr>
            </w:pPr>
            <w:r w:rsidRPr="00685AFF">
              <w:rPr>
                <w:sz w:val="22"/>
                <w:szCs w:val="22"/>
              </w:rPr>
              <w:t>40.0</w:t>
            </w:r>
          </w:p>
        </w:tc>
      </w:tr>
      <w:tr w:rsidR="00D13083" w:rsidTr="00685AFF">
        <w:trPr>
          <w:trHeight w:hRule="exact" w:val="340"/>
        </w:trPr>
        <w:tc>
          <w:tcPr>
            <w:tcW w:w="1848" w:type="dxa"/>
          </w:tcPr>
          <w:p w:rsidR="00D13083" w:rsidRPr="00685AFF" w:rsidRDefault="006244F5" w:rsidP="006244F5">
            <w:pPr>
              <w:rPr>
                <w:sz w:val="22"/>
                <w:szCs w:val="22"/>
              </w:rPr>
            </w:pPr>
            <w:r w:rsidRPr="00685AFF">
              <w:rPr>
                <w:sz w:val="22"/>
                <w:szCs w:val="22"/>
              </w:rPr>
              <w:sym w:font="Symbol" w:char="F063"/>
            </w:r>
            <w:r w:rsidRPr="00685AFF">
              <w:rPr>
                <w:sz w:val="22"/>
                <w:szCs w:val="22"/>
                <w:vertAlign w:val="superscript"/>
              </w:rPr>
              <w:t>2</w:t>
            </w:r>
            <w:r w:rsidRPr="00685AFF">
              <w:rPr>
                <w:sz w:val="22"/>
                <w:szCs w:val="22"/>
              </w:rPr>
              <w:t xml:space="preserve"> a</w:t>
            </w:r>
            <w:r w:rsidR="00D13083" w:rsidRPr="00685AFF">
              <w:rPr>
                <w:sz w:val="22"/>
                <w:szCs w:val="22"/>
              </w:rPr>
              <w:t>nd (</w:t>
            </w:r>
            <w:r w:rsidR="00D13083" w:rsidRPr="00685AFF">
              <w:rPr>
                <w:i/>
                <w:sz w:val="22"/>
                <w:szCs w:val="22"/>
              </w:rPr>
              <w:t>p</w:t>
            </w:r>
            <w:r w:rsidR="00D13083" w:rsidRPr="00685AFF">
              <w:rPr>
                <w:sz w:val="22"/>
                <w:szCs w:val="22"/>
              </w:rPr>
              <w:t xml:space="preserve"> value)</w:t>
            </w:r>
          </w:p>
        </w:tc>
        <w:tc>
          <w:tcPr>
            <w:tcW w:w="1848" w:type="dxa"/>
          </w:tcPr>
          <w:p w:rsidR="00D13083" w:rsidRPr="00685AFF" w:rsidRDefault="00D13083" w:rsidP="00143847">
            <w:pPr>
              <w:spacing w:after="0" w:line="240" w:lineRule="auto"/>
              <w:jc w:val="center"/>
              <w:rPr>
                <w:sz w:val="22"/>
                <w:szCs w:val="22"/>
              </w:rPr>
            </w:pPr>
            <w:r w:rsidRPr="00685AFF">
              <w:rPr>
                <w:sz w:val="22"/>
                <w:szCs w:val="22"/>
              </w:rPr>
              <w:t>18.0 (</w:t>
            </w:r>
            <w:r w:rsidRPr="00685AFF">
              <w:rPr>
                <w:i/>
                <w:sz w:val="22"/>
                <w:szCs w:val="22"/>
              </w:rPr>
              <w:t>p</w:t>
            </w:r>
            <w:r w:rsidRPr="00685AFF">
              <w:rPr>
                <w:sz w:val="22"/>
                <w:szCs w:val="22"/>
              </w:rPr>
              <w:t xml:space="preserve"> &lt;.001)</w:t>
            </w:r>
          </w:p>
        </w:tc>
        <w:tc>
          <w:tcPr>
            <w:tcW w:w="1848" w:type="dxa"/>
          </w:tcPr>
          <w:p w:rsidR="00D13083" w:rsidRPr="00685AFF" w:rsidRDefault="00D13083" w:rsidP="00143847">
            <w:pPr>
              <w:spacing w:after="0" w:line="240" w:lineRule="auto"/>
              <w:jc w:val="center"/>
              <w:rPr>
                <w:sz w:val="22"/>
                <w:szCs w:val="22"/>
              </w:rPr>
            </w:pPr>
            <w:r w:rsidRPr="00685AFF">
              <w:rPr>
                <w:sz w:val="22"/>
                <w:szCs w:val="22"/>
              </w:rPr>
              <w:t>25.1 (</w:t>
            </w:r>
            <w:r w:rsidRPr="00685AFF">
              <w:rPr>
                <w:i/>
                <w:sz w:val="22"/>
                <w:szCs w:val="22"/>
              </w:rPr>
              <w:t>p</w:t>
            </w:r>
            <w:r w:rsidRPr="00685AFF">
              <w:rPr>
                <w:sz w:val="22"/>
                <w:szCs w:val="22"/>
              </w:rPr>
              <w:t xml:space="preserve"> &lt;.001)</w:t>
            </w:r>
          </w:p>
        </w:tc>
        <w:tc>
          <w:tcPr>
            <w:tcW w:w="1849" w:type="dxa"/>
          </w:tcPr>
          <w:p w:rsidR="00D13083" w:rsidRPr="00685AFF" w:rsidRDefault="00D13083" w:rsidP="00143847">
            <w:pPr>
              <w:spacing w:after="0" w:line="240" w:lineRule="auto"/>
              <w:jc w:val="center"/>
              <w:rPr>
                <w:sz w:val="22"/>
                <w:szCs w:val="22"/>
                <w:vertAlign w:val="subscript"/>
              </w:rPr>
            </w:pPr>
            <w:r w:rsidRPr="00685AFF">
              <w:rPr>
                <w:sz w:val="22"/>
                <w:szCs w:val="22"/>
              </w:rPr>
              <w:t>6.9 (</w:t>
            </w:r>
            <w:r w:rsidRPr="00685AFF">
              <w:rPr>
                <w:i/>
                <w:sz w:val="22"/>
                <w:szCs w:val="22"/>
              </w:rPr>
              <w:t>p</w:t>
            </w:r>
            <w:r w:rsidRPr="00685AFF">
              <w:rPr>
                <w:sz w:val="22"/>
                <w:szCs w:val="22"/>
              </w:rPr>
              <w:t xml:space="preserve"> = 0.14)</w:t>
            </w:r>
          </w:p>
        </w:tc>
        <w:tc>
          <w:tcPr>
            <w:tcW w:w="1849" w:type="dxa"/>
          </w:tcPr>
          <w:p w:rsidR="00D13083" w:rsidRPr="00685AFF" w:rsidRDefault="00D13083" w:rsidP="00143847">
            <w:pPr>
              <w:spacing w:after="0" w:line="240" w:lineRule="auto"/>
              <w:jc w:val="center"/>
              <w:rPr>
                <w:sz w:val="22"/>
                <w:szCs w:val="22"/>
              </w:rPr>
            </w:pPr>
            <w:r w:rsidRPr="00685AFF">
              <w:rPr>
                <w:sz w:val="22"/>
                <w:szCs w:val="22"/>
              </w:rPr>
              <w:t>16.0 (</w:t>
            </w:r>
            <w:r w:rsidRPr="00685AFF">
              <w:rPr>
                <w:i/>
                <w:sz w:val="22"/>
                <w:szCs w:val="22"/>
              </w:rPr>
              <w:t>p</w:t>
            </w:r>
            <w:r w:rsidRPr="00685AFF">
              <w:rPr>
                <w:sz w:val="22"/>
                <w:szCs w:val="22"/>
              </w:rPr>
              <w:t xml:space="preserve"> &lt;.01)</w:t>
            </w:r>
          </w:p>
        </w:tc>
      </w:tr>
    </w:tbl>
    <w:p w:rsidR="00D13083" w:rsidRDefault="00D13083" w:rsidP="00D13083">
      <w:pPr>
        <w:pStyle w:val="FAREtableheading"/>
      </w:pPr>
    </w:p>
    <w:p w:rsidR="00685AFF" w:rsidRDefault="00685AFF">
      <w:pPr>
        <w:spacing w:after="120" w:line="240" w:lineRule="auto"/>
        <w:ind w:left="1191" w:hanging="1134"/>
        <w:jc w:val="both"/>
        <w:rPr>
          <w:b/>
          <w:lang w:val="en-GB"/>
        </w:rPr>
      </w:pPr>
      <w:r>
        <w:rPr>
          <w:b/>
        </w:rPr>
        <w:br w:type="page"/>
      </w:r>
    </w:p>
    <w:p w:rsidR="00D13083" w:rsidRPr="00E41BCC" w:rsidRDefault="00A27AF7" w:rsidP="00E41BCC">
      <w:pPr>
        <w:pStyle w:val="FAREtableheading"/>
      </w:pPr>
      <w:bookmarkStart w:id="132" w:name="_Toc398105082"/>
      <w:proofErr w:type="gramStart"/>
      <w:r w:rsidRPr="00E41BCC">
        <w:lastRenderedPageBreak/>
        <w:t xml:space="preserve">Table </w:t>
      </w:r>
      <w:r w:rsidR="00BE3D19" w:rsidRPr="00E41BCC">
        <w:fldChar w:fldCharType="begin"/>
      </w:r>
      <w:r w:rsidRPr="00E41BCC">
        <w:instrText xml:space="preserve"> STYLEREF 1 \s </w:instrText>
      </w:r>
      <w:r w:rsidR="00BE3D19" w:rsidRPr="00E41BCC">
        <w:fldChar w:fldCharType="separate"/>
      </w:r>
      <w:r w:rsidR="00E150CA">
        <w:rPr>
          <w:noProof/>
        </w:rPr>
        <w:t>3</w:t>
      </w:r>
      <w:r w:rsidR="00BE3D19" w:rsidRPr="00E41BCC">
        <w:fldChar w:fldCharType="end"/>
      </w:r>
      <w:r w:rsidRPr="00E41BCC">
        <w:t>.</w:t>
      </w:r>
      <w:proofErr w:type="gramEnd"/>
      <w:r w:rsidR="00BE3D19" w:rsidRPr="00E41BCC">
        <w:fldChar w:fldCharType="begin"/>
      </w:r>
      <w:r w:rsidRPr="00E41BCC">
        <w:instrText xml:space="preserve"> SEQ Table \* ARABIC \s 1 </w:instrText>
      </w:r>
      <w:r w:rsidR="00BE3D19" w:rsidRPr="00E41BCC">
        <w:fldChar w:fldCharType="separate"/>
      </w:r>
      <w:r w:rsidR="00E150CA">
        <w:rPr>
          <w:noProof/>
        </w:rPr>
        <w:t>20</w:t>
      </w:r>
      <w:r w:rsidR="00BE3D19" w:rsidRPr="00E41BCC">
        <w:fldChar w:fldCharType="end"/>
      </w:r>
      <w:r w:rsidR="006244F5" w:rsidRPr="00E41BCC">
        <w:t xml:space="preserve">  </w:t>
      </w:r>
      <w:r w:rsidR="00D13083" w:rsidRPr="00E41BCC">
        <w:t>Key outcome by PIT using weighted data</w:t>
      </w:r>
      <w:bookmarkEnd w:id="132"/>
      <w:r w:rsidR="00D13083" w:rsidRPr="00E41BCC">
        <w:t xml:space="preserve"> </w:t>
      </w:r>
    </w:p>
    <w:tbl>
      <w:tblPr>
        <w:tblStyle w:val="TableGrid"/>
        <w:tblW w:w="5000" w:type="pct"/>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Caption w:val="Table 3.20  Key outcome by PIT using weighted data "/>
        <w:tblDescription w:val="Table 3.20  Key outcome by PIT using weighted data "/>
      </w:tblPr>
      <w:tblGrid>
        <w:gridCol w:w="3227"/>
        <w:gridCol w:w="1416"/>
        <w:gridCol w:w="1562"/>
        <w:gridCol w:w="1434"/>
        <w:gridCol w:w="1603"/>
      </w:tblGrid>
      <w:tr w:rsidR="00D13083" w:rsidTr="00046CCA">
        <w:trPr>
          <w:trHeight w:hRule="exact" w:val="916"/>
          <w:tblHeader/>
        </w:trPr>
        <w:tc>
          <w:tcPr>
            <w:tcW w:w="1746" w:type="pct"/>
            <w:tcBorders>
              <w:top w:val="single" w:sz="4" w:space="0" w:color="auto"/>
              <w:bottom w:val="single" w:sz="4" w:space="0" w:color="auto"/>
            </w:tcBorders>
          </w:tcPr>
          <w:p w:rsidR="00D13083" w:rsidRPr="00685AFF" w:rsidRDefault="00D13083" w:rsidP="00143847">
            <w:pPr>
              <w:spacing w:after="0" w:line="240" w:lineRule="auto"/>
              <w:rPr>
                <w:sz w:val="22"/>
                <w:szCs w:val="22"/>
              </w:rPr>
            </w:pPr>
            <w:r w:rsidRPr="00685AFF">
              <w:rPr>
                <w:sz w:val="22"/>
                <w:szCs w:val="22"/>
              </w:rPr>
              <w:t>Key Outcomes</w:t>
            </w:r>
          </w:p>
        </w:tc>
        <w:tc>
          <w:tcPr>
            <w:tcW w:w="766" w:type="pct"/>
            <w:tcBorders>
              <w:top w:val="single" w:sz="4" w:space="0" w:color="auto"/>
              <w:bottom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Outpatient</w:t>
            </w:r>
          </w:p>
          <w:p w:rsidR="00D13083" w:rsidRPr="00685AFF" w:rsidRDefault="00D13083" w:rsidP="00143847">
            <w:pPr>
              <w:spacing w:after="0" w:line="240" w:lineRule="auto"/>
              <w:jc w:val="center"/>
              <w:rPr>
                <w:sz w:val="22"/>
                <w:szCs w:val="22"/>
              </w:rPr>
            </w:pPr>
            <w:r w:rsidRPr="00685AFF">
              <w:rPr>
                <w:sz w:val="22"/>
                <w:szCs w:val="22"/>
              </w:rPr>
              <w:t>(%)</w:t>
            </w:r>
          </w:p>
        </w:tc>
        <w:tc>
          <w:tcPr>
            <w:tcW w:w="845" w:type="pct"/>
            <w:tcBorders>
              <w:top w:val="single" w:sz="4" w:space="0" w:color="auto"/>
              <w:bottom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Detoxification</w:t>
            </w:r>
          </w:p>
          <w:p w:rsidR="00D13083" w:rsidRPr="00685AFF" w:rsidRDefault="00D13083" w:rsidP="00143847">
            <w:pPr>
              <w:spacing w:after="0" w:line="240" w:lineRule="auto"/>
              <w:jc w:val="center"/>
              <w:rPr>
                <w:sz w:val="22"/>
                <w:szCs w:val="22"/>
              </w:rPr>
            </w:pPr>
            <w:r w:rsidRPr="00685AFF">
              <w:rPr>
                <w:sz w:val="22"/>
                <w:szCs w:val="22"/>
              </w:rPr>
              <w:t>(%)</w:t>
            </w:r>
          </w:p>
        </w:tc>
        <w:tc>
          <w:tcPr>
            <w:tcW w:w="776" w:type="pct"/>
            <w:tcBorders>
              <w:top w:val="single" w:sz="4" w:space="0" w:color="auto"/>
              <w:bottom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Residential rehabilitation</w:t>
            </w:r>
          </w:p>
          <w:p w:rsidR="00D13083" w:rsidRPr="00685AFF" w:rsidRDefault="00D13083" w:rsidP="00143847">
            <w:pPr>
              <w:spacing w:after="0" w:line="240" w:lineRule="auto"/>
              <w:jc w:val="center"/>
              <w:rPr>
                <w:sz w:val="22"/>
                <w:szCs w:val="22"/>
              </w:rPr>
            </w:pPr>
            <w:r w:rsidRPr="00685AFF">
              <w:rPr>
                <w:sz w:val="22"/>
                <w:szCs w:val="22"/>
              </w:rPr>
              <w:t>(%)</w:t>
            </w:r>
          </w:p>
        </w:tc>
        <w:tc>
          <w:tcPr>
            <w:tcW w:w="867" w:type="pct"/>
            <w:tcBorders>
              <w:top w:val="single" w:sz="4" w:space="0" w:color="auto"/>
              <w:bottom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Total</w:t>
            </w:r>
          </w:p>
        </w:tc>
      </w:tr>
      <w:tr w:rsidR="00D13083" w:rsidTr="000E5D11">
        <w:trPr>
          <w:trHeight w:hRule="exact" w:val="340"/>
        </w:trPr>
        <w:tc>
          <w:tcPr>
            <w:tcW w:w="1746" w:type="pct"/>
            <w:tcBorders>
              <w:top w:val="single" w:sz="4" w:space="0" w:color="auto"/>
            </w:tcBorders>
          </w:tcPr>
          <w:p w:rsidR="00D13083" w:rsidRPr="00685AFF" w:rsidRDefault="00D13083" w:rsidP="00143847">
            <w:pPr>
              <w:spacing w:after="0" w:line="240" w:lineRule="auto"/>
              <w:rPr>
                <w:sz w:val="22"/>
                <w:szCs w:val="22"/>
              </w:rPr>
            </w:pPr>
            <w:r w:rsidRPr="00685AFF">
              <w:rPr>
                <w:sz w:val="22"/>
                <w:szCs w:val="22"/>
              </w:rPr>
              <w:t>Abstinence from PDOC</w:t>
            </w:r>
          </w:p>
        </w:tc>
        <w:tc>
          <w:tcPr>
            <w:tcW w:w="766" w:type="pct"/>
            <w:tcBorders>
              <w:top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32.6</w:t>
            </w:r>
          </w:p>
        </w:tc>
        <w:tc>
          <w:tcPr>
            <w:tcW w:w="845" w:type="pct"/>
            <w:tcBorders>
              <w:top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30.4</w:t>
            </w:r>
          </w:p>
        </w:tc>
        <w:tc>
          <w:tcPr>
            <w:tcW w:w="776" w:type="pct"/>
            <w:tcBorders>
              <w:top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56.5</w:t>
            </w:r>
          </w:p>
        </w:tc>
        <w:tc>
          <w:tcPr>
            <w:tcW w:w="867" w:type="pct"/>
            <w:tcBorders>
              <w:top w:val="single" w:sz="4" w:space="0" w:color="auto"/>
            </w:tcBorders>
          </w:tcPr>
          <w:p w:rsidR="00D13083" w:rsidRPr="00685AFF" w:rsidRDefault="00D13083" w:rsidP="00143847">
            <w:pPr>
              <w:spacing w:after="0" w:line="240" w:lineRule="auto"/>
              <w:jc w:val="center"/>
              <w:rPr>
                <w:sz w:val="22"/>
                <w:szCs w:val="22"/>
              </w:rPr>
            </w:pPr>
            <w:r w:rsidRPr="00685AFF">
              <w:rPr>
                <w:sz w:val="22"/>
                <w:szCs w:val="22"/>
              </w:rPr>
              <w:t>33.1 (</w:t>
            </w:r>
            <w:r w:rsidRPr="00685AFF">
              <w:rPr>
                <w:i/>
                <w:sz w:val="22"/>
                <w:szCs w:val="22"/>
              </w:rPr>
              <w:t>p</w:t>
            </w:r>
            <w:r w:rsidRPr="00685AFF">
              <w:rPr>
                <w:sz w:val="22"/>
                <w:szCs w:val="22"/>
              </w:rPr>
              <w:t xml:space="preserve"> &lt; .05)</w:t>
            </w:r>
          </w:p>
        </w:tc>
      </w:tr>
      <w:tr w:rsidR="00D13083" w:rsidTr="000E5D11">
        <w:trPr>
          <w:trHeight w:hRule="exact" w:val="340"/>
        </w:trPr>
        <w:tc>
          <w:tcPr>
            <w:tcW w:w="1746" w:type="pct"/>
          </w:tcPr>
          <w:p w:rsidR="00D13083" w:rsidRPr="00685AFF" w:rsidRDefault="00D13083" w:rsidP="00143847">
            <w:pPr>
              <w:spacing w:after="0" w:line="240" w:lineRule="auto"/>
              <w:rPr>
                <w:sz w:val="22"/>
                <w:szCs w:val="22"/>
              </w:rPr>
            </w:pPr>
            <w:r w:rsidRPr="00685AFF">
              <w:rPr>
                <w:sz w:val="22"/>
                <w:szCs w:val="22"/>
              </w:rPr>
              <w:t>Success (PDOC)</w:t>
            </w:r>
          </w:p>
        </w:tc>
        <w:tc>
          <w:tcPr>
            <w:tcW w:w="766" w:type="pct"/>
          </w:tcPr>
          <w:p w:rsidR="00D13083" w:rsidRPr="00685AFF" w:rsidRDefault="00D13083" w:rsidP="00143847">
            <w:pPr>
              <w:spacing w:after="0" w:line="240" w:lineRule="auto"/>
              <w:jc w:val="center"/>
              <w:rPr>
                <w:sz w:val="22"/>
                <w:szCs w:val="22"/>
              </w:rPr>
            </w:pPr>
            <w:r w:rsidRPr="00685AFF">
              <w:rPr>
                <w:sz w:val="22"/>
                <w:szCs w:val="22"/>
              </w:rPr>
              <w:t>49.5</w:t>
            </w:r>
          </w:p>
        </w:tc>
        <w:tc>
          <w:tcPr>
            <w:tcW w:w="845" w:type="pct"/>
          </w:tcPr>
          <w:p w:rsidR="00D13083" w:rsidRPr="00685AFF" w:rsidRDefault="00D13083" w:rsidP="00143847">
            <w:pPr>
              <w:spacing w:after="0" w:line="240" w:lineRule="auto"/>
              <w:jc w:val="center"/>
              <w:rPr>
                <w:sz w:val="22"/>
                <w:szCs w:val="22"/>
              </w:rPr>
            </w:pPr>
            <w:r w:rsidRPr="00685AFF">
              <w:rPr>
                <w:sz w:val="22"/>
                <w:szCs w:val="22"/>
              </w:rPr>
              <w:t>50.4</w:t>
            </w:r>
          </w:p>
        </w:tc>
        <w:tc>
          <w:tcPr>
            <w:tcW w:w="776" w:type="pct"/>
          </w:tcPr>
          <w:p w:rsidR="00D13083" w:rsidRPr="00685AFF" w:rsidRDefault="00D13083" w:rsidP="00143847">
            <w:pPr>
              <w:spacing w:after="0" w:line="240" w:lineRule="auto"/>
              <w:jc w:val="center"/>
              <w:rPr>
                <w:sz w:val="22"/>
                <w:szCs w:val="22"/>
              </w:rPr>
            </w:pPr>
            <w:r w:rsidRPr="00685AFF">
              <w:rPr>
                <w:sz w:val="22"/>
                <w:szCs w:val="22"/>
              </w:rPr>
              <w:t>60.9</w:t>
            </w:r>
          </w:p>
        </w:tc>
        <w:tc>
          <w:tcPr>
            <w:tcW w:w="867" w:type="pct"/>
          </w:tcPr>
          <w:p w:rsidR="00D13083" w:rsidRPr="00685AFF" w:rsidRDefault="00D13083" w:rsidP="00143847">
            <w:pPr>
              <w:spacing w:after="0" w:line="240" w:lineRule="auto"/>
              <w:jc w:val="center"/>
              <w:rPr>
                <w:sz w:val="22"/>
                <w:szCs w:val="22"/>
              </w:rPr>
            </w:pPr>
            <w:r w:rsidRPr="00685AFF">
              <w:rPr>
                <w:sz w:val="22"/>
                <w:szCs w:val="22"/>
              </w:rPr>
              <w:t>50.2 (</w:t>
            </w:r>
            <w:r w:rsidRPr="00685AFF">
              <w:rPr>
                <w:i/>
                <w:sz w:val="22"/>
                <w:szCs w:val="22"/>
              </w:rPr>
              <w:t>p</w:t>
            </w:r>
            <w:r w:rsidRPr="00685AFF">
              <w:rPr>
                <w:sz w:val="22"/>
                <w:szCs w:val="22"/>
              </w:rPr>
              <w:t xml:space="preserve"> = .57)</w:t>
            </w:r>
          </w:p>
        </w:tc>
      </w:tr>
      <w:tr w:rsidR="00D13083" w:rsidTr="000E5D11">
        <w:trPr>
          <w:trHeight w:hRule="exact" w:val="340"/>
        </w:trPr>
        <w:tc>
          <w:tcPr>
            <w:tcW w:w="1746" w:type="pct"/>
          </w:tcPr>
          <w:p w:rsidR="00D13083" w:rsidRPr="00685AFF" w:rsidRDefault="00D13083" w:rsidP="00143847">
            <w:pPr>
              <w:spacing w:after="0" w:line="240" w:lineRule="auto"/>
              <w:rPr>
                <w:sz w:val="22"/>
                <w:szCs w:val="22"/>
              </w:rPr>
            </w:pPr>
            <w:r w:rsidRPr="00685AFF">
              <w:rPr>
                <w:sz w:val="22"/>
                <w:szCs w:val="22"/>
              </w:rPr>
              <w:t>Abstinent from all baseline DOCs</w:t>
            </w:r>
          </w:p>
        </w:tc>
        <w:tc>
          <w:tcPr>
            <w:tcW w:w="766" w:type="pct"/>
          </w:tcPr>
          <w:p w:rsidR="00D13083" w:rsidRPr="00685AFF" w:rsidRDefault="00D13083" w:rsidP="00143847">
            <w:pPr>
              <w:spacing w:after="0" w:line="240" w:lineRule="auto"/>
              <w:jc w:val="center"/>
              <w:rPr>
                <w:sz w:val="22"/>
                <w:szCs w:val="22"/>
              </w:rPr>
            </w:pPr>
            <w:r w:rsidRPr="00685AFF">
              <w:rPr>
                <w:sz w:val="22"/>
                <w:szCs w:val="22"/>
              </w:rPr>
              <w:t>27.8</w:t>
            </w:r>
          </w:p>
        </w:tc>
        <w:tc>
          <w:tcPr>
            <w:tcW w:w="845" w:type="pct"/>
          </w:tcPr>
          <w:p w:rsidR="00D13083" w:rsidRPr="00685AFF" w:rsidRDefault="00D13083" w:rsidP="00143847">
            <w:pPr>
              <w:spacing w:after="0" w:line="240" w:lineRule="auto"/>
              <w:jc w:val="center"/>
              <w:rPr>
                <w:sz w:val="22"/>
                <w:szCs w:val="22"/>
              </w:rPr>
            </w:pPr>
            <w:r w:rsidRPr="00685AFF">
              <w:rPr>
                <w:sz w:val="22"/>
                <w:szCs w:val="22"/>
              </w:rPr>
              <w:t>25.4</w:t>
            </w:r>
          </w:p>
        </w:tc>
        <w:tc>
          <w:tcPr>
            <w:tcW w:w="776" w:type="pct"/>
          </w:tcPr>
          <w:p w:rsidR="00D13083" w:rsidRPr="00685AFF" w:rsidRDefault="00D13083" w:rsidP="00143847">
            <w:pPr>
              <w:spacing w:after="0" w:line="240" w:lineRule="auto"/>
              <w:jc w:val="center"/>
              <w:rPr>
                <w:sz w:val="22"/>
                <w:szCs w:val="22"/>
              </w:rPr>
            </w:pPr>
            <w:r w:rsidRPr="00685AFF">
              <w:rPr>
                <w:sz w:val="22"/>
                <w:szCs w:val="22"/>
              </w:rPr>
              <w:t>43.5</w:t>
            </w:r>
          </w:p>
        </w:tc>
        <w:tc>
          <w:tcPr>
            <w:tcW w:w="867" w:type="pct"/>
          </w:tcPr>
          <w:p w:rsidR="00D13083" w:rsidRPr="00685AFF" w:rsidRDefault="00D13083" w:rsidP="00143847">
            <w:pPr>
              <w:spacing w:after="0" w:line="240" w:lineRule="auto"/>
              <w:jc w:val="center"/>
              <w:rPr>
                <w:sz w:val="22"/>
                <w:szCs w:val="22"/>
              </w:rPr>
            </w:pPr>
            <w:r w:rsidRPr="00685AFF">
              <w:rPr>
                <w:sz w:val="22"/>
                <w:szCs w:val="22"/>
              </w:rPr>
              <w:t>27.9 (</w:t>
            </w:r>
            <w:r w:rsidRPr="00685AFF">
              <w:rPr>
                <w:i/>
                <w:sz w:val="22"/>
                <w:szCs w:val="22"/>
              </w:rPr>
              <w:t>p</w:t>
            </w:r>
            <w:r w:rsidRPr="00685AFF">
              <w:rPr>
                <w:sz w:val="22"/>
                <w:szCs w:val="22"/>
              </w:rPr>
              <w:t xml:space="preserve"> = .20)</w:t>
            </w:r>
          </w:p>
        </w:tc>
      </w:tr>
      <w:tr w:rsidR="00D13083" w:rsidTr="000E5D11">
        <w:trPr>
          <w:trHeight w:hRule="exact" w:val="340"/>
        </w:trPr>
        <w:tc>
          <w:tcPr>
            <w:tcW w:w="1746" w:type="pct"/>
          </w:tcPr>
          <w:p w:rsidR="00D13083" w:rsidRPr="00685AFF" w:rsidRDefault="00D13083" w:rsidP="00143847">
            <w:pPr>
              <w:spacing w:after="0" w:line="240" w:lineRule="auto"/>
              <w:rPr>
                <w:sz w:val="22"/>
                <w:szCs w:val="22"/>
              </w:rPr>
            </w:pPr>
            <w:r w:rsidRPr="00685AFF">
              <w:rPr>
                <w:sz w:val="22"/>
                <w:szCs w:val="22"/>
              </w:rPr>
              <w:t>Abstinent from PDOC *</w:t>
            </w:r>
          </w:p>
        </w:tc>
        <w:tc>
          <w:tcPr>
            <w:tcW w:w="766" w:type="pct"/>
          </w:tcPr>
          <w:p w:rsidR="00D13083" w:rsidRPr="00685AFF" w:rsidRDefault="00D13083" w:rsidP="00143847">
            <w:pPr>
              <w:spacing w:after="0" w:line="240" w:lineRule="auto"/>
              <w:jc w:val="center"/>
              <w:rPr>
                <w:sz w:val="22"/>
                <w:szCs w:val="22"/>
              </w:rPr>
            </w:pPr>
            <w:r w:rsidRPr="00685AFF">
              <w:rPr>
                <w:sz w:val="22"/>
                <w:szCs w:val="22"/>
              </w:rPr>
              <w:t>27.4</w:t>
            </w:r>
          </w:p>
        </w:tc>
        <w:tc>
          <w:tcPr>
            <w:tcW w:w="845" w:type="pct"/>
          </w:tcPr>
          <w:p w:rsidR="00D13083" w:rsidRPr="00685AFF" w:rsidRDefault="00D13083" w:rsidP="00143847">
            <w:pPr>
              <w:spacing w:after="0" w:line="240" w:lineRule="auto"/>
              <w:jc w:val="center"/>
              <w:rPr>
                <w:sz w:val="22"/>
                <w:szCs w:val="22"/>
              </w:rPr>
            </w:pPr>
            <w:r w:rsidRPr="00685AFF">
              <w:rPr>
                <w:sz w:val="22"/>
                <w:szCs w:val="22"/>
              </w:rPr>
              <w:t>21.3</w:t>
            </w:r>
          </w:p>
        </w:tc>
        <w:tc>
          <w:tcPr>
            <w:tcW w:w="776" w:type="pct"/>
          </w:tcPr>
          <w:p w:rsidR="00D13083" w:rsidRPr="00685AFF" w:rsidRDefault="00D13083" w:rsidP="00143847">
            <w:pPr>
              <w:spacing w:after="0" w:line="240" w:lineRule="auto"/>
              <w:jc w:val="center"/>
              <w:rPr>
                <w:sz w:val="22"/>
                <w:szCs w:val="22"/>
              </w:rPr>
            </w:pPr>
            <w:r w:rsidRPr="00685AFF">
              <w:rPr>
                <w:sz w:val="22"/>
                <w:szCs w:val="22"/>
              </w:rPr>
              <w:t>36.1</w:t>
            </w:r>
          </w:p>
        </w:tc>
        <w:tc>
          <w:tcPr>
            <w:tcW w:w="867" w:type="pct"/>
          </w:tcPr>
          <w:p w:rsidR="00D13083" w:rsidRPr="00685AFF" w:rsidRDefault="00D13083" w:rsidP="00143847">
            <w:pPr>
              <w:spacing w:after="0" w:line="240" w:lineRule="auto"/>
              <w:jc w:val="center"/>
              <w:rPr>
                <w:sz w:val="22"/>
                <w:szCs w:val="22"/>
              </w:rPr>
            </w:pPr>
            <w:r w:rsidRPr="00685AFF">
              <w:rPr>
                <w:sz w:val="22"/>
                <w:szCs w:val="22"/>
              </w:rPr>
              <w:t>26.4 (</w:t>
            </w:r>
            <w:r w:rsidRPr="00685AFF">
              <w:rPr>
                <w:i/>
                <w:sz w:val="22"/>
                <w:szCs w:val="22"/>
              </w:rPr>
              <w:t>p</w:t>
            </w:r>
            <w:r w:rsidRPr="00685AFF">
              <w:rPr>
                <w:sz w:val="22"/>
                <w:szCs w:val="22"/>
              </w:rPr>
              <w:t xml:space="preserve"> = .11)</w:t>
            </w:r>
          </w:p>
        </w:tc>
      </w:tr>
      <w:tr w:rsidR="00D13083" w:rsidTr="000E5D11">
        <w:trPr>
          <w:trHeight w:hRule="exact" w:val="340"/>
        </w:trPr>
        <w:tc>
          <w:tcPr>
            <w:tcW w:w="1746" w:type="pct"/>
          </w:tcPr>
          <w:p w:rsidR="00D13083" w:rsidRPr="00685AFF" w:rsidRDefault="00D13083" w:rsidP="00143847">
            <w:pPr>
              <w:spacing w:after="0" w:line="240" w:lineRule="auto"/>
              <w:rPr>
                <w:sz w:val="22"/>
                <w:szCs w:val="22"/>
              </w:rPr>
            </w:pPr>
            <w:r w:rsidRPr="00685AFF">
              <w:rPr>
                <w:sz w:val="22"/>
                <w:szCs w:val="22"/>
              </w:rPr>
              <w:t>Success (PDOC) *</w:t>
            </w:r>
          </w:p>
        </w:tc>
        <w:tc>
          <w:tcPr>
            <w:tcW w:w="766" w:type="pct"/>
          </w:tcPr>
          <w:p w:rsidR="00D13083" w:rsidRPr="00685AFF" w:rsidRDefault="00D13083" w:rsidP="00143847">
            <w:pPr>
              <w:spacing w:after="0" w:line="240" w:lineRule="auto"/>
              <w:jc w:val="center"/>
              <w:rPr>
                <w:sz w:val="22"/>
                <w:szCs w:val="22"/>
              </w:rPr>
            </w:pPr>
            <w:r w:rsidRPr="00685AFF">
              <w:rPr>
                <w:sz w:val="22"/>
                <w:szCs w:val="22"/>
              </w:rPr>
              <w:t>41.3</w:t>
            </w:r>
          </w:p>
        </w:tc>
        <w:tc>
          <w:tcPr>
            <w:tcW w:w="845" w:type="pct"/>
          </w:tcPr>
          <w:p w:rsidR="00D13083" w:rsidRPr="00685AFF" w:rsidRDefault="00D13083" w:rsidP="00143847">
            <w:pPr>
              <w:spacing w:after="0" w:line="240" w:lineRule="auto"/>
              <w:jc w:val="center"/>
              <w:rPr>
                <w:sz w:val="22"/>
                <w:szCs w:val="22"/>
              </w:rPr>
            </w:pPr>
            <w:r w:rsidRPr="00685AFF">
              <w:rPr>
                <w:sz w:val="22"/>
                <w:szCs w:val="22"/>
              </w:rPr>
              <w:t>35.2</w:t>
            </w:r>
          </w:p>
        </w:tc>
        <w:tc>
          <w:tcPr>
            <w:tcW w:w="776" w:type="pct"/>
          </w:tcPr>
          <w:p w:rsidR="00D13083" w:rsidRPr="00685AFF" w:rsidRDefault="00D13083" w:rsidP="00143847">
            <w:pPr>
              <w:spacing w:after="0" w:line="240" w:lineRule="auto"/>
              <w:jc w:val="center"/>
              <w:rPr>
                <w:sz w:val="22"/>
                <w:szCs w:val="22"/>
              </w:rPr>
            </w:pPr>
            <w:r w:rsidRPr="00685AFF">
              <w:rPr>
                <w:sz w:val="22"/>
                <w:szCs w:val="22"/>
              </w:rPr>
              <w:t>40.0</w:t>
            </w:r>
          </w:p>
        </w:tc>
        <w:tc>
          <w:tcPr>
            <w:tcW w:w="867" w:type="pct"/>
          </w:tcPr>
          <w:p w:rsidR="00D13083" w:rsidRPr="00685AFF" w:rsidRDefault="00D13083" w:rsidP="00143847">
            <w:pPr>
              <w:spacing w:after="0" w:line="240" w:lineRule="auto"/>
              <w:jc w:val="center"/>
              <w:rPr>
                <w:sz w:val="22"/>
                <w:szCs w:val="22"/>
              </w:rPr>
            </w:pPr>
            <w:r w:rsidRPr="00685AFF">
              <w:rPr>
                <w:sz w:val="22"/>
                <w:szCs w:val="22"/>
              </w:rPr>
              <w:t>39.8 (</w:t>
            </w:r>
            <w:r w:rsidRPr="00685AFF">
              <w:rPr>
                <w:i/>
                <w:sz w:val="22"/>
                <w:szCs w:val="22"/>
              </w:rPr>
              <w:t>p</w:t>
            </w:r>
            <w:r w:rsidRPr="00685AFF">
              <w:rPr>
                <w:sz w:val="22"/>
                <w:szCs w:val="22"/>
              </w:rPr>
              <w:t xml:space="preserve"> = .63)</w:t>
            </w:r>
          </w:p>
        </w:tc>
      </w:tr>
    </w:tbl>
    <w:p w:rsidR="00D13083" w:rsidRPr="008E0FD3" w:rsidRDefault="00D13083" w:rsidP="00D13083">
      <w:pPr>
        <w:rPr>
          <w:sz w:val="18"/>
        </w:rPr>
      </w:pPr>
      <w:r w:rsidRPr="008E0FD3">
        <w:rPr>
          <w:sz w:val="18"/>
        </w:rPr>
        <w:t>*assuming non-abstinence in participants who had withdrawn or were and lost to follow-up</w:t>
      </w:r>
    </w:p>
    <w:p w:rsidR="00143847" w:rsidRPr="00495B2E" w:rsidRDefault="00143847" w:rsidP="00143847">
      <w:pPr>
        <w:pStyle w:val="FAREnormaltext"/>
      </w:pPr>
      <w:r w:rsidRPr="00495B2E">
        <w:t>We then repeated chi square analyses comparing participants with any residential rehabilitation either pre-PIT, as their PIT, or post PIT to participants with no residential rehabilitation during this two-year period. Engagement in rehabilitation improved rates of abstinence from the PDOC (47% in those with any rehabilitation vs. 29% in those with no rehabilitation, p &lt; .001) and from all DOCs (42% vs. 24%, p &lt; .001). The effect of having any rehabilitation on PDOC treatment success only approached statistical significance (57% vs. 48%, p = .07).</w:t>
      </w:r>
    </w:p>
    <w:p w:rsidR="00286749" w:rsidRPr="00E41BCC" w:rsidRDefault="00495B2E" w:rsidP="00E41BCC">
      <w:pPr>
        <w:pStyle w:val="FAREtableheading"/>
      </w:pPr>
      <w:bookmarkStart w:id="133" w:name="_Toc398105083"/>
      <w:proofErr w:type="gramStart"/>
      <w:r w:rsidRPr="00E41BCC">
        <w:t xml:space="preserve">Table </w:t>
      </w:r>
      <w:r w:rsidR="00BE3D19" w:rsidRPr="00E41BCC">
        <w:fldChar w:fldCharType="begin"/>
      </w:r>
      <w:r w:rsidRPr="00E41BCC">
        <w:instrText xml:space="preserve"> STYLEREF 1 \s </w:instrText>
      </w:r>
      <w:r w:rsidR="00BE3D19" w:rsidRPr="00E41BCC">
        <w:fldChar w:fldCharType="separate"/>
      </w:r>
      <w:r w:rsidR="00E150CA">
        <w:rPr>
          <w:noProof/>
        </w:rPr>
        <w:t>3</w:t>
      </w:r>
      <w:r w:rsidR="00BE3D19" w:rsidRPr="00E41BCC">
        <w:fldChar w:fldCharType="end"/>
      </w:r>
      <w:r w:rsidRPr="00E41BCC">
        <w:t>.</w:t>
      </w:r>
      <w:proofErr w:type="gramEnd"/>
      <w:r w:rsidR="00BE3D19" w:rsidRPr="00E41BCC">
        <w:fldChar w:fldCharType="begin"/>
      </w:r>
      <w:r w:rsidRPr="00E41BCC">
        <w:instrText xml:space="preserve"> SEQ Table \* ARABIC \s 1 </w:instrText>
      </w:r>
      <w:r w:rsidR="00BE3D19" w:rsidRPr="00E41BCC">
        <w:fldChar w:fldCharType="separate"/>
      </w:r>
      <w:r w:rsidR="00E150CA">
        <w:rPr>
          <w:noProof/>
        </w:rPr>
        <w:t>21</w:t>
      </w:r>
      <w:r w:rsidR="00BE3D19" w:rsidRPr="00E41BCC">
        <w:fldChar w:fldCharType="end"/>
      </w:r>
      <w:r w:rsidR="006244F5" w:rsidRPr="00E41BCC">
        <w:t xml:space="preserve">  </w:t>
      </w:r>
      <w:r w:rsidR="00286749" w:rsidRPr="00E41BCC">
        <w:t>Key outcome by PDOC using weighted data</w:t>
      </w:r>
      <w:bookmarkEnd w:id="133"/>
      <w:r w:rsidR="00286749" w:rsidRPr="00E41BCC">
        <w:t xml:space="preserve"> </w:t>
      </w:r>
    </w:p>
    <w:tbl>
      <w:tblPr>
        <w:tblStyle w:val="TableGrid"/>
        <w:tblW w:w="5043" w:type="pct"/>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Caption w:val="Table 3.21  Key outcome by PDOC using weighted data "/>
        <w:tblDescription w:val="Table 3.21  Key outcome by PDOC using weighted data "/>
      </w:tblPr>
      <w:tblGrid>
        <w:gridCol w:w="1798"/>
        <w:gridCol w:w="885"/>
        <w:gridCol w:w="1028"/>
        <w:gridCol w:w="979"/>
        <w:gridCol w:w="2116"/>
        <w:gridCol w:w="837"/>
        <w:gridCol w:w="837"/>
        <w:gridCol w:w="841"/>
      </w:tblGrid>
      <w:tr w:rsidR="000E5D11" w:rsidTr="00046CCA">
        <w:trPr>
          <w:trHeight w:hRule="exact" w:val="567"/>
          <w:tblHeader/>
        </w:trPr>
        <w:tc>
          <w:tcPr>
            <w:tcW w:w="964" w:type="pct"/>
            <w:tcBorders>
              <w:top w:val="single" w:sz="4" w:space="0" w:color="auto"/>
              <w:bottom w:val="single" w:sz="4" w:space="0" w:color="auto"/>
            </w:tcBorders>
          </w:tcPr>
          <w:p w:rsidR="00286749" w:rsidRPr="00685AFF" w:rsidRDefault="00286749" w:rsidP="007F54D5">
            <w:pPr>
              <w:rPr>
                <w:sz w:val="22"/>
                <w:szCs w:val="22"/>
              </w:rPr>
            </w:pPr>
          </w:p>
        </w:tc>
        <w:tc>
          <w:tcPr>
            <w:tcW w:w="475" w:type="pct"/>
            <w:tcBorders>
              <w:top w:val="single" w:sz="4" w:space="0" w:color="auto"/>
              <w:bottom w:val="single" w:sz="4" w:space="0" w:color="auto"/>
            </w:tcBorders>
          </w:tcPr>
          <w:p w:rsidR="00286749" w:rsidRPr="00685AFF" w:rsidRDefault="00286749" w:rsidP="00685AFF">
            <w:pPr>
              <w:spacing w:line="240" w:lineRule="auto"/>
              <w:jc w:val="center"/>
              <w:rPr>
                <w:sz w:val="22"/>
                <w:szCs w:val="22"/>
              </w:rPr>
            </w:pPr>
            <w:r w:rsidRPr="00685AFF">
              <w:rPr>
                <w:sz w:val="22"/>
                <w:szCs w:val="22"/>
              </w:rPr>
              <w:t>Alcohol</w:t>
            </w:r>
            <w:r w:rsidR="000E5D11" w:rsidRPr="00685AFF">
              <w:rPr>
                <w:sz w:val="22"/>
                <w:szCs w:val="22"/>
              </w:rPr>
              <w:t xml:space="preserve"> (%)</w:t>
            </w:r>
          </w:p>
        </w:tc>
        <w:tc>
          <w:tcPr>
            <w:tcW w:w="551" w:type="pct"/>
            <w:tcBorders>
              <w:top w:val="single" w:sz="4" w:space="0" w:color="auto"/>
              <w:bottom w:val="single" w:sz="4" w:space="0" w:color="auto"/>
            </w:tcBorders>
          </w:tcPr>
          <w:p w:rsidR="00286749" w:rsidRPr="00685AFF" w:rsidRDefault="00286749" w:rsidP="00685AFF">
            <w:pPr>
              <w:spacing w:line="240" w:lineRule="auto"/>
              <w:jc w:val="center"/>
              <w:rPr>
                <w:sz w:val="22"/>
                <w:szCs w:val="22"/>
              </w:rPr>
            </w:pPr>
            <w:r w:rsidRPr="00685AFF">
              <w:rPr>
                <w:sz w:val="22"/>
                <w:szCs w:val="22"/>
              </w:rPr>
              <w:t>Cannabis</w:t>
            </w:r>
            <w:r w:rsidR="000E5D11" w:rsidRPr="00685AFF">
              <w:rPr>
                <w:sz w:val="22"/>
                <w:szCs w:val="22"/>
              </w:rPr>
              <w:t xml:space="preserve"> (%)</w:t>
            </w:r>
          </w:p>
        </w:tc>
        <w:tc>
          <w:tcPr>
            <w:tcW w:w="525" w:type="pct"/>
            <w:tcBorders>
              <w:top w:val="single" w:sz="4" w:space="0" w:color="auto"/>
              <w:bottom w:val="single" w:sz="4" w:space="0" w:color="auto"/>
            </w:tcBorders>
          </w:tcPr>
          <w:p w:rsidR="00286749" w:rsidRPr="00685AFF" w:rsidRDefault="00286749" w:rsidP="00685AFF">
            <w:pPr>
              <w:spacing w:line="240" w:lineRule="auto"/>
              <w:jc w:val="center"/>
              <w:rPr>
                <w:sz w:val="22"/>
                <w:szCs w:val="22"/>
              </w:rPr>
            </w:pPr>
            <w:r w:rsidRPr="00685AFF">
              <w:rPr>
                <w:sz w:val="22"/>
                <w:szCs w:val="22"/>
              </w:rPr>
              <w:t>Opioids</w:t>
            </w:r>
            <w:r w:rsidR="000E5D11" w:rsidRPr="00685AFF">
              <w:rPr>
                <w:sz w:val="22"/>
                <w:szCs w:val="22"/>
              </w:rPr>
              <w:t xml:space="preserve"> (%)</w:t>
            </w:r>
          </w:p>
        </w:tc>
        <w:tc>
          <w:tcPr>
            <w:tcW w:w="1135" w:type="pct"/>
            <w:tcBorders>
              <w:top w:val="single" w:sz="4" w:space="0" w:color="auto"/>
              <w:bottom w:val="single" w:sz="4" w:space="0" w:color="auto"/>
            </w:tcBorders>
          </w:tcPr>
          <w:p w:rsidR="00286749" w:rsidRPr="00685AFF" w:rsidRDefault="00286749" w:rsidP="00685AFF">
            <w:pPr>
              <w:spacing w:line="240" w:lineRule="auto"/>
              <w:jc w:val="center"/>
              <w:rPr>
                <w:sz w:val="22"/>
                <w:szCs w:val="22"/>
              </w:rPr>
            </w:pPr>
            <w:r w:rsidRPr="00685AFF">
              <w:rPr>
                <w:sz w:val="22"/>
                <w:szCs w:val="22"/>
              </w:rPr>
              <w:t>Meth</w:t>
            </w:r>
            <w:r w:rsidR="000E5D11" w:rsidRPr="00685AFF">
              <w:rPr>
                <w:sz w:val="22"/>
                <w:szCs w:val="22"/>
              </w:rPr>
              <w:t>/</w:t>
            </w:r>
            <w:r w:rsidRPr="00685AFF">
              <w:rPr>
                <w:sz w:val="22"/>
                <w:szCs w:val="22"/>
              </w:rPr>
              <w:t>amphetamine</w:t>
            </w:r>
            <w:r w:rsidR="000E5D11" w:rsidRPr="00685AFF">
              <w:rPr>
                <w:sz w:val="22"/>
                <w:szCs w:val="22"/>
              </w:rPr>
              <w:t xml:space="preserve"> (%)</w:t>
            </w:r>
          </w:p>
        </w:tc>
        <w:tc>
          <w:tcPr>
            <w:tcW w:w="449" w:type="pct"/>
            <w:tcBorders>
              <w:top w:val="single" w:sz="4" w:space="0" w:color="auto"/>
              <w:bottom w:val="single" w:sz="4" w:space="0" w:color="auto"/>
            </w:tcBorders>
          </w:tcPr>
          <w:p w:rsidR="00286749" w:rsidRPr="00685AFF" w:rsidRDefault="00286749" w:rsidP="00685AFF">
            <w:pPr>
              <w:spacing w:line="240" w:lineRule="auto"/>
              <w:jc w:val="center"/>
              <w:rPr>
                <w:sz w:val="22"/>
                <w:szCs w:val="22"/>
              </w:rPr>
            </w:pPr>
            <w:r w:rsidRPr="00685AFF">
              <w:rPr>
                <w:sz w:val="22"/>
                <w:szCs w:val="22"/>
              </w:rPr>
              <w:t>Other</w:t>
            </w:r>
            <w:r w:rsidR="000E5D11" w:rsidRPr="00685AFF">
              <w:rPr>
                <w:sz w:val="22"/>
                <w:szCs w:val="22"/>
              </w:rPr>
              <w:t xml:space="preserve"> (%)</w:t>
            </w:r>
          </w:p>
        </w:tc>
        <w:tc>
          <w:tcPr>
            <w:tcW w:w="449" w:type="pct"/>
            <w:tcBorders>
              <w:top w:val="single" w:sz="4" w:space="0" w:color="auto"/>
              <w:bottom w:val="single" w:sz="4" w:space="0" w:color="auto"/>
            </w:tcBorders>
          </w:tcPr>
          <w:p w:rsidR="00286749" w:rsidRPr="00685AFF" w:rsidRDefault="00286749" w:rsidP="00685AFF">
            <w:pPr>
              <w:spacing w:line="240" w:lineRule="auto"/>
              <w:jc w:val="center"/>
              <w:rPr>
                <w:sz w:val="22"/>
                <w:szCs w:val="22"/>
              </w:rPr>
            </w:pPr>
            <w:r w:rsidRPr="00685AFF">
              <w:rPr>
                <w:sz w:val="22"/>
                <w:szCs w:val="22"/>
              </w:rPr>
              <w:t>Total</w:t>
            </w:r>
            <w:r w:rsidR="000E5D11" w:rsidRPr="00685AFF">
              <w:rPr>
                <w:sz w:val="22"/>
                <w:szCs w:val="22"/>
              </w:rPr>
              <w:t xml:space="preserve"> (%)</w:t>
            </w:r>
          </w:p>
        </w:tc>
        <w:tc>
          <w:tcPr>
            <w:tcW w:w="451" w:type="pct"/>
            <w:tcBorders>
              <w:top w:val="single" w:sz="4" w:space="0" w:color="auto"/>
              <w:bottom w:val="single" w:sz="4" w:space="0" w:color="auto"/>
            </w:tcBorders>
          </w:tcPr>
          <w:p w:rsidR="00286749" w:rsidRPr="00685AFF" w:rsidRDefault="00286749" w:rsidP="00685AFF">
            <w:pPr>
              <w:spacing w:line="240" w:lineRule="auto"/>
              <w:jc w:val="center"/>
              <w:rPr>
                <w:sz w:val="22"/>
                <w:szCs w:val="22"/>
              </w:rPr>
            </w:pPr>
            <w:r w:rsidRPr="00685AFF">
              <w:rPr>
                <w:i/>
                <w:sz w:val="22"/>
                <w:szCs w:val="22"/>
              </w:rPr>
              <w:t>p</w:t>
            </w:r>
          </w:p>
        </w:tc>
      </w:tr>
      <w:tr w:rsidR="000E5D11" w:rsidTr="00685AFF">
        <w:trPr>
          <w:trHeight w:hRule="exact" w:val="567"/>
        </w:trPr>
        <w:tc>
          <w:tcPr>
            <w:tcW w:w="964" w:type="pct"/>
            <w:tcBorders>
              <w:top w:val="single" w:sz="4" w:space="0" w:color="auto"/>
            </w:tcBorders>
          </w:tcPr>
          <w:p w:rsidR="00286749" w:rsidRPr="00685AFF" w:rsidRDefault="00286749" w:rsidP="00685AFF">
            <w:pPr>
              <w:spacing w:line="240" w:lineRule="auto"/>
              <w:rPr>
                <w:sz w:val="22"/>
                <w:szCs w:val="22"/>
              </w:rPr>
            </w:pPr>
            <w:r w:rsidRPr="00685AFF">
              <w:rPr>
                <w:sz w:val="22"/>
                <w:szCs w:val="22"/>
              </w:rPr>
              <w:t>Abstinence from PDOC</w:t>
            </w:r>
          </w:p>
        </w:tc>
        <w:tc>
          <w:tcPr>
            <w:tcW w:w="475" w:type="pct"/>
            <w:tcBorders>
              <w:top w:val="single" w:sz="4" w:space="0" w:color="auto"/>
            </w:tcBorders>
          </w:tcPr>
          <w:p w:rsidR="00286749" w:rsidRPr="00685AFF" w:rsidRDefault="00286749" w:rsidP="007F54D5">
            <w:pPr>
              <w:jc w:val="center"/>
              <w:rPr>
                <w:sz w:val="22"/>
                <w:szCs w:val="22"/>
              </w:rPr>
            </w:pPr>
            <w:r w:rsidRPr="00685AFF">
              <w:rPr>
                <w:sz w:val="22"/>
                <w:szCs w:val="22"/>
              </w:rPr>
              <w:t>24.3</w:t>
            </w:r>
          </w:p>
        </w:tc>
        <w:tc>
          <w:tcPr>
            <w:tcW w:w="551" w:type="pct"/>
            <w:tcBorders>
              <w:top w:val="single" w:sz="4" w:space="0" w:color="auto"/>
            </w:tcBorders>
          </w:tcPr>
          <w:p w:rsidR="00286749" w:rsidRPr="00685AFF" w:rsidRDefault="00286749" w:rsidP="007F54D5">
            <w:pPr>
              <w:jc w:val="center"/>
              <w:rPr>
                <w:sz w:val="22"/>
                <w:szCs w:val="22"/>
              </w:rPr>
            </w:pPr>
            <w:r w:rsidRPr="00685AFF">
              <w:rPr>
                <w:sz w:val="22"/>
                <w:szCs w:val="22"/>
              </w:rPr>
              <w:t>29.3</w:t>
            </w:r>
          </w:p>
        </w:tc>
        <w:tc>
          <w:tcPr>
            <w:tcW w:w="525" w:type="pct"/>
            <w:tcBorders>
              <w:top w:val="single" w:sz="4" w:space="0" w:color="auto"/>
            </w:tcBorders>
          </w:tcPr>
          <w:p w:rsidR="00286749" w:rsidRPr="00685AFF" w:rsidRDefault="00286749" w:rsidP="007F54D5">
            <w:pPr>
              <w:jc w:val="center"/>
              <w:rPr>
                <w:sz w:val="22"/>
                <w:szCs w:val="22"/>
              </w:rPr>
            </w:pPr>
            <w:r w:rsidRPr="00685AFF">
              <w:rPr>
                <w:sz w:val="22"/>
                <w:szCs w:val="22"/>
              </w:rPr>
              <w:t>47.47</w:t>
            </w:r>
          </w:p>
        </w:tc>
        <w:tc>
          <w:tcPr>
            <w:tcW w:w="1135" w:type="pct"/>
            <w:tcBorders>
              <w:top w:val="single" w:sz="4" w:space="0" w:color="auto"/>
            </w:tcBorders>
          </w:tcPr>
          <w:p w:rsidR="00286749" w:rsidRPr="00685AFF" w:rsidRDefault="00286749" w:rsidP="007F54D5">
            <w:pPr>
              <w:jc w:val="center"/>
              <w:rPr>
                <w:sz w:val="22"/>
                <w:szCs w:val="22"/>
              </w:rPr>
            </w:pPr>
            <w:r w:rsidRPr="00685AFF">
              <w:rPr>
                <w:sz w:val="22"/>
                <w:szCs w:val="22"/>
              </w:rPr>
              <w:t>49.48</w:t>
            </w:r>
          </w:p>
        </w:tc>
        <w:tc>
          <w:tcPr>
            <w:tcW w:w="449" w:type="pct"/>
            <w:tcBorders>
              <w:top w:val="single" w:sz="4" w:space="0" w:color="auto"/>
            </w:tcBorders>
          </w:tcPr>
          <w:p w:rsidR="00286749" w:rsidRPr="00685AFF" w:rsidRDefault="00286749" w:rsidP="007F54D5">
            <w:pPr>
              <w:jc w:val="center"/>
              <w:rPr>
                <w:sz w:val="22"/>
                <w:szCs w:val="22"/>
              </w:rPr>
            </w:pPr>
            <w:r w:rsidRPr="00685AFF">
              <w:rPr>
                <w:sz w:val="22"/>
                <w:szCs w:val="22"/>
              </w:rPr>
              <w:t>31.3</w:t>
            </w:r>
          </w:p>
        </w:tc>
        <w:tc>
          <w:tcPr>
            <w:tcW w:w="449" w:type="pct"/>
            <w:tcBorders>
              <w:top w:val="single" w:sz="4" w:space="0" w:color="auto"/>
            </w:tcBorders>
          </w:tcPr>
          <w:p w:rsidR="00286749" w:rsidRPr="00685AFF" w:rsidRDefault="00286749" w:rsidP="007F54D5">
            <w:pPr>
              <w:jc w:val="center"/>
              <w:rPr>
                <w:sz w:val="22"/>
                <w:szCs w:val="22"/>
              </w:rPr>
            </w:pPr>
            <w:r w:rsidRPr="00685AFF">
              <w:rPr>
                <w:sz w:val="22"/>
                <w:szCs w:val="22"/>
              </w:rPr>
              <w:t xml:space="preserve">33.2 </w:t>
            </w:r>
          </w:p>
        </w:tc>
        <w:tc>
          <w:tcPr>
            <w:tcW w:w="451" w:type="pct"/>
            <w:tcBorders>
              <w:top w:val="single" w:sz="4" w:space="0" w:color="auto"/>
            </w:tcBorders>
          </w:tcPr>
          <w:p w:rsidR="00286749" w:rsidRPr="00685AFF" w:rsidRDefault="00286749" w:rsidP="007F54D5">
            <w:pPr>
              <w:jc w:val="center"/>
              <w:rPr>
                <w:sz w:val="22"/>
                <w:szCs w:val="22"/>
              </w:rPr>
            </w:pPr>
            <w:r w:rsidRPr="00685AFF">
              <w:rPr>
                <w:sz w:val="22"/>
                <w:szCs w:val="22"/>
              </w:rPr>
              <w:t>&lt; .001</w:t>
            </w:r>
          </w:p>
        </w:tc>
      </w:tr>
      <w:tr w:rsidR="000E5D11" w:rsidTr="00B11DEE">
        <w:trPr>
          <w:trHeight w:hRule="exact" w:val="340"/>
        </w:trPr>
        <w:tc>
          <w:tcPr>
            <w:tcW w:w="964" w:type="pct"/>
          </w:tcPr>
          <w:p w:rsidR="00286749" w:rsidRPr="00685AFF" w:rsidRDefault="00286749" w:rsidP="00685AFF">
            <w:pPr>
              <w:spacing w:line="240" w:lineRule="auto"/>
              <w:rPr>
                <w:sz w:val="22"/>
                <w:szCs w:val="22"/>
              </w:rPr>
            </w:pPr>
            <w:r w:rsidRPr="00685AFF">
              <w:rPr>
                <w:sz w:val="22"/>
                <w:szCs w:val="22"/>
              </w:rPr>
              <w:t>PDOC success</w:t>
            </w:r>
          </w:p>
        </w:tc>
        <w:tc>
          <w:tcPr>
            <w:tcW w:w="475" w:type="pct"/>
          </w:tcPr>
          <w:p w:rsidR="00286749" w:rsidRPr="00685AFF" w:rsidRDefault="00286749" w:rsidP="007F54D5">
            <w:pPr>
              <w:jc w:val="center"/>
              <w:rPr>
                <w:sz w:val="22"/>
                <w:szCs w:val="22"/>
              </w:rPr>
            </w:pPr>
            <w:r w:rsidRPr="00685AFF">
              <w:rPr>
                <w:sz w:val="22"/>
                <w:szCs w:val="22"/>
              </w:rPr>
              <w:t>43.0</w:t>
            </w:r>
          </w:p>
        </w:tc>
        <w:tc>
          <w:tcPr>
            <w:tcW w:w="551" w:type="pct"/>
          </w:tcPr>
          <w:p w:rsidR="00286749" w:rsidRPr="00685AFF" w:rsidRDefault="00286749" w:rsidP="007F54D5">
            <w:pPr>
              <w:jc w:val="center"/>
              <w:rPr>
                <w:sz w:val="22"/>
                <w:szCs w:val="22"/>
              </w:rPr>
            </w:pPr>
            <w:r w:rsidRPr="00685AFF">
              <w:rPr>
                <w:sz w:val="22"/>
                <w:szCs w:val="22"/>
              </w:rPr>
              <w:t>47.4</w:t>
            </w:r>
          </w:p>
        </w:tc>
        <w:tc>
          <w:tcPr>
            <w:tcW w:w="525" w:type="pct"/>
          </w:tcPr>
          <w:p w:rsidR="00286749" w:rsidRPr="00685AFF" w:rsidRDefault="00286749" w:rsidP="007F54D5">
            <w:pPr>
              <w:jc w:val="center"/>
              <w:rPr>
                <w:sz w:val="22"/>
                <w:szCs w:val="22"/>
              </w:rPr>
            </w:pPr>
            <w:r w:rsidRPr="00685AFF">
              <w:rPr>
                <w:sz w:val="22"/>
                <w:szCs w:val="22"/>
              </w:rPr>
              <w:t>62.0</w:t>
            </w:r>
          </w:p>
        </w:tc>
        <w:tc>
          <w:tcPr>
            <w:tcW w:w="1135" w:type="pct"/>
          </w:tcPr>
          <w:p w:rsidR="00286749" w:rsidRPr="00685AFF" w:rsidRDefault="00286749" w:rsidP="007F54D5">
            <w:pPr>
              <w:jc w:val="center"/>
              <w:rPr>
                <w:sz w:val="22"/>
                <w:szCs w:val="22"/>
              </w:rPr>
            </w:pPr>
            <w:r w:rsidRPr="00685AFF">
              <w:rPr>
                <w:sz w:val="22"/>
                <w:szCs w:val="22"/>
              </w:rPr>
              <w:t>67.0</w:t>
            </w:r>
          </w:p>
        </w:tc>
        <w:tc>
          <w:tcPr>
            <w:tcW w:w="449" w:type="pct"/>
          </w:tcPr>
          <w:p w:rsidR="00286749" w:rsidRPr="00685AFF" w:rsidRDefault="00286749" w:rsidP="007F54D5">
            <w:pPr>
              <w:jc w:val="center"/>
              <w:rPr>
                <w:sz w:val="22"/>
                <w:szCs w:val="22"/>
              </w:rPr>
            </w:pPr>
            <w:r w:rsidRPr="00685AFF">
              <w:rPr>
                <w:sz w:val="22"/>
                <w:szCs w:val="22"/>
              </w:rPr>
              <w:t>33.3</w:t>
            </w:r>
          </w:p>
        </w:tc>
        <w:tc>
          <w:tcPr>
            <w:tcW w:w="449" w:type="pct"/>
          </w:tcPr>
          <w:p w:rsidR="00286749" w:rsidRPr="00685AFF" w:rsidRDefault="00286749" w:rsidP="007F54D5">
            <w:pPr>
              <w:jc w:val="center"/>
              <w:rPr>
                <w:sz w:val="22"/>
                <w:szCs w:val="22"/>
              </w:rPr>
            </w:pPr>
            <w:r w:rsidRPr="00685AFF">
              <w:rPr>
                <w:sz w:val="22"/>
                <w:szCs w:val="22"/>
              </w:rPr>
              <w:t xml:space="preserve">50.3 </w:t>
            </w:r>
          </w:p>
        </w:tc>
        <w:tc>
          <w:tcPr>
            <w:tcW w:w="451" w:type="pct"/>
          </w:tcPr>
          <w:p w:rsidR="00286749" w:rsidRPr="00685AFF" w:rsidRDefault="00286749" w:rsidP="007F54D5">
            <w:pPr>
              <w:jc w:val="center"/>
              <w:rPr>
                <w:sz w:val="22"/>
                <w:szCs w:val="22"/>
              </w:rPr>
            </w:pPr>
            <w:r w:rsidRPr="00685AFF">
              <w:rPr>
                <w:sz w:val="22"/>
                <w:szCs w:val="22"/>
              </w:rPr>
              <w:t>&lt; .001</w:t>
            </w:r>
          </w:p>
        </w:tc>
      </w:tr>
      <w:tr w:rsidR="000E5D11" w:rsidTr="00685AFF">
        <w:trPr>
          <w:trHeight w:hRule="exact" w:val="567"/>
        </w:trPr>
        <w:tc>
          <w:tcPr>
            <w:tcW w:w="964" w:type="pct"/>
          </w:tcPr>
          <w:p w:rsidR="00286749" w:rsidRPr="00685AFF" w:rsidRDefault="00286749" w:rsidP="00685AFF">
            <w:pPr>
              <w:spacing w:line="240" w:lineRule="auto"/>
              <w:rPr>
                <w:sz w:val="22"/>
                <w:szCs w:val="22"/>
              </w:rPr>
            </w:pPr>
            <w:r w:rsidRPr="00685AFF">
              <w:rPr>
                <w:sz w:val="22"/>
                <w:szCs w:val="22"/>
              </w:rPr>
              <w:t>Abstinent all baseline DOCs</w:t>
            </w:r>
          </w:p>
        </w:tc>
        <w:tc>
          <w:tcPr>
            <w:tcW w:w="475" w:type="pct"/>
          </w:tcPr>
          <w:p w:rsidR="00286749" w:rsidRPr="00685AFF" w:rsidRDefault="00286749" w:rsidP="007F54D5">
            <w:pPr>
              <w:jc w:val="center"/>
              <w:rPr>
                <w:sz w:val="22"/>
                <w:szCs w:val="22"/>
              </w:rPr>
            </w:pPr>
            <w:r w:rsidRPr="00685AFF">
              <w:rPr>
                <w:sz w:val="22"/>
                <w:szCs w:val="22"/>
              </w:rPr>
              <w:t>22.9</w:t>
            </w:r>
          </w:p>
        </w:tc>
        <w:tc>
          <w:tcPr>
            <w:tcW w:w="551" w:type="pct"/>
          </w:tcPr>
          <w:p w:rsidR="00286749" w:rsidRPr="00685AFF" w:rsidRDefault="00286749" w:rsidP="007F54D5">
            <w:pPr>
              <w:jc w:val="center"/>
              <w:rPr>
                <w:sz w:val="22"/>
                <w:szCs w:val="22"/>
              </w:rPr>
            </w:pPr>
            <w:r w:rsidRPr="00685AFF">
              <w:rPr>
                <w:sz w:val="22"/>
                <w:szCs w:val="22"/>
              </w:rPr>
              <w:t>23.1</w:t>
            </w:r>
          </w:p>
        </w:tc>
        <w:tc>
          <w:tcPr>
            <w:tcW w:w="525" w:type="pct"/>
          </w:tcPr>
          <w:p w:rsidR="00286749" w:rsidRPr="00685AFF" w:rsidRDefault="00286749" w:rsidP="007F54D5">
            <w:pPr>
              <w:jc w:val="center"/>
              <w:rPr>
                <w:sz w:val="22"/>
                <w:szCs w:val="22"/>
              </w:rPr>
            </w:pPr>
            <w:r w:rsidRPr="00685AFF">
              <w:rPr>
                <w:sz w:val="22"/>
                <w:szCs w:val="22"/>
              </w:rPr>
              <w:t>37.0</w:t>
            </w:r>
          </w:p>
        </w:tc>
        <w:tc>
          <w:tcPr>
            <w:tcW w:w="1135" w:type="pct"/>
          </w:tcPr>
          <w:p w:rsidR="00286749" w:rsidRPr="00685AFF" w:rsidRDefault="00286749" w:rsidP="007F54D5">
            <w:pPr>
              <w:jc w:val="center"/>
              <w:rPr>
                <w:sz w:val="22"/>
                <w:szCs w:val="22"/>
              </w:rPr>
            </w:pPr>
            <w:r w:rsidRPr="00685AFF">
              <w:rPr>
                <w:sz w:val="22"/>
                <w:szCs w:val="22"/>
              </w:rPr>
              <w:t>39.2</w:t>
            </w:r>
          </w:p>
        </w:tc>
        <w:tc>
          <w:tcPr>
            <w:tcW w:w="449" w:type="pct"/>
          </w:tcPr>
          <w:p w:rsidR="00286749" w:rsidRPr="00685AFF" w:rsidRDefault="00286749" w:rsidP="007F54D5">
            <w:pPr>
              <w:jc w:val="center"/>
              <w:rPr>
                <w:sz w:val="22"/>
                <w:szCs w:val="22"/>
              </w:rPr>
            </w:pPr>
            <w:r w:rsidRPr="00685AFF">
              <w:rPr>
                <w:sz w:val="22"/>
                <w:szCs w:val="22"/>
              </w:rPr>
              <w:t>25.0</w:t>
            </w:r>
          </w:p>
        </w:tc>
        <w:tc>
          <w:tcPr>
            <w:tcW w:w="449" w:type="pct"/>
          </w:tcPr>
          <w:p w:rsidR="00286749" w:rsidRPr="00685AFF" w:rsidRDefault="00286749" w:rsidP="007F54D5">
            <w:pPr>
              <w:jc w:val="center"/>
              <w:rPr>
                <w:sz w:val="22"/>
                <w:szCs w:val="22"/>
              </w:rPr>
            </w:pPr>
            <w:r w:rsidRPr="00685AFF">
              <w:rPr>
                <w:sz w:val="22"/>
                <w:szCs w:val="22"/>
              </w:rPr>
              <w:t xml:space="preserve">27.9 </w:t>
            </w:r>
          </w:p>
        </w:tc>
        <w:tc>
          <w:tcPr>
            <w:tcW w:w="451" w:type="pct"/>
          </w:tcPr>
          <w:p w:rsidR="00286749" w:rsidRPr="00685AFF" w:rsidRDefault="00286749" w:rsidP="007F54D5">
            <w:pPr>
              <w:jc w:val="center"/>
              <w:rPr>
                <w:sz w:val="22"/>
                <w:szCs w:val="22"/>
              </w:rPr>
            </w:pPr>
            <w:r w:rsidRPr="00685AFF">
              <w:rPr>
                <w:sz w:val="22"/>
                <w:szCs w:val="22"/>
              </w:rPr>
              <w:t>&lt; .01</w:t>
            </w:r>
          </w:p>
        </w:tc>
      </w:tr>
      <w:tr w:rsidR="000E5D11" w:rsidTr="00685AFF">
        <w:trPr>
          <w:trHeight w:hRule="exact" w:val="567"/>
        </w:trPr>
        <w:tc>
          <w:tcPr>
            <w:tcW w:w="964" w:type="pct"/>
          </w:tcPr>
          <w:p w:rsidR="00286749" w:rsidRPr="00685AFF" w:rsidRDefault="00286749" w:rsidP="00685AFF">
            <w:pPr>
              <w:spacing w:line="240" w:lineRule="auto"/>
              <w:rPr>
                <w:sz w:val="22"/>
                <w:szCs w:val="22"/>
              </w:rPr>
            </w:pPr>
            <w:r w:rsidRPr="00685AFF">
              <w:rPr>
                <w:sz w:val="22"/>
                <w:szCs w:val="22"/>
              </w:rPr>
              <w:t>Abstinent from PDOC*</w:t>
            </w:r>
          </w:p>
        </w:tc>
        <w:tc>
          <w:tcPr>
            <w:tcW w:w="475" w:type="pct"/>
          </w:tcPr>
          <w:p w:rsidR="00286749" w:rsidRPr="00685AFF" w:rsidRDefault="00286749" w:rsidP="007F54D5">
            <w:pPr>
              <w:jc w:val="center"/>
              <w:rPr>
                <w:sz w:val="22"/>
                <w:szCs w:val="22"/>
              </w:rPr>
            </w:pPr>
            <w:r w:rsidRPr="00685AFF">
              <w:rPr>
                <w:sz w:val="22"/>
                <w:szCs w:val="22"/>
              </w:rPr>
              <w:t>19.7</w:t>
            </w:r>
          </w:p>
        </w:tc>
        <w:tc>
          <w:tcPr>
            <w:tcW w:w="551" w:type="pct"/>
          </w:tcPr>
          <w:p w:rsidR="00286749" w:rsidRPr="00685AFF" w:rsidRDefault="00286749" w:rsidP="007F54D5">
            <w:pPr>
              <w:jc w:val="center"/>
              <w:rPr>
                <w:sz w:val="22"/>
                <w:szCs w:val="22"/>
              </w:rPr>
            </w:pPr>
            <w:r w:rsidRPr="00685AFF">
              <w:rPr>
                <w:sz w:val="22"/>
                <w:szCs w:val="22"/>
              </w:rPr>
              <w:t>24.6</w:t>
            </w:r>
          </w:p>
        </w:tc>
        <w:tc>
          <w:tcPr>
            <w:tcW w:w="525" w:type="pct"/>
          </w:tcPr>
          <w:p w:rsidR="00286749" w:rsidRPr="00685AFF" w:rsidRDefault="00286749" w:rsidP="007F54D5">
            <w:pPr>
              <w:jc w:val="center"/>
              <w:rPr>
                <w:sz w:val="22"/>
                <w:szCs w:val="22"/>
              </w:rPr>
            </w:pPr>
            <w:r w:rsidRPr="00685AFF">
              <w:rPr>
                <w:sz w:val="22"/>
                <w:szCs w:val="22"/>
              </w:rPr>
              <w:t>37.0</w:t>
            </w:r>
          </w:p>
        </w:tc>
        <w:tc>
          <w:tcPr>
            <w:tcW w:w="1135" w:type="pct"/>
          </w:tcPr>
          <w:p w:rsidR="00286749" w:rsidRPr="00685AFF" w:rsidRDefault="00286749" w:rsidP="007F54D5">
            <w:pPr>
              <w:jc w:val="center"/>
              <w:rPr>
                <w:sz w:val="22"/>
                <w:szCs w:val="22"/>
              </w:rPr>
            </w:pPr>
            <w:r w:rsidRPr="00685AFF">
              <w:rPr>
                <w:sz w:val="22"/>
                <w:szCs w:val="22"/>
              </w:rPr>
              <w:t>38.4</w:t>
            </w:r>
          </w:p>
        </w:tc>
        <w:tc>
          <w:tcPr>
            <w:tcW w:w="449" w:type="pct"/>
          </w:tcPr>
          <w:p w:rsidR="00286749" w:rsidRPr="00685AFF" w:rsidRDefault="00286749" w:rsidP="007F54D5">
            <w:pPr>
              <w:jc w:val="center"/>
              <w:rPr>
                <w:sz w:val="22"/>
                <w:szCs w:val="22"/>
              </w:rPr>
            </w:pPr>
            <w:r w:rsidRPr="00685AFF">
              <w:rPr>
                <w:sz w:val="22"/>
                <w:szCs w:val="22"/>
              </w:rPr>
              <w:t>21.7</w:t>
            </w:r>
          </w:p>
        </w:tc>
        <w:tc>
          <w:tcPr>
            <w:tcW w:w="449" w:type="pct"/>
          </w:tcPr>
          <w:p w:rsidR="00286749" w:rsidRPr="00685AFF" w:rsidRDefault="00286749" w:rsidP="007F54D5">
            <w:pPr>
              <w:jc w:val="center"/>
              <w:rPr>
                <w:sz w:val="22"/>
                <w:szCs w:val="22"/>
              </w:rPr>
            </w:pPr>
            <w:r w:rsidRPr="00685AFF">
              <w:rPr>
                <w:sz w:val="22"/>
                <w:szCs w:val="22"/>
              </w:rPr>
              <w:t xml:space="preserve">26.6 </w:t>
            </w:r>
          </w:p>
        </w:tc>
        <w:tc>
          <w:tcPr>
            <w:tcW w:w="451" w:type="pct"/>
          </w:tcPr>
          <w:p w:rsidR="00286749" w:rsidRPr="00685AFF" w:rsidRDefault="00286749" w:rsidP="007F54D5">
            <w:pPr>
              <w:jc w:val="center"/>
              <w:rPr>
                <w:sz w:val="22"/>
                <w:szCs w:val="22"/>
              </w:rPr>
            </w:pPr>
            <w:r w:rsidRPr="00685AFF">
              <w:rPr>
                <w:sz w:val="22"/>
                <w:szCs w:val="22"/>
              </w:rPr>
              <w:t>&lt; .001</w:t>
            </w:r>
          </w:p>
        </w:tc>
      </w:tr>
      <w:tr w:rsidR="000E5D11" w:rsidTr="00B11DEE">
        <w:trPr>
          <w:trHeight w:hRule="exact" w:val="340"/>
        </w:trPr>
        <w:tc>
          <w:tcPr>
            <w:tcW w:w="964" w:type="pct"/>
          </w:tcPr>
          <w:p w:rsidR="00286749" w:rsidRPr="00685AFF" w:rsidRDefault="00286749" w:rsidP="00685AFF">
            <w:pPr>
              <w:spacing w:line="240" w:lineRule="auto"/>
              <w:rPr>
                <w:sz w:val="22"/>
                <w:szCs w:val="22"/>
              </w:rPr>
            </w:pPr>
            <w:r w:rsidRPr="00685AFF">
              <w:rPr>
                <w:sz w:val="22"/>
                <w:szCs w:val="22"/>
              </w:rPr>
              <w:t>PDOC success*</w:t>
            </w:r>
          </w:p>
        </w:tc>
        <w:tc>
          <w:tcPr>
            <w:tcW w:w="475" w:type="pct"/>
          </w:tcPr>
          <w:p w:rsidR="00286749" w:rsidRPr="00685AFF" w:rsidRDefault="00286749" w:rsidP="007F54D5">
            <w:pPr>
              <w:jc w:val="center"/>
              <w:rPr>
                <w:sz w:val="22"/>
                <w:szCs w:val="22"/>
              </w:rPr>
            </w:pPr>
            <w:r w:rsidRPr="00685AFF">
              <w:rPr>
                <w:sz w:val="22"/>
                <w:szCs w:val="22"/>
              </w:rPr>
              <w:t>34.5</w:t>
            </w:r>
          </w:p>
        </w:tc>
        <w:tc>
          <w:tcPr>
            <w:tcW w:w="551" w:type="pct"/>
          </w:tcPr>
          <w:p w:rsidR="00286749" w:rsidRPr="00685AFF" w:rsidRDefault="00286749" w:rsidP="007F54D5">
            <w:pPr>
              <w:jc w:val="center"/>
              <w:rPr>
                <w:sz w:val="22"/>
                <w:szCs w:val="22"/>
              </w:rPr>
            </w:pPr>
            <w:r w:rsidRPr="00685AFF">
              <w:rPr>
                <w:sz w:val="22"/>
                <w:szCs w:val="22"/>
              </w:rPr>
              <w:t>39.9</w:t>
            </w:r>
          </w:p>
        </w:tc>
        <w:tc>
          <w:tcPr>
            <w:tcW w:w="525" w:type="pct"/>
          </w:tcPr>
          <w:p w:rsidR="00286749" w:rsidRPr="00685AFF" w:rsidRDefault="00286749" w:rsidP="007F54D5">
            <w:pPr>
              <w:jc w:val="center"/>
              <w:rPr>
                <w:sz w:val="22"/>
                <w:szCs w:val="22"/>
              </w:rPr>
            </w:pPr>
            <w:r w:rsidRPr="00685AFF">
              <w:rPr>
                <w:sz w:val="22"/>
                <w:szCs w:val="22"/>
              </w:rPr>
              <w:t>47.5</w:t>
            </w:r>
          </w:p>
        </w:tc>
        <w:tc>
          <w:tcPr>
            <w:tcW w:w="1135" w:type="pct"/>
          </w:tcPr>
          <w:p w:rsidR="00286749" w:rsidRPr="00685AFF" w:rsidRDefault="00286749" w:rsidP="007F54D5">
            <w:pPr>
              <w:jc w:val="center"/>
              <w:rPr>
                <w:sz w:val="22"/>
                <w:szCs w:val="22"/>
              </w:rPr>
            </w:pPr>
            <w:r w:rsidRPr="00685AFF">
              <w:rPr>
                <w:sz w:val="22"/>
                <w:szCs w:val="22"/>
              </w:rPr>
              <w:t>51.3</w:t>
            </w:r>
          </w:p>
        </w:tc>
        <w:tc>
          <w:tcPr>
            <w:tcW w:w="449" w:type="pct"/>
          </w:tcPr>
          <w:p w:rsidR="00286749" w:rsidRPr="00685AFF" w:rsidRDefault="00286749" w:rsidP="007F54D5">
            <w:pPr>
              <w:jc w:val="center"/>
              <w:rPr>
                <w:sz w:val="22"/>
                <w:szCs w:val="22"/>
              </w:rPr>
            </w:pPr>
            <w:r w:rsidRPr="00685AFF">
              <w:rPr>
                <w:sz w:val="22"/>
                <w:szCs w:val="22"/>
              </w:rPr>
              <w:t>22.7</w:t>
            </w:r>
          </w:p>
        </w:tc>
        <w:tc>
          <w:tcPr>
            <w:tcW w:w="449" w:type="pct"/>
          </w:tcPr>
          <w:p w:rsidR="00286749" w:rsidRPr="00685AFF" w:rsidRDefault="00286749" w:rsidP="007F54D5">
            <w:pPr>
              <w:jc w:val="center"/>
              <w:rPr>
                <w:sz w:val="22"/>
                <w:szCs w:val="22"/>
              </w:rPr>
            </w:pPr>
            <w:r w:rsidRPr="00685AFF">
              <w:rPr>
                <w:sz w:val="22"/>
                <w:szCs w:val="22"/>
              </w:rPr>
              <w:t xml:space="preserve">40.0 </w:t>
            </w:r>
          </w:p>
        </w:tc>
        <w:tc>
          <w:tcPr>
            <w:tcW w:w="451" w:type="pct"/>
          </w:tcPr>
          <w:p w:rsidR="00286749" w:rsidRPr="00685AFF" w:rsidRDefault="00286749" w:rsidP="007F54D5">
            <w:pPr>
              <w:jc w:val="center"/>
              <w:rPr>
                <w:sz w:val="22"/>
                <w:szCs w:val="22"/>
              </w:rPr>
            </w:pPr>
            <w:r w:rsidRPr="00685AFF">
              <w:rPr>
                <w:sz w:val="22"/>
                <w:szCs w:val="22"/>
              </w:rPr>
              <w:t>&lt; .01</w:t>
            </w:r>
          </w:p>
        </w:tc>
      </w:tr>
    </w:tbl>
    <w:p w:rsidR="00286749" w:rsidRPr="008E0FD3" w:rsidRDefault="00286749" w:rsidP="00286749">
      <w:pPr>
        <w:rPr>
          <w:sz w:val="18"/>
        </w:rPr>
      </w:pPr>
      <w:r w:rsidRPr="008E0FD3">
        <w:rPr>
          <w:sz w:val="18"/>
        </w:rPr>
        <w:t>*</w:t>
      </w:r>
      <w:r w:rsidR="008E0FD3" w:rsidRPr="008E0FD3">
        <w:rPr>
          <w:sz w:val="18"/>
        </w:rPr>
        <w:t>A</w:t>
      </w:r>
      <w:r w:rsidRPr="008E0FD3">
        <w:rPr>
          <w:sz w:val="18"/>
        </w:rPr>
        <w:t>ssuming non-abstinence in participants who had withdrawn or were and lost to follow-up</w:t>
      </w:r>
    </w:p>
    <w:p w:rsidR="00FA516F" w:rsidRPr="00495B2E" w:rsidRDefault="00FA516F" w:rsidP="00FA516F">
      <w:pPr>
        <w:pStyle w:val="FAREnormaltext"/>
      </w:pPr>
      <w:r w:rsidRPr="00495B2E">
        <w:t>We also repeated selected binary logistic regression analyses of predictors of treatment success and abstinence, including the same predictors as previously included in the final models for these outcomes. For treatment success, as in the unweighted analyses, PIT completion, mutual aid attendance, being foreign-born, and having opioids or meth</w:t>
      </w:r>
      <w:r w:rsidR="00E977AF">
        <w:t>/</w:t>
      </w:r>
      <w:r w:rsidRPr="00495B2E">
        <w:t>amphetamine as the PDOC (relative to alcohol as PDOC) were significant predictors of success and a longer follow-up interval and longer PIT duration predicted reduced likelihood of success. In addition, use of community services (other than mental health, employment, or housing services), and having outpatient treatment (relative to detox) as the PIT predicted increased likelihood of success in the weighted model.</w:t>
      </w:r>
    </w:p>
    <w:p w:rsidR="00FA516F" w:rsidRPr="00495B2E" w:rsidRDefault="00FA516F" w:rsidP="00FA516F">
      <w:pPr>
        <w:pStyle w:val="FAREnormaltext"/>
      </w:pPr>
      <w:r w:rsidRPr="00495B2E">
        <w:t>For PDOC abstinence, as in the unweighted analyses, having opioids or meth</w:t>
      </w:r>
      <w:r w:rsidR="00E977AF">
        <w:t>/</w:t>
      </w:r>
      <w:r w:rsidRPr="00495B2E">
        <w:t xml:space="preserve">amphetamine as the PDOC (relative to alcohol), PIT completion, mutual aid attendance, and unmet employment service need all predicted increased likelihood of abstinence, though use of other community services was no longer a significant predictor. PIT type remained a significant predictor, though in this analysis, acute withdrawal was inferior to outpatient treatment, but long-term residential treatment was no </w:t>
      </w:r>
      <w:r w:rsidRPr="00495B2E">
        <w:lastRenderedPageBreak/>
        <w:t>longer superior to outpatient treatment. Re-analysis with long-term residential treatment as the reference PIT did, however, show that long-term residential treatment as PIT was superior to acute withdrawal as PIT. When the optimal care pathway score was entered as a predictor, rather than individual components of the pathway, this pathway score and having opioids or meth</w:t>
      </w:r>
      <w:r w:rsidR="00E977AF">
        <w:t>/</w:t>
      </w:r>
      <w:r w:rsidRPr="00495B2E">
        <w:t>amphetamine as the PDOC (relative to alcohol) were the only significant predictors of abstinence.</w:t>
      </w:r>
    </w:p>
    <w:p w:rsidR="00FA516F" w:rsidRPr="00495B2E" w:rsidRDefault="00FA516F" w:rsidP="00FA516F">
      <w:pPr>
        <w:pStyle w:val="FAREnormaltext"/>
      </w:pPr>
      <w:r w:rsidRPr="00495B2E">
        <w:t xml:space="preserve">Repeating the above weighted analyses only for participants with alcohol as their PDOC showed that mutual aid attendance and “other” community service use predicted both treatment success and PDOC abstinence. For PDOC abstinence, PIT completion and (in contrast to previous findings) </w:t>
      </w:r>
      <w:proofErr w:type="gramStart"/>
      <w:r w:rsidRPr="00495B2E">
        <w:t>a longer follow-up interval were</w:t>
      </w:r>
      <w:proofErr w:type="gramEnd"/>
      <w:r w:rsidRPr="00495B2E">
        <w:t xml:space="preserve"> also positive predictors. When the overall pathway score was entered, rather than its individual components, this pathway score and follow-up interval were significant predictors of abstinence.</w:t>
      </w:r>
    </w:p>
    <w:p w:rsidR="00FA516F" w:rsidRPr="00495B2E" w:rsidRDefault="00FA516F" w:rsidP="00FA516F">
      <w:pPr>
        <w:pStyle w:val="FAREnormaltext"/>
      </w:pPr>
      <w:r w:rsidRPr="00495B2E">
        <w:t>Repeating the weighted analyses only including participants with drugs other than alcohol or tobacco as their PDOC showed that PIT completion, being foreign-born, and having opioids or meth</w:t>
      </w:r>
      <w:r w:rsidR="00E977AF">
        <w:t>/</w:t>
      </w:r>
      <w:r w:rsidRPr="00495B2E">
        <w:t>amphetamine (relative to cannabis) as the PDOC were significant predictors of treatment success. Longer follow-up interval, longer PIT duration, and further post-PIT AOD service use predicted reduced likelihood of success. PDOC, PIT completion, follow-up interval, and PIT duration were also significant predictors of PDOC abstinence (all effects in the same direction as for prediction of treatment success). While the overall effect of PIT type was not a significant predictor of PDOC abstinence, when long-term residential treatment was entered as the reference PIT, it predicted significantly better likelihood of abstinence than having acute withdrawal as the PIT. When the overall optimal care pathway score was entered as a predictor, rather than its individual components, only PDOC, follow-up interval, and PIT duration were significant predictors, while the optimal pathway score was not.</w:t>
      </w:r>
    </w:p>
    <w:p w:rsidR="00143847" w:rsidRDefault="00FA516F" w:rsidP="00FA516F">
      <w:pPr>
        <w:pStyle w:val="FAREnormaltext"/>
      </w:pPr>
      <w:r w:rsidRPr="00495B2E">
        <w:t xml:space="preserve">In summary, overall the weighted analyses generated few changes in terms of </w:t>
      </w:r>
      <w:r w:rsidR="006D29AE">
        <w:t>participant</w:t>
      </w:r>
      <w:r w:rsidRPr="00495B2E">
        <w:t xml:space="preserve"> outcomes. After weighting the data, abstinence and success rates were only slightly reduced relative to the unweighted analyses and remained highest among with long-term residential rehabilitation PIT and having attended this treatment at any point in the past two-years remained significantly associated with higher abstinence rates. When examining predictors of success, using weighted data confirmed PIT completion and mutual aid and meth</w:t>
      </w:r>
      <w:r w:rsidR="00E977AF">
        <w:t>/</w:t>
      </w:r>
      <w:r w:rsidRPr="00495B2E">
        <w:t xml:space="preserve">amphetamines and </w:t>
      </w:r>
      <w:r w:rsidR="007B2AEE">
        <w:t>opioid</w:t>
      </w:r>
      <w:r w:rsidRPr="00495B2E">
        <w:t xml:space="preserve">s relative to alcohol as the PDOC as significant predictors, but residential rehabilitation was no longer superior to </w:t>
      </w:r>
      <w:r w:rsidR="000A2E35" w:rsidRPr="00495B2E">
        <w:t xml:space="preserve">the </w:t>
      </w:r>
      <w:r w:rsidRPr="00495B2E">
        <w:t>other PIT types. A further finding to note concerns the impact of engagement in community services on outcomes. This was a significant predictor of abstinence in the unweighted (but not weighted) data, and a significant predictor of success in the weighted (but not unweighted) data.</w:t>
      </w:r>
    </w:p>
    <w:p w:rsidR="00143847" w:rsidRDefault="00143847">
      <w:pPr>
        <w:spacing w:after="120" w:line="240" w:lineRule="auto"/>
        <w:ind w:left="1191" w:hanging="1134"/>
        <w:jc w:val="both"/>
        <w:rPr>
          <w:lang w:val="en-GB"/>
        </w:rPr>
      </w:pPr>
      <w:r>
        <w:br w:type="page"/>
      </w:r>
    </w:p>
    <w:p w:rsidR="003C21FE" w:rsidRDefault="001758DB" w:rsidP="00173B16">
      <w:pPr>
        <w:pStyle w:val="FAREH2Nbr"/>
      </w:pPr>
      <w:bookmarkStart w:id="134" w:name="_Toc398105047"/>
      <w:r w:rsidRPr="002630FD">
        <w:lastRenderedPageBreak/>
        <w:t>Qualitative findings</w:t>
      </w:r>
      <w:bookmarkEnd w:id="128"/>
      <w:bookmarkEnd w:id="134"/>
      <w:r w:rsidRPr="002630FD">
        <w:t xml:space="preserve"> </w:t>
      </w:r>
    </w:p>
    <w:p w:rsidR="004212FD" w:rsidRDefault="00B05932" w:rsidP="00B05932">
      <w:pPr>
        <w:pStyle w:val="FAREnormaltext"/>
      </w:pPr>
      <w:r w:rsidRPr="003631AE">
        <w:t>This section summarises the qualitative findings about participants’ experience of AOD treatment and contact with non-AOD services such as mental health, housing and homelessness services, medical and social services.</w:t>
      </w:r>
    </w:p>
    <w:p w:rsidR="00B05932" w:rsidRDefault="00B05932" w:rsidP="00B05932">
      <w:pPr>
        <w:pStyle w:val="FAREnormaltext"/>
      </w:pPr>
      <w:r w:rsidRPr="003631AE">
        <w:t>The qualitative component provides an in-depth perspective of</w:t>
      </w:r>
      <w:r>
        <w:t xml:space="preserve"> participants’ experience of treatment, </w:t>
      </w:r>
      <w:r w:rsidRPr="003631AE">
        <w:t xml:space="preserve">including pathways into and out of AOD treatment. In addition, this component </w:t>
      </w:r>
      <w:r>
        <w:t xml:space="preserve">sought to explore participants’ experience of formal and informal supports (e.g., family, friends, </w:t>
      </w:r>
      <w:proofErr w:type="gramStart"/>
      <w:r>
        <w:t>self</w:t>
      </w:r>
      <w:proofErr w:type="gramEnd"/>
      <w:r>
        <w:t xml:space="preserve">-help groups) and service responses, the level of integration between the AOD and non-AOD systems, and the perceived effectiveness of services and areas for improvement. </w:t>
      </w:r>
    </w:p>
    <w:p w:rsidR="003C21FE" w:rsidRDefault="003C21FE" w:rsidP="0034684A">
      <w:pPr>
        <w:pStyle w:val="FAREH3"/>
      </w:pPr>
      <w:bookmarkStart w:id="135" w:name="_Toc382501365"/>
      <w:r>
        <w:t>Method</w:t>
      </w:r>
      <w:bookmarkEnd w:id="135"/>
      <w:r>
        <w:t>s</w:t>
      </w:r>
    </w:p>
    <w:p w:rsidR="003C21FE" w:rsidRDefault="003C21FE" w:rsidP="003C21FE">
      <w:pPr>
        <w:keepNext/>
        <w:keepLines/>
        <w:numPr>
          <w:ilvl w:val="1"/>
          <w:numId w:val="0"/>
        </w:numPr>
        <w:spacing w:before="120" w:after="120" w:line="240" w:lineRule="auto"/>
        <w:outlineLvl w:val="1"/>
        <w:rPr>
          <w:rFonts w:ascii="Cambria" w:eastAsia="SimSun" w:hAnsi="Cambria"/>
          <w:bCs/>
          <w:i/>
          <w:sz w:val="24"/>
          <w:szCs w:val="24"/>
        </w:rPr>
      </w:pPr>
      <w:r w:rsidRPr="000C59D5">
        <w:rPr>
          <w:rFonts w:ascii="Cambria" w:eastAsia="SimSun" w:hAnsi="Cambria"/>
          <w:bCs/>
          <w:i/>
          <w:sz w:val="24"/>
          <w:szCs w:val="24"/>
        </w:rPr>
        <w:t xml:space="preserve">Sampling process </w:t>
      </w:r>
    </w:p>
    <w:p w:rsidR="00695555" w:rsidRPr="001A6BD1" w:rsidRDefault="00695555" w:rsidP="00695555">
      <w:pPr>
        <w:pStyle w:val="FAREnormaltext"/>
      </w:pPr>
      <w:r w:rsidRPr="003631AE">
        <w:t>Qualitative interviews were conducted with 41 participants be</w:t>
      </w:r>
      <w:r>
        <w:t xml:space="preserve">tween February and April 2014. </w:t>
      </w:r>
      <w:r w:rsidRPr="003631AE">
        <w:t>A two-stage purposive sampling approach was used to identify potential participants from the sample of 550 participants who had completed a baseline and follow-up interview and agreed to be re-contacted f</w:t>
      </w:r>
      <w:r>
        <w:t xml:space="preserve">or future research interviews. </w:t>
      </w:r>
      <w:r w:rsidRPr="003631AE">
        <w:t xml:space="preserve">As the main purpose of the qualitative interviews was to explore experiences of the AOD treatment system and non-AOD systems, the first stage of the sampling approach was designed to ensure a diversity of experiences in terms of: </w:t>
      </w:r>
    </w:p>
    <w:p w:rsidR="00695555" w:rsidRPr="003631AE" w:rsidRDefault="00695555" w:rsidP="00695555">
      <w:pPr>
        <w:pStyle w:val="FAREdotpoints"/>
      </w:pPr>
      <w:r w:rsidRPr="003631AE">
        <w:t>Perceived effectiveness of PIT</w:t>
      </w:r>
    </w:p>
    <w:p w:rsidR="00695555" w:rsidRPr="003631AE" w:rsidRDefault="00695555" w:rsidP="00695555">
      <w:pPr>
        <w:pStyle w:val="FAREdotpoints"/>
      </w:pPr>
      <w:r>
        <w:t>PDOC</w:t>
      </w:r>
      <w:r w:rsidRPr="003631AE">
        <w:t xml:space="preserve"> reported at baseline </w:t>
      </w:r>
    </w:p>
    <w:p w:rsidR="00695555" w:rsidRPr="003631AE" w:rsidRDefault="00695555" w:rsidP="00695555">
      <w:pPr>
        <w:pStyle w:val="FAREdotpoints"/>
      </w:pPr>
      <w:r w:rsidRPr="003631AE">
        <w:t>PIT type (i.e.</w:t>
      </w:r>
      <w:r>
        <w:t>,</w:t>
      </w:r>
      <w:r w:rsidRPr="003631AE">
        <w:t xml:space="preserve"> outpatient, </w:t>
      </w:r>
      <w:r>
        <w:t>acute</w:t>
      </w:r>
      <w:r w:rsidRPr="003631AE">
        <w:t xml:space="preserve"> withdrawal, residential rehabilitation) </w:t>
      </w:r>
    </w:p>
    <w:p w:rsidR="00695555" w:rsidRPr="003631AE" w:rsidRDefault="00695555" w:rsidP="00695555">
      <w:pPr>
        <w:pStyle w:val="FAREdotpoints"/>
      </w:pPr>
      <w:r w:rsidRPr="003631AE">
        <w:t xml:space="preserve">Engagement with AOD treatment post PIT (high =3 or more contacts; medium use = 2 contacts;  low = 1 or no contact)  </w:t>
      </w:r>
    </w:p>
    <w:p w:rsidR="00695555" w:rsidRDefault="00695555" w:rsidP="00695555">
      <w:pPr>
        <w:pStyle w:val="FAREdotpoints"/>
      </w:pPr>
      <w:r w:rsidRPr="003631AE">
        <w:t>Engagement with acute and/or community services post PIT (high =</w:t>
      </w:r>
      <w:r>
        <w:t xml:space="preserve"> </w:t>
      </w:r>
      <w:r w:rsidRPr="003631AE">
        <w:t xml:space="preserve">5 or more; medium = 3 to 4; low = 2 or fewer)  </w:t>
      </w:r>
    </w:p>
    <w:p w:rsidR="00695555" w:rsidRPr="003610B4" w:rsidRDefault="00695555" w:rsidP="00695555">
      <w:pPr>
        <w:pStyle w:val="FAREnormaltext"/>
      </w:pPr>
      <w:r w:rsidRPr="003610B4">
        <w:t xml:space="preserve">Two members of the research team assessed </w:t>
      </w:r>
      <w:r>
        <w:t>participants’</w:t>
      </w:r>
      <w:r w:rsidRPr="003610B4">
        <w:t xml:space="preserve"> eligibility based on the above variables and identified 120 </w:t>
      </w:r>
      <w:r>
        <w:t>potential participants, 60 o</w:t>
      </w:r>
      <w:r w:rsidRPr="003610B4">
        <w:t>f</w:t>
      </w:r>
      <w:r>
        <w:t xml:space="preserve"> </w:t>
      </w:r>
      <w:proofErr w:type="gramStart"/>
      <w:r>
        <w:t>whom</w:t>
      </w:r>
      <w:proofErr w:type="gramEnd"/>
      <w:r w:rsidRPr="003610B4">
        <w:t xml:space="preserve"> were recruited from Western Australia and 60 from Victoria. The second stage of the sampling approach involved assigning each of the 120 potential participants a priority score based on the date of the follow-up interview. Interviews completed most recently were marked as ‘high’ priority to increase the likelihood of successful contact.  </w:t>
      </w:r>
    </w:p>
    <w:p w:rsidR="00695555" w:rsidRPr="000C59D5" w:rsidRDefault="00695555" w:rsidP="00695555">
      <w:pPr>
        <w:keepNext/>
        <w:keepLines/>
        <w:numPr>
          <w:ilvl w:val="1"/>
          <w:numId w:val="0"/>
        </w:numPr>
        <w:spacing w:before="120" w:after="120" w:line="240" w:lineRule="auto"/>
        <w:outlineLvl w:val="1"/>
        <w:rPr>
          <w:rFonts w:ascii="Cambria" w:eastAsia="SimSun" w:hAnsi="Cambria"/>
          <w:bCs/>
          <w:i/>
          <w:sz w:val="24"/>
          <w:szCs w:val="24"/>
        </w:rPr>
      </w:pPr>
      <w:r w:rsidRPr="000C59D5">
        <w:rPr>
          <w:rFonts w:ascii="Cambria" w:eastAsia="SimSun" w:hAnsi="Cambria"/>
          <w:bCs/>
          <w:i/>
          <w:sz w:val="24"/>
          <w:szCs w:val="24"/>
        </w:rPr>
        <w:t xml:space="preserve">Data collection </w:t>
      </w:r>
    </w:p>
    <w:p w:rsidR="00695555" w:rsidRDefault="00695555" w:rsidP="00695555">
      <w:pPr>
        <w:pStyle w:val="FAREnormaltext"/>
      </w:pPr>
      <w:r>
        <w:t xml:space="preserve">A semi-structured interview schedule was used to explore six broad topics: experience of seeking AOD treatment; experience of PIT; follow-up AOD care post-PIT; accessing non-AOD services; experience of AOD and non-AOD services working together; experience of informal support (e.g., family, friends, </w:t>
      </w:r>
      <w:proofErr w:type="gramStart"/>
      <w:r>
        <w:t>self</w:t>
      </w:r>
      <w:proofErr w:type="gramEnd"/>
      <w:r>
        <w:t xml:space="preserve">-help groups) as well as issues important to the participant’s unique experience. The interviews were contacted by two interviewers. </w:t>
      </w:r>
      <w:r w:rsidRPr="005F3F17">
        <w:t xml:space="preserve">Participants were contacted via telephone, </w:t>
      </w:r>
      <w:r w:rsidRPr="005F3F17">
        <w:lastRenderedPageBreak/>
        <w:t xml:space="preserve">reminded of their involvement in the </w:t>
      </w:r>
      <w:r>
        <w:t>follow-up</w:t>
      </w:r>
      <w:r w:rsidRPr="005F3F17">
        <w:t xml:space="preserve"> interview, and offer</w:t>
      </w:r>
      <w:r>
        <w:t xml:space="preserve">ed the opportunity to engage in an in-depth </w:t>
      </w:r>
      <w:r w:rsidRPr="005F3F17">
        <w:t>telephone interview at a</w:t>
      </w:r>
      <w:r>
        <w:t xml:space="preserve"> mutually</w:t>
      </w:r>
      <w:r w:rsidRPr="005F3F17">
        <w:t xml:space="preserve"> agree</w:t>
      </w:r>
      <w:r>
        <w:t>able</w:t>
      </w:r>
      <w:r w:rsidRPr="005F3F17">
        <w:t xml:space="preserve"> date and time.</w:t>
      </w:r>
      <w:r>
        <w:t xml:space="preserve">  </w:t>
      </w:r>
    </w:p>
    <w:p w:rsidR="00695555" w:rsidRDefault="00695555" w:rsidP="00695555">
      <w:pPr>
        <w:pStyle w:val="FAREnormaltext"/>
      </w:pPr>
      <w:r>
        <w:t xml:space="preserve">Consent for the interview to be audio-recorded was sought from the participant as part of the interview overview. All participants consented for the interview to be audio-recorded. Participants were reimbursed $30 for their time. </w:t>
      </w:r>
    </w:p>
    <w:p w:rsidR="00695555" w:rsidRPr="000C59D5" w:rsidRDefault="00695555" w:rsidP="00695555">
      <w:pPr>
        <w:keepNext/>
        <w:keepLines/>
        <w:numPr>
          <w:ilvl w:val="1"/>
          <w:numId w:val="0"/>
        </w:numPr>
        <w:spacing w:before="120" w:after="120" w:line="240" w:lineRule="auto"/>
        <w:outlineLvl w:val="1"/>
        <w:rPr>
          <w:rFonts w:ascii="Cambria" w:eastAsia="SimSun" w:hAnsi="Cambria"/>
          <w:bCs/>
          <w:i/>
          <w:sz w:val="24"/>
          <w:szCs w:val="24"/>
        </w:rPr>
      </w:pPr>
      <w:r w:rsidRPr="000C59D5">
        <w:rPr>
          <w:rFonts w:ascii="Cambria" w:eastAsia="SimSun" w:hAnsi="Cambria"/>
          <w:bCs/>
          <w:i/>
          <w:sz w:val="24"/>
          <w:szCs w:val="24"/>
        </w:rPr>
        <w:t xml:space="preserve">Analysis </w:t>
      </w:r>
    </w:p>
    <w:p w:rsidR="00695555" w:rsidRPr="00E56504" w:rsidRDefault="00695555" w:rsidP="00695555">
      <w:pPr>
        <w:pStyle w:val="FAREnormaltext"/>
      </w:pPr>
      <w:r>
        <w:t xml:space="preserve">Audio-recordings were transcribed and NVivo10, a qualitative software package, was used to organise the interview data into a set of codes with common experiences grouped under the same code. Codes were grouped into provisional themes and sub-themes. </w:t>
      </w:r>
      <w:r w:rsidRPr="00C55982">
        <w:t>Pr</w:t>
      </w:r>
      <w:r>
        <w:t>ovisional</w:t>
      </w:r>
      <w:r w:rsidRPr="00C55982">
        <w:t xml:space="preserve"> t</w:t>
      </w:r>
      <w:r w:rsidRPr="007C7852">
        <w:t>h</w:t>
      </w:r>
      <w:r w:rsidRPr="00C55982">
        <w:t>e</w:t>
      </w:r>
      <w:r w:rsidRPr="007C7852">
        <w:t>mes</w:t>
      </w:r>
      <w:r w:rsidRPr="00C55982">
        <w:t xml:space="preserve"> </w:t>
      </w:r>
      <w:r w:rsidRPr="007C7852">
        <w:t>we</w:t>
      </w:r>
      <w:r w:rsidRPr="00C55982">
        <w:t>r</w:t>
      </w:r>
      <w:r w:rsidRPr="007C7852">
        <w:t>e</w:t>
      </w:r>
      <w:r w:rsidRPr="00C55982">
        <w:t xml:space="preserve"> </w:t>
      </w:r>
      <w:r>
        <w:t xml:space="preserve">then </w:t>
      </w:r>
      <w:r w:rsidRPr="00C55982">
        <w:t>cl</w:t>
      </w:r>
      <w:r w:rsidRPr="007C7852">
        <w:t>us</w:t>
      </w:r>
      <w:r w:rsidRPr="00C55982">
        <w:t>ter</w:t>
      </w:r>
      <w:r w:rsidRPr="007C7852">
        <w:t>ed</w:t>
      </w:r>
      <w:r w:rsidRPr="00C55982">
        <w:t xml:space="preserve"> i</w:t>
      </w:r>
      <w:r w:rsidRPr="007C7852">
        <w:t>n</w:t>
      </w:r>
      <w:r w:rsidRPr="00C55982">
        <w:t>t</w:t>
      </w:r>
      <w:r w:rsidRPr="007C7852">
        <w:t>o</w:t>
      </w:r>
      <w:r w:rsidRPr="00C55982">
        <w:t xml:space="preserve"> gr</w:t>
      </w:r>
      <w:r w:rsidRPr="007C7852">
        <w:t>ou</w:t>
      </w:r>
      <w:r w:rsidRPr="00C55982">
        <w:t>p</w:t>
      </w:r>
      <w:r w:rsidRPr="007C7852">
        <w:t>s</w:t>
      </w:r>
      <w:r w:rsidRPr="00C55982">
        <w:t xml:space="preserve"> o</w:t>
      </w:r>
      <w:r w:rsidRPr="007C7852">
        <w:t>f</w:t>
      </w:r>
      <w:r w:rsidRPr="00C55982">
        <w:t xml:space="preserve"> th</w:t>
      </w:r>
      <w:r w:rsidRPr="007C7852">
        <w:t>em</w:t>
      </w:r>
      <w:r w:rsidRPr="00C55982">
        <w:t>e</w:t>
      </w:r>
      <w:r w:rsidRPr="007C7852">
        <w:t>s,</w:t>
      </w:r>
      <w:r w:rsidRPr="00C55982">
        <w:t xml:space="preserve"> a</w:t>
      </w:r>
      <w:r w:rsidRPr="007C7852">
        <w:t xml:space="preserve">nd </w:t>
      </w:r>
      <w:r>
        <w:t>those</w:t>
      </w:r>
      <w:r w:rsidRPr="00C55982">
        <w:t xml:space="preserve"> i</w:t>
      </w:r>
      <w:r w:rsidRPr="007C7852">
        <w:t>n</w:t>
      </w:r>
      <w:r w:rsidRPr="00C55982">
        <w:t>suf</w:t>
      </w:r>
      <w:r w:rsidRPr="007C7852">
        <w:t>f</w:t>
      </w:r>
      <w:r w:rsidRPr="00C55982">
        <w:t>i</w:t>
      </w:r>
      <w:r w:rsidRPr="007C7852">
        <w:t>c</w:t>
      </w:r>
      <w:r w:rsidRPr="00C55982">
        <w:t>ientl</w:t>
      </w:r>
      <w:r w:rsidRPr="007C7852">
        <w:t>y</w:t>
      </w:r>
      <w:r w:rsidRPr="00C55982">
        <w:t xml:space="preserve"> gr</w:t>
      </w:r>
      <w:r w:rsidRPr="007C7852">
        <w:t>ounded</w:t>
      </w:r>
      <w:r w:rsidRPr="00C55982">
        <w:t xml:space="preserve"> i</w:t>
      </w:r>
      <w:r w:rsidRPr="007C7852">
        <w:t>n</w:t>
      </w:r>
      <w:r w:rsidRPr="00C55982">
        <w:t xml:space="preserve"> th</w:t>
      </w:r>
      <w:r w:rsidRPr="007C7852">
        <w:t>e</w:t>
      </w:r>
      <w:r w:rsidRPr="00C55982">
        <w:t xml:space="preserve"> d</w:t>
      </w:r>
      <w:r w:rsidRPr="007C7852">
        <w:t>a</w:t>
      </w:r>
      <w:r w:rsidRPr="00C55982">
        <w:t>t</w:t>
      </w:r>
      <w:r w:rsidRPr="007C7852">
        <w:t>a</w:t>
      </w:r>
      <w:r w:rsidRPr="00C55982">
        <w:t xml:space="preserve"> w</w:t>
      </w:r>
      <w:r w:rsidRPr="007C7852">
        <w:t>e</w:t>
      </w:r>
      <w:r w:rsidRPr="00C55982">
        <w:t>r</w:t>
      </w:r>
      <w:r w:rsidRPr="007C7852">
        <w:t>e</w:t>
      </w:r>
      <w:r w:rsidRPr="00C55982">
        <w:t xml:space="preserve"> </w:t>
      </w:r>
      <w:r w:rsidRPr="007C7852">
        <w:t>o</w:t>
      </w:r>
      <w:r w:rsidRPr="00C55982">
        <w:t>mitted</w:t>
      </w:r>
      <w:r w:rsidRPr="007C7852">
        <w:t>.</w:t>
      </w:r>
      <w:r w:rsidRPr="00C55982">
        <w:t xml:space="preserve"> A </w:t>
      </w:r>
      <w:r w:rsidRPr="007C7852">
        <w:t>mo</w:t>
      </w:r>
      <w:r w:rsidRPr="00C55982">
        <w:t>r</w:t>
      </w:r>
      <w:r w:rsidRPr="007C7852">
        <w:t>e fo</w:t>
      </w:r>
      <w:r w:rsidRPr="00C55982">
        <w:t>c</w:t>
      </w:r>
      <w:r w:rsidRPr="007C7852">
        <w:t>u</w:t>
      </w:r>
      <w:r w:rsidRPr="00C55982">
        <w:t>se</w:t>
      </w:r>
      <w:r w:rsidRPr="007C7852">
        <w:t>d</w:t>
      </w:r>
      <w:r w:rsidRPr="00C55982">
        <w:t xml:space="preserve"> a</w:t>
      </w:r>
      <w:r w:rsidRPr="007C7852">
        <w:t>na</w:t>
      </w:r>
      <w:r w:rsidRPr="00C55982">
        <w:t>lytica</w:t>
      </w:r>
      <w:r w:rsidRPr="007C7852">
        <w:t>l</w:t>
      </w:r>
      <w:r w:rsidRPr="00C55982">
        <w:t xml:space="preserve"> </w:t>
      </w:r>
      <w:r w:rsidRPr="007C7852">
        <w:t>o</w:t>
      </w:r>
      <w:r w:rsidRPr="00C55982">
        <w:t>r</w:t>
      </w:r>
      <w:r w:rsidRPr="007C7852">
        <w:t>d</w:t>
      </w:r>
      <w:r w:rsidRPr="00C55982">
        <w:t>eri</w:t>
      </w:r>
      <w:r w:rsidRPr="007C7852">
        <w:t>ng</w:t>
      </w:r>
      <w:r w:rsidRPr="00C55982">
        <w:t xml:space="preserve"> o</w:t>
      </w:r>
      <w:r w:rsidRPr="007C7852">
        <w:t>f</w:t>
      </w:r>
      <w:r w:rsidRPr="00C55982">
        <w:t xml:space="preserve"> t</w:t>
      </w:r>
      <w:r w:rsidRPr="007C7852">
        <w:t>he</w:t>
      </w:r>
      <w:r w:rsidRPr="00C55982">
        <w:t>m</w:t>
      </w:r>
      <w:r w:rsidRPr="007C7852">
        <w:t>es</w:t>
      </w:r>
      <w:r w:rsidRPr="00C55982">
        <w:t xml:space="preserve"> </w:t>
      </w:r>
      <w:r w:rsidRPr="007C7852">
        <w:t>and</w:t>
      </w:r>
      <w:r w:rsidRPr="00C55982">
        <w:t xml:space="preserve"> was then undertaken. </w:t>
      </w:r>
      <w:r>
        <w:t>Finally, exemplars were identified to illustrate the different themes and sub-themes relatin</w:t>
      </w:r>
      <w:r w:rsidR="003F09E6">
        <w:t>g to the treatment experience. Identifying information such as town or suburb has been removed from the exemplars and the name of the AOD agencies providing the PIT has been replaced with generic labels such as ‘AOD service A’.</w:t>
      </w:r>
      <w:r w:rsidR="00F30CA5">
        <w:t xml:space="preserve"> Pseudonyms have been used in the three case studies. </w:t>
      </w:r>
    </w:p>
    <w:p w:rsidR="00695555" w:rsidRPr="000C59D5" w:rsidRDefault="00695555" w:rsidP="00695555">
      <w:pPr>
        <w:keepNext/>
        <w:keepLines/>
        <w:numPr>
          <w:ilvl w:val="1"/>
          <w:numId w:val="0"/>
        </w:numPr>
        <w:spacing w:before="120" w:after="120" w:line="240" w:lineRule="auto"/>
        <w:outlineLvl w:val="1"/>
        <w:rPr>
          <w:rFonts w:ascii="Cambria" w:eastAsia="SimSun" w:hAnsi="Cambria"/>
          <w:bCs/>
          <w:i/>
          <w:sz w:val="24"/>
          <w:szCs w:val="24"/>
        </w:rPr>
      </w:pPr>
      <w:r w:rsidRPr="000C59D5">
        <w:rPr>
          <w:rFonts w:ascii="Cambria" w:eastAsia="SimSun" w:hAnsi="Cambria"/>
          <w:bCs/>
          <w:i/>
          <w:sz w:val="24"/>
          <w:szCs w:val="24"/>
        </w:rPr>
        <w:t xml:space="preserve">Structure </w:t>
      </w:r>
    </w:p>
    <w:p w:rsidR="00695555" w:rsidRPr="00130442" w:rsidRDefault="00695555" w:rsidP="00695555">
      <w:pPr>
        <w:rPr>
          <w:lang w:val="en-GB"/>
        </w:rPr>
      </w:pPr>
      <w:r>
        <w:rPr>
          <w:lang w:val="en-GB"/>
        </w:rPr>
        <w:t>Qualitative interview findings are presented in four</w:t>
      </w:r>
      <w:r w:rsidRPr="00130442">
        <w:rPr>
          <w:lang w:val="en-GB"/>
        </w:rPr>
        <w:t xml:space="preserve"> broad sections</w:t>
      </w:r>
      <w:r>
        <w:rPr>
          <w:lang w:val="en-GB"/>
        </w:rPr>
        <w:t xml:space="preserve"> (see Appendix 2.5 for interview schedule):</w:t>
      </w:r>
    </w:p>
    <w:p w:rsidR="00695555" w:rsidRPr="00801471" w:rsidRDefault="00695555" w:rsidP="00695555">
      <w:pPr>
        <w:pStyle w:val="ListParagraph"/>
        <w:numPr>
          <w:ilvl w:val="0"/>
          <w:numId w:val="18"/>
        </w:numPr>
        <w:spacing w:before="0" w:line="276" w:lineRule="auto"/>
        <w:rPr>
          <w:rFonts w:asciiTheme="minorHAnsi" w:hAnsiTheme="minorHAnsi"/>
          <w:sz w:val="22"/>
          <w:lang w:val="en-US"/>
        </w:rPr>
      </w:pPr>
      <w:r w:rsidRPr="00801471">
        <w:rPr>
          <w:rFonts w:asciiTheme="minorHAnsi" w:hAnsiTheme="minorHAnsi"/>
          <w:sz w:val="22"/>
          <w:lang w:val="en-US"/>
        </w:rPr>
        <w:t>Entry into PIT and the treatment experience</w:t>
      </w:r>
    </w:p>
    <w:p w:rsidR="00695555" w:rsidRPr="00801471" w:rsidRDefault="00695555" w:rsidP="00695555">
      <w:pPr>
        <w:pStyle w:val="ListParagraph"/>
        <w:numPr>
          <w:ilvl w:val="0"/>
          <w:numId w:val="18"/>
        </w:numPr>
        <w:spacing w:before="0" w:line="276" w:lineRule="auto"/>
        <w:rPr>
          <w:rFonts w:asciiTheme="minorHAnsi" w:hAnsiTheme="minorHAnsi"/>
          <w:sz w:val="22"/>
          <w:lang w:val="en-US"/>
        </w:rPr>
      </w:pPr>
      <w:r w:rsidRPr="00801471">
        <w:rPr>
          <w:rFonts w:asciiTheme="minorHAnsi" w:hAnsiTheme="minorHAnsi"/>
          <w:sz w:val="22"/>
          <w:lang w:val="en-US"/>
        </w:rPr>
        <w:t xml:space="preserve">Continuity of care and service links </w:t>
      </w:r>
    </w:p>
    <w:p w:rsidR="00695555" w:rsidRPr="00801471" w:rsidRDefault="00695555" w:rsidP="00695555">
      <w:pPr>
        <w:pStyle w:val="ListParagraph"/>
        <w:numPr>
          <w:ilvl w:val="0"/>
          <w:numId w:val="18"/>
        </w:numPr>
        <w:spacing w:before="0" w:line="276" w:lineRule="auto"/>
        <w:rPr>
          <w:rFonts w:asciiTheme="minorHAnsi" w:hAnsiTheme="minorHAnsi"/>
          <w:sz w:val="22"/>
          <w:lang w:val="en-US"/>
        </w:rPr>
      </w:pPr>
      <w:r w:rsidRPr="00801471">
        <w:rPr>
          <w:rFonts w:asciiTheme="minorHAnsi" w:hAnsiTheme="minorHAnsi"/>
          <w:sz w:val="22"/>
          <w:lang w:val="en-US"/>
        </w:rPr>
        <w:t xml:space="preserve">Barriers </w:t>
      </w:r>
    </w:p>
    <w:p w:rsidR="00695555" w:rsidRPr="00801471" w:rsidRDefault="00695555" w:rsidP="00695555">
      <w:pPr>
        <w:pStyle w:val="ListParagraph"/>
        <w:numPr>
          <w:ilvl w:val="0"/>
          <w:numId w:val="18"/>
        </w:numPr>
        <w:spacing w:before="0" w:line="276" w:lineRule="auto"/>
        <w:rPr>
          <w:rFonts w:asciiTheme="minorHAnsi" w:hAnsiTheme="minorHAnsi"/>
          <w:sz w:val="22"/>
          <w:lang w:val="en-US"/>
        </w:rPr>
      </w:pPr>
      <w:r w:rsidRPr="00801471">
        <w:rPr>
          <w:rFonts w:asciiTheme="minorHAnsi" w:hAnsiTheme="minorHAnsi"/>
          <w:sz w:val="22"/>
          <w:lang w:val="en-US"/>
        </w:rPr>
        <w:t xml:space="preserve">Areas for improvement </w:t>
      </w:r>
    </w:p>
    <w:p w:rsidR="003C21FE" w:rsidRPr="00AB347C" w:rsidRDefault="003C21FE" w:rsidP="00173B16">
      <w:pPr>
        <w:pStyle w:val="FAREH2Nbr"/>
      </w:pPr>
      <w:bookmarkStart w:id="136" w:name="_Toc398105048"/>
      <w:r w:rsidRPr="00AB347C">
        <w:t>Entry into PIT and the experience of treatment</w:t>
      </w:r>
      <w:bookmarkEnd w:id="136"/>
      <w:r w:rsidRPr="00AB347C">
        <w:t xml:space="preserve"> </w:t>
      </w:r>
    </w:p>
    <w:p w:rsidR="00695555" w:rsidRPr="00E420CE" w:rsidRDefault="00695555" w:rsidP="00695555">
      <w:pPr>
        <w:keepNext/>
        <w:keepLines/>
        <w:spacing w:before="120" w:after="120"/>
        <w:outlineLvl w:val="1"/>
        <w:rPr>
          <w:u w:val="single"/>
        </w:rPr>
      </w:pPr>
      <w:r w:rsidRPr="00A26E20">
        <w:rPr>
          <w:rFonts w:ascii="Cambria" w:eastAsia="SimSun" w:hAnsi="Cambria"/>
          <w:bCs/>
          <w:i/>
          <w:sz w:val="24"/>
          <w:szCs w:val="24"/>
        </w:rPr>
        <w:t xml:space="preserve">AOD </w:t>
      </w:r>
      <w:r>
        <w:rPr>
          <w:rFonts w:ascii="Cambria" w:eastAsia="SimSun" w:hAnsi="Cambria"/>
          <w:bCs/>
          <w:i/>
          <w:sz w:val="24"/>
          <w:szCs w:val="24"/>
        </w:rPr>
        <w:t>treatment prior to PIT</w:t>
      </w:r>
      <w:r w:rsidRPr="00A26E20">
        <w:rPr>
          <w:rFonts w:ascii="Cambria" w:eastAsia="SimSun" w:hAnsi="Cambria"/>
          <w:bCs/>
          <w:i/>
          <w:sz w:val="24"/>
          <w:szCs w:val="24"/>
        </w:rPr>
        <w:t xml:space="preserve"> </w:t>
      </w:r>
    </w:p>
    <w:p w:rsidR="00695555" w:rsidRDefault="00695555" w:rsidP="00695555">
      <w:pPr>
        <w:pStyle w:val="FAREnormaltext"/>
      </w:pPr>
      <w:r>
        <w:t>For the majority of participants, the PIT was not their fi</w:t>
      </w:r>
      <w:r w:rsidR="003F09E6">
        <w:t>rst experience of AOD treatment</w:t>
      </w:r>
      <w:r>
        <w:t xml:space="preserve">, as they had previously engaged in one or more forms of AOD treatment such as counselling, typically from a specialist AOD service, inpatient withdrawal </w:t>
      </w:r>
      <w:r w:rsidR="003F09E6">
        <w:t xml:space="preserve">or residential rehabilitation. </w:t>
      </w:r>
      <w:r>
        <w:t xml:space="preserve">Furthermore, events leading to participants’ initial and subsequent contacts with AOD services were occasionally reported and reflected the ‘4 Ls model’ of harm, which </w:t>
      </w:r>
      <w:r w:rsidR="003F09E6">
        <w:t xml:space="preserve">often </w:t>
      </w:r>
      <w:r>
        <w:t xml:space="preserve">bring cases into treatment (i.e., liver, lover, livelihood, and law; Roizen and </w:t>
      </w:r>
      <w:proofErr w:type="spellStart"/>
      <w:r>
        <w:t>Weisner</w:t>
      </w:r>
      <w:proofErr w:type="spellEnd"/>
      <w:r>
        <w:t xml:space="preserve">, 1979). </w:t>
      </w:r>
    </w:p>
    <w:p w:rsidR="00695555" w:rsidRPr="00D82A4E" w:rsidRDefault="00695555" w:rsidP="00695555">
      <w:pPr>
        <w:ind w:left="720"/>
        <w:rPr>
          <w:rFonts w:asciiTheme="minorHAnsi" w:hAnsiTheme="minorHAnsi"/>
          <w:i/>
        </w:rPr>
      </w:pPr>
      <w:r w:rsidRPr="00D82A4E">
        <w:rPr>
          <w:rFonts w:asciiTheme="minorHAnsi" w:hAnsiTheme="minorHAnsi"/>
          <w:i/>
        </w:rPr>
        <w:t xml:space="preserve">Then I stopped seeing her and about two months later, which isn't - but yeah, had a bit of psychotic episode and then got into trouble with the law and had a car accident. </w:t>
      </w:r>
      <w:proofErr w:type="gramStart"/>
      <w:r w:rsidRPr="00D82A4E">
        <w:rPr>
          <w:rFonts w:asciiTheme="minorHAnsi" w:hAnsiTheme="minorHAnsi"/>
          <w:i/>
        </w:rPr>
        <w:t>Yeah, lost my relationship and the house, that wasn't good.</w:t>
      </w:r>
      <w:proofErr w:type="gramEnd"/>
      <w:r w:rsidRPr="00D82A4E">
        <w:rPr>
          <w:rFonts w:asciiTheme="minorHAnsi" w:hAnsiTheme="minorHAnsi"/>
          <w:i/>
        </w:rPr>
        <w:t xml:space="preserve"> I didn't realise how much it was keeping me</w:t>
      </w:r>
      <w:r>
        <w:rPr>
          <w:rFonts w:asciiTheme="minorHAnsi" w:hAnsiTheme="minorHAnsi"/>
          <w:i/>
        </w:rPr>
        <w:t xml:space="preserve"> in check, just seeing someone (Interviewee 38)</w:t>
      </w:r>
      <w:r w:rsidRPr="00D82A4E">
        <w:rPr>
          <w:rFonts w:asciiTheme="minorHAnsi" w:hAnsiTheme="minorHAnsi"/>
          <w:i/>
        </w:rPr>
        <w:t>.</w:t>
      </w:r>
    </w:p>
    <w:p w:rsidR="00695555" w:rsidRPr="00C451C3" w:rsidRDefault="00695555" w:rsidP="00695555">
      <w:pPr>
        <w:keepNext/>
        <w:keepLines/>
        <w:spacing w:before="120" w:after="120"/>
        <w:outlineLvl w:val="1"/>
        <w:rPr>
          <w:rFonts w:ascii="Cambria" w:eastAsia="SimSun" w:hAnsi="Cambria"/>
          <w:bCs/>
          <w:i/>
          <w:sz w:val="24"/>
          <w:szCs w:val="24"/>
        </w:rPr>
      </w:pPr>
      <w:r w:rsidRPr="00C451C3">
        <w:rPr>
          <w:rFonts w:ascii="Cambria" w:eastAsia="SimSun" w:hAnsi="Cambria"/>
          <w:bCs/>
          <w:i/>
          <w:sz w:val="24"/>
          <w:szCs w:val="24"/>
        </w:rPr>
        <w:t xml:space="preserve">Level of complexity </w:t>
      </w:r>
    </w:p>
    <w:p w:rsidR="00695555" w:rsidRDefault="00695555" w:rsidP="00695555">
      <w:pPr>
        <w:pStyle w:val="FAREnormaltext"/>
      </w:pPr>
      <w:r>
        <w:t xml:space="preserve">Co-morbidities were common among the participants, as the majority indicated they had previous contact with a psychologist and/or psychiatrist. Reported mental health concerns ranged from </w:t>
      </w:r>
      <w:r>
        <w:lastRenderedPageBreak/>
        <w:t xml:space="preserve">psychotic disorders, such as schizophrenia, to </w:t>
      </w:r>
      <w:r w:rsidR="00B14E65">
        <w:t xml:space="preserve">depression and mood disorders. </w:t>
      </w:r>
      <w:r>
        <w:t>Some therapeutic relationships were long-</w:t>
      </w:r>
      <w:proofErr w:type="gramStart"/>
      <w:r>
        <w:t>standing,</w:t>
      </w:r>
      <w:proofErr w:type="gramEnd"/>
      <w:r>
        <w:t xml:space="preserve"> suggesting contact with mental health services pre-dated the PIT.</w:t>
      </w:r>
    </w:p>
    <w:p w:rsidR="00695555" w:rsidRDefault="00695555" w:rsidP="00695555">
      <w:pPr>
        <w:pStyle w:val="FAREnormaltext"/>
      </w:pPr>
      <w:r>
        <w:t xml:space="preserve">Contact with the prison system and/or housing services (to apply for stable housing) or homelessness services also indicates that the participants have multiple needs. While less common, some reported a recent history of domestic violence, and others indicated they had ongoing co-morbid health issues. As illustrated in the exemplar below, multiple issues experienced by participants are evident through their contact with a range of services and the cumulative impact of issues fluctuated over time, as issues tended to be present before and after PIT.  </w:t>
      </w:r>
    </w:p>
    <w:p w:rsidR="00695555" w:rsidRPr="00D82A4E" w:rsidRDefault="00695555" w:rsidP="00695555">
      <w:pPr>
        <w:ind w:left="720"/>
        <w:rPr>
          <w:rFonts w:asciiTheme="minorHAnsi" w:hAnsiTheme="minorHAnsi"/>
          <w:i/>
        </w:rPr>
      </w:pPr>
      <w:r w:rsidRPr="00D82A4E">
        <w:rPr>
          <w:rFonts w:asciiTheme="minorHAnsi" w:hAnsiTheme="minorHAnsi"/>
          <w:i/>
        </w:rPr>
        <w:t xml:space="preserve">I've got a </w:t>
      </w:r>
      <w:r>
        <w:rPr>
          <w:rFonts w:asciiTheme="minorHAnsi" w:hAnsiTheme="minorHAnsi"/>
          <w:i/>
        </w:rPr>
        <w:t>family support worker, b</w:t>
      </w:r>
      <w:r w:rsidRPr="00D82A4E">
        <w:rPr>
          <w:rFonts w:asciiTheme="minorHAnsi" w:hAnsiTheme="minorHAnsi"/>
          <w:i/>
        </w:rPr>
        <w:t xml:space="preserve">ut they're more early </w:t>
      </w:r>
      <w:r w:rsidR="00B14E65">
        <w:rPr>
          <w:rFonts w:asciiTheme="minorHAnsi" w:hAnsiTheme="minorHAnsi"/>
          <w:i/>
        </w:rPr>
        <w:t xml:space="preserve">intervention for the children. </w:t>
      </w:r>
      <w:r w:rsidRPr="00D82A4E">
        <w:rPr>
          <w:rFonts w:asciiTheme="minorHAnsi" w:hAnsiTheme="minorHAnsi"/>
          <w:i/>
        </w:rPr>
        <w:t>Now I've got a - I go to a women's centre who has an intense support worker that works more intensive</w:t>
      </w:r>
      <w:r w:rsidR="00B14E65">
        <w:rPr>
          <w:rFonts w:asciiTheme="minorHAnsi" w:hAnsiTheme="minorHAnsi"/>
          <w:i/>
        </w:rPr>
        <w:t xml:space="preserve">ly with myself. </w:t>
      </w:r>
      <w:r w:rsidRPr="00D82A4E">
        <w:rPr>
          <w:rFonts w:asciiTheme="minorHAnsi" w:hAnsiTheme="minorHAnsi"/>
          <w:i/>
        </w:rPr>
        <w:t>Then the house that I'm staying in at the moment</w:t>
      </w:r>
      <w:r>
        <w:rPr>
          <w:rFonts w:asciiTheme="minorHAnsi" w:hAnsiTheme="minorHAnsi"/>
          <w:i/>
        </w:rPr>
        <w:t>,</w:t>
      </w:r>
      <w:r w:rsidRPr="00D82A4E">
        <w:rPr>
          <w:rFonts w:asciiTheme="minorHAnsi" w:hAnsiTheme="minorHAnsi"/>
          <w:i/>
        </w:rPr>
        <w:t xml:space="preserve"> it's a DV house</w:t>
      </w:r>
      <w:r>
        <w:rPr>
          <w:rFonts w:asciiTheme="minorHAnsi" w:hAnsiTheme="minorHAnsi"/>
          <w:i/>
        </w:rPr>
        <w:t xml:space="preserve"> (i.e. domestic violence crisis accommodation service)</w:t>
      </w:r>
      <w:r w:rsidR="00B14E65">
        <w:rPr>
          <w:rFonts w:asciiTheme="minorHAnsi" w:hAnsiTheme="minorHAnsi"/>
          <w:i/>
        </w:rPr>
        <w:t xml:space="preserve"> s</w:t>
      </w:r>
      <w:r w:rsidRPr="00D82A4E">
        <w:rPr>
          <w:rFonts w:asciiTheme="minorHAnsi" w:hAnsiTheme="minorHAnsi"/>
          <w:i/>
        </w:rPr>
        <w:t>o I've got</w:t>
      </w:r>
      <w:r w:rsidR="00B14E65">
        <w:rPr>
          <w:rFonts w:asciiTheme="minorHAnsi" w:hAnsiTheme="minorHAnsi"/>
          <w:i/>
        </w:rPr>
        <w:t xml:space="preserve"> a housing worker though them. </w:t>
      </w:r>
      <w:r w:rsidRPr="00D82A4E">
        <w:rPr>
          <w:rFonts w:asciiTheme="minorHAnsi" w:hAnsiTheme="minorHAnsi"/>
          <w:i/>
        </w:rPr>
        <w:t xml:space="preserve">They monitor where I'm at on my housing list through the Government </w:t>
      </w:r>
      <w:r>
        <w:rPr>
          <w:rFonts w:asciiTheme="minorHAnsi" w:hAnsiTheme="minorHAnsi"/>
          <w:i/>
        </w:rPr>
        <w:t>(Interviewee 26).</w:t>
      </w:r>
    </w:p>
    <w:p w:rsidR="00695555" w:rsidRPr="00DD431D" w:rsidRDefault="00695555" w:rsidP="00695555">
      <w:pPr>
        <w:keepNext/>
        <w:keepLines/>
        <w:spacing w:before="120" w:after="120"/>
        <w:outlineLvl w:val="1"/>
        <w:rPr>
          <w:rFonts w:ascii="Cambria" w:eastAsia="SimSun" w:hAnsi="Cambria"/>
          <w:bCs/>
          <w:i/>
          <w:sz w:val="24"/>
          <w:szCs w:val="24"/>
        </w:rPr>
      </w:pPr>
      <w:r>
        <w:rPr>
          <w:rFonts w:ascii="Cambria" w:eastAsia="SimSun" w:hAnsi="Cambria"/>
          <w:bCs/>
          <w:i/>
          <w:sz w:val="24"/>
          <w:szCs w:val="24"/>
        </w:rPr>
        <w:t xml:space="preserve">Referral to PIT </w:t>
      </w:r>
      <w:r w:rsidRPr="00DD431D">
        <w:rPr>
          <w:rFonts w:ascii="Cambria" w:eastAsia="SimSun" w:hAnsi="Cambria"/>
          <w:bCs/>
          <w:i/>
          <w:sz w:val="24"/>
          <w:szCs w:val="24"/>
        </w:rPr>
        <w:t xml:space="preserve"> </w:t>
      </w:r>
    </w:p>
    <w:p w:rsidR="00695555" w:rsidRPr="00F456C9" w:rsidRDefault="00695555" w:rsidP="00695555">
      <w:pPr>
        <w:pStyle w:val="FAREnormaltext"/>
      </w:pPr>
      <w:r w:rsidRPr="00F456C9">
        <w:t>The referral pathway into the PIT was reflective of participants’ existing support networks</w:t>
      </w:r>
      <w:r>
        <w:t xml:space="preserve"> (e.g., mental health service, GP, AOD service)</w:t>
      </w:r>
      <w:r w:rsidRPr="00F456C9">
        <w:t xml:space="preserve"> and prior engagement with AOD</w:t>
      </w:r>
      <w:r>
        <w:t xml:space="preserve"> treatment</w:t>
      </w:r>
      <w:r w:rsidRPr="00F456C9">
        <w:t xml:space="preserve">. </w:t>
      </w:r>
      <w:r>
        <w:t>I</w:t>
      </w:r>
      <w:r w:rsidRPr="00F456C9">
        <w:t>nvolvement of a health worker, typically an AOD worker</w:t>
      </w:r>
      <w:r>
        <w:t>,</w:t>
      </w:r>
      <w:r w:rsidRPr="00F456C9">
        <w:t xml:space="preserve"> was common and the support came in many forms</w:t>
      </w:r>
      <w:r>
        <w:t>,</w:t>
      </w:r>
      <w:r w:rsidRPr="00F456C9">
        <w:t xml:space="preserve"> from making the referral on behalf of the participant, and in some cases providing transportation to and from the PIT</w:t>
      </w:r>
      <w:r>
        <w:t>,</w:t>
      </w:r>
      <w:r w:rsidRPr="00F456C9">
        <w:t xml:space="preserve"> to exploring treatment options with the participant and providing ongoing support. </w:t>
      </w:r>
    </w:p>
    <w:p w:rsidR="00695555" w:rsidRPr="00DD431D" w:rsidRDefault="00695555" w:rsidP="00695555">
      <w:pPr>
        <w:ind w:left="720"/>
        <w:rPr>
          <w:rFonts w:asciiTheme="minorHAnsi" w:hAnsiTheme="minorHAnsi"/>
          <w:i/>
        </w:rPr>
      </w:pPr>
      <w:r w:rsidRPr="00DD431D">
        <w:rPr>
          <w:rFonts w:asciiTheme="minorHAnsi" w:hAnsiTheme="minorHAnsi"/>
          <w:i/>
        </w:rPr>
        <w:t>[Interviewer: So can you tell me the good things, if any, about your ex</w:t>
      </w:r>
      <w:r>
        <w:rPr>
          <w:rFonts w:asciiTheme="minorHAnsi" w:hAnsiTheme="minorHAnsi"/>
          <w:i/>
        </w:rPr>
        <w:t>perience accessing the inpatient withdrawal unit</w:t>
      </w:r>
      <w:r w:rsidRPr="00DD431D">
        <w:rPr>
          <w:rFonts w:asciiTheme="minorHAnsi" w:hAnsiTheme="minorHAnsi"/>
          <w:i/>
        </w:rPr>
        <w:t>] It was very easy going. Yeah it was all done for me so I was really lucky in that sort of sense. I'm not sure, if I was</w:t>
      </w:r>
      <w:r>
        <w:rPr>
          <w:rFonts w:asciiTheme="minorHAnsi" w:hAnsiTheme="minorHAnsi"/>
          <w:i/>
        </w:rPr>
        <w:t xml:space="preserve"> on my own it'd be a bit harder, </w:t>
      </w:r>
      <w:r w:rsidRPr="00DD431D">
        <w:rPr>
          <w:rFonts w:asciiTheme="minorHAnsi" w:hAnsiTheme="minorHAnsi"/>
          <w:i/>
        </w:rPr>
        <w:t>but yeah it was very straightforward and they all organised it for me. So all I had to do was turn up, so that was really good, yeah (</w:t>
      </w:r>
      <w:r>
        <w:rPr>
          <w:rFonts w:asciiTheme="minorHAnsi" w:hAnsiTheme="minorHAnsi"/>
          <w:i/>
        </w:rPr>
        <w:t>Interviewee 24</w:t>
      </w:r>
      <w:r w:rsidRPr="00DD431D">
        <w:rPr>
          <w:rFonts w:asciiTheme="minorHAnsi" w:hAnsiTheme="minorHAnsi"/>
          <w:i/>
        </w:rPr>
        <w:t>).</w:t>
      </w:r>
    </w:p>
    <w:p w:rsidR="00695555" w:rsidRDefault="00695555" w:rsidP="00695555">
      <w:pPr>
        <w:ind w:left="720"/>
        <w:rPr>
          <w:rFonts w:asciiTheme="minorHAnsi" w:hAnsiTheme="minorHAnsi"/>
          <w:i/>
        </w:rPr>
      </w:pPr>
      <w:r w:rsidRPr="00DD431D">
        <w:rPr>
          <w:rFonts w:asciiTheme="minorHAnsi" w:hAnsiTheme="minorHAnsi"/>
          <w:i/>
        </w:rPr>
        <w:t xml:space="preserve">My first experience was at </w:t>
      </w:r>
      <w:r>
        <w:rPr>
          <w:rFonts w:asciiTheme="minorHAnsi" w:hAnsiTheme="minorHAnsi"/>
          <w:i/>
        </w:rPr>
        <w:t>[AOD service E]</w:t>
      </w:r>
      <w:r w:rsidRPr="00DD431D">
        <w:rPr>
          <w:rFonts w:asciiTheme="minorHAnsi" w:hAnsiTheme="minorHAnsi"/>
          <w:i/>
        </w:rPr>
        <w:t xml:space="preserve">. I had talked through my - the full extent of my problem with my GP, and she had given me the phone number of </w:t>
      </w:r>
      <w:r>
        <w:rPr>
          <w:rFonts w:asciiTheme="minorHAnsi" w:hAnsiTheme="minorHAnsi"/>
          <w:i/>
        </w:rPr>
        <w:t>[AOD service E]</w:t>
      </w:r>
      <w:r w:rsidRPr="00DD431D">
        <w:rPr>
          <w:rFonts w:asciiTheme="minorHAnsi" w:hAnsiTheme="minorHAnsi"/>
          <w:i/>
        </w:rPr>
        <w:t xml:space="preserve"> </w:t>
      </w:r>
      <w:r w:rsidR="00B14E65">
        <w:rPr>
          <w:rFonts w:asciiTheme="minorHAnsi" w:hAnsiTheme="minorHAnsi"/>
          <w:i/>
        </w:rPr>
        <w:t>and</w:t>
      </w:r>
      <w:r w:rsidRPr="00DD431D">
        <w:rPr>
          <w:rFonts w:asciiTheme="minorHAnsi" w:hAnsiTheme="minorHAnsi"/>
          <w:i/>
        </w:rPr>
        <w:t xml:space="preserve"> they talked to me about detoxification...Yep. She [GP] said that she woul</w:t>
      </w:r>
      <w:r w:rsidR="00B14E65">
        <w:rPr>
          <w:rFonts w:asciiTheme="minorHAnsi" w:hAnsiTheme="minorHAnsi"/>
          <w:i/>
        </w:rPr>
        <w:t>d support me whether I wanted</w:t>
      </w:r>
      <w:r w:rsidRPr="00DD431D">
        <w:rPr>
          <w:rFonts w:asciiTheme="minorHAnsi" w:hAnsiTheme="minorHAnsi"/>
          <w:i/>
        </w:rPr>
        <w:t xml:space="preserve"> help with my drinking or not, and said this is a good first contact (</w:t>
      </w:r>
      <w:r>
        <w:rPr>
          <w:rFonts w:asciiTheme="minorHAnsi" w:hAnsiTheme="minorHAnsi"/>
          <w:i/>
        </w:rPr>
        <w:t>Interviewee 19</w:t>
      </w:r>
      <w:r w:rsidRPr="00DD431D">
        <w:rPr>
          <w:rFonts w:asciiTheme="minorHAnsi" w:hAnsiTheme="minorHAnsi"/>
          <w:i/>
        </w:rPr>
        <w:t>).</w:t>
      </w:r>
    </w:p>
    <w:p w:rsidR="00695555" w:rsidRPr="00F456C9" w:rsidRDefault="00695555" w:rsidP="00695555">
      <w:pPr>
        <w:pStyle w:val="FAREnormaltext"/>
      </w:pPr>
      <w:r w:rsidRPr="00F456C9">
        <w:t>Prior treatment experience and knowledge of the referral processes enabled other participants to self-refer to PIT. Furthermore, initiat</w:t>
      </w:r>
      <w:r>
        <w:t>ing contact with an AOD service</w:t>
      </w:r>
      <w:r w:rsidRPr="00F456C9">
        <w:t xml:space="preserve"> and organising supporting documentation</w:t>
      </w:r>
      <w:r>
        <w:t>,</w:t>
      </w:r>
      <w:r w:rsidRPr="00F456C9">
        <w:t xml:space="preserve"> such as a referral letter from a GP</w:t>
      </w:r>
      <w:r>
        <w:t>,</w:t>
      </w:r>
      <w:r w:rsidRPr="00F456C9">
        <w:t xml:space="preserve"> provided some participants with a sense of ownership.  </w:t>
      </w:r>
    </w:p>
    <w:p w:rsidR="00695555" w:rsidRPr="00F456C9" w:rsidRDefault="00695555" w:rsidP="00695555">
      <w:pPr>
        <w:ind w:left="720"/>
        <w:rPr>
          <w:rFonts w:asciiTheme="minorHAnsi" w:hAnsiTheme="minorHAnsi"/>
          <w:i/>
        </w:rPr>
      </w:pPr>
      <w:r w:rsidRPr="00F456C9">
        <w:rPr>
          <w:rFonts w:asciiTheme="minorHAnsi" w:hAnsiTheme="minorHAnsi"/>
          <w:i/>
        </w:rPr>
        <w:t>Well</w:t>
      </w:r>
      <w:r>
        <w:rPr>
          <w:rFonts w:asciiTheme="minorHAnsi" w:hAnsiTheme="minorHAnsi"/>
          <w:i/>
        </w:rPr>
        <w:t>,</w:t>
      </w:r>
      <w:r w:rsidRPr="00F456C9">
        <w:rPr>
          <w:rFonts w:asciiTheme="minorHAnsi" w:hAnsiTheme="minorHAnsi"/>
          <w:i/>
        </w:rPr>
        <w:t xml:space="preserve"> what I did was I had to make the phone call </w:t>
      </w:r>
      <w:r>
        <w:rPr>
          <w:rFonts w:asciiTheme="minorHAnsi" w:hAnsiTheme="minorHAnsi"/>
          <w:i/>
        </w:rPr>
        <w:t xml:space="preserve">[to the withdrawal unit] </w:t>
      </w:r>
      <w:r w:rsidRPr="00F456C9">
        <w:rPr>
          <w:rFonts w:asciiTheme="minorHAnsi" w:hAnsiTheme="minorHAnsi"/>
          <w:i/>
        </w:rPr>
        <w:t>and then let the counsellor I was seeing at the time</w:t>
      </w:r>
      <w:r>
        <w:rPr>
          <w:rFonts w:asciiTheme="minorHAnsi" w:hAnsiTheme="minorHAnsi"/>
          <w:i/>
        </w:rPr>
        <w:t xml:space="preserve"> [know]. </w:t>
      </w:r>
      <w:r w:rsidRPr="00F456C9">
        <w:rPr>
          <w:rFonts w:asciiTheme="minorHAnsi" w:hAnsiTheme="minorHAnsi"/>
          <w:i/>
        </w:rPr>
        <w:t xml:space="preserve"> I also had to get the referral from the doctor, oh god t</w:t>
      </w:r>
      <w:r w:rsidR="00B14E65">
        <w:rPr>
          <w:rFonts w:asciiTheme="minorHAnsi" w:hAnsiTheme="minorHAnsi"/>
          <w:i/>
        </w:rPr>
        <w:t xml:space="preserve">here was quite a bit involved. </w:t>
      </w:r>
      <w:r w:rsidRPr="00F456C9">
        <w:rPr>
          <w:rFonts w:asciiTheme="minorHAnsi" w:hAnsiTheme="minorHAnsi"/>
          <w:i/>
        </w:rPr>
        <w:t>But I managed - second time was a lot easier than the first time, the second time</w:t>
      </w:r>
      <w:r w:rsidR="00B95EC6">
        <w:rPr>
          <w:rFonts w:asciiTheme="minorHAnsi" w:hAnsiTheme="minorHAnsi"/>
          <w:i/>
        </w:rPr>
        <w:t xml:space="preserve"> I organised a lot more myself.</w:t>
      </w:r>
      <w:r w:rsidRPr="00F456C9">
        <w:rPr>
          <w:rFonts w:asciiTheme="minorHAnsi" w:hAnsiTheme="minorHAnsi"/>
          <w:i/>
        </w:rPr>
        <w:t xml:space="preserve"> Because I wanted to do it myself and I was keen to do it the second time (</w:t>
      </w:r>
      <w:r>
        <w:rPr>
          <w:rFonts w:asciiTheme="minorHAnsi" w:hAnsiTheme="minorHAnsi"/>
          <w:i/>
        </w:rPr>
        <w:t>Interviewee 27</w:t>
      </w:r>
      <w:r w:rsidRPr="00F456C9">
        <w:rPr>
          <w:rFonts w:asciiTheme="minorHAnsi" w:hAnsiTheme="minorHAnsi"/>
          <w:i/>
        </w:rPr>
        <w:t xml:space="preserve">). </w:t>
      </w:r>
    </w:p>
    <w:p w:rsidR="00695555" w:rsidRPr="00F456C9" w:rsidRDefault="00695555" w:rsidP="00695555">
      <w:pPr>
        <w:pStyle w:val="FAREnormaltext"/>
      </w:pPr>
      <w:r>
        <w:lastRenderedPageBreak/>
        <w:t>Information on a</w:t>
      </w:r>
      <w:r w:rsidRPr="00F456C9">
        <w:t xml:space="preserve">wareness of treatment services was also sourced through family and friends and </w:t>
      </w:r>
      <w:r>
        <w:t xml:space="preserve">the </w:t>
      </w:r>
      <w:r w:rsidRPr="00F456C9">
        <w:t xml:space="preserve">participants’ own research. </w:t>
      </w:r>
      <w:r>
        <w:t>P</w:t>
      </w:r>
      <w:r w:rsidRPr="00F456C9">
        <w:t xml:space="preserve">articipants tended to be less familiar with the AOD system and had fewer formal supports. </w:t>
      </w:r>
      <w:r>
        <w:t xml:space="preserve">Few </w:t>
      </w:r>
      <w:r w:rsidRPr="00F456C9">
        <w:t>reported that their referral to PIT was the result</w:t>
      </w:r>
      <w:r>
        <w:t xml:space="preserve"> of a mandated </w:t>
      </w:r>
      <w:r w:rsidR="00B95EC6">
        <w:t>court order</w:t>
      </w:r>
      <w:r>
        <w:t>.</w:t>
      </w:r>
    </w:p>
    <w:p w:rsidR="00695555" w:rsidRPr="00096E6B" w:rsidRDefault="00695555" w:rsidP="00695555">
      <w:pPr>
        <w:keepNext/>
        <w:keepLines/>
        <w:spacing w:before="120" w:after="120"/>
        <w:outlineLvl w:val="1"/>
        <w:rPr>
          <w:rFonts w:ascii="Cambria" w:eastAsia="SimSun" w:hAnsi="Cambria"/>
          <w:bCs/>
          <w:i/>
          <w:sz w:val="24"/>
          <w:szCs w:val="24"/>
        </w:rPr>
      </w:pPr>
      <w:r w:rsidRPr="00096E6B">
        <w:rPr>
          <w:rFonts w:ascii="Cambria" w:eastAsia="SimSun" w:hAnsi="Cambria"/>
          <w:bCs/>
          <w:i/>
          <w:sz w:val="24"/>
          <w:szCs w:val="24"/>
        </w:rPr>
        <w:t>Entry and admission into PIT</w:t>
      </w:r>
    </w:p>
    <w:p w:rsidR="00695555" w:rsidRPr="00F456C9" w:rsidRDefault="00695555" w:rsidP="00695555">
      <w:pPr>
        <w:pStyle w:val="FAREnormaltext"/>
      </w:pPr>
      <w:r w:rsidRPr="00F456C9">
        <w:t>For most participants</w:t>
      </w:r>
      <w:r>
        <w:t>,</w:t>
      </w:r>
      <w:r w:rsidRPr="00F456C9">
        <w:t xml:space="preserve"> entry into PIT was straightforward</w:t>
      </w:r>
      <w:r>
        <w:t>,</w:t>
      </w:r>
      <w:r w:rsidRPr="00F456C9">
        <w:t xml:space="preserve"> with completing forms and attending assessment interviews considered a standard component of the admission process.</w:t>
      </w:r>
      <w:r>
        <w:t xml:space="preserve"> </w:t>
      </w:r>
      <w:r w:rsidRPr="00F456C9">
        <w:t xml:space="preserve">Prior treatment experience enabled </w:t>
      </w:r>
      <w:r>
        <w:t>them</w:t>
      </w:r>
      <w:r w:rsidRPr="00F456C9">
        <w:t xml:space="preserve"> to navigate the AOD system and organise a package of care, such as inpatient withdrawal followed by long-term residential treatment. For these participants, waiting lists were </w:t>
      </w:r>
      <w:r>
        <w:t>a</w:t>
      </w:r>
      <w:r w:rsidRPr="00F456C9">
        <w:t xml:space="preserve"> source of frustration, and often required </w:t>
      </w:r>
      <w:r>
        <w:t>them</w:t>
      </w:r>
      <w:r w:rsidRPr="00F456C9">
        <w:t xml:space="preserve"> to frequently contact the service regarding an admission date. For some participants, making regular contact with a service demonstrated their level of commitment</w:t>
      </w:r>
      <w:r>
        <w:t xml:space="preserve"> and/or level of need</w:t>
      </w:r>
      <w:r w:rsidRPr="00F456C9">
        <w:t xml:space="preserve">.  </w:t>
      </w:r>
    </w:p>
    <w:p w:rsidR="00695555" w:rsidRPr="00D27F05" w:rsidRDefault="00695555" w:rsidP="00695555">
      <w:pPr>
        <w:ind w:left="720"/>
        <w:rPr>
          <w:rFonts w:asciiTheme="minorHAnsi" w:hAnsiTheme="minorHAnsi"/>
          <w:i/>
        </w:rPr>
      </w:pPr>
      <w:r w:rsidRPr="00D27F05">
        <w:rPr>
          <w:rFonts w:asciiTheme="minorHAnsi" w:hAnsiTheme="minorHAnsi"/>
          <w:i/>
        </w:rPr>
        <w:t xml:space="preserve">Just the waiting list basically, it was really, really </w:t>
      </w:r>
      <w:r>
        <w:rPr>
          <w:rFonts w:asciiTheme="minorHAnsi" w:hAnsiTheme="minorHAnsi"/>
          <w:i/>
        </w:rPr>
        <w:t>‘</w:t>
      </w:r>
      <w:r w:rsidRPr="00D27F05">
        <w:rPr>
          <w:rFonts w:asciiTheme="minorHAnsi" w:hAnsiTheme="minorHAnsi"/>
          <w:i/>
        </w:rPr>
        <w:t>chockers</w:t>
      </w:r>
      <w:r>
        <w:rPr>
          <w:rFonts w:asciiTheme="minorHAnsi" w:hAnsiTheme="minorHAnsi"/>
          <w:i/>
        </w:rPr>
        <w:t>’</w:t>
      </w:r>
      <w:r w:rsidRPr="00D27F05">
        <w:rPr>
          <w:rFonts w:asciiTheme="minorHAnsi" w:hAnsiTheme="minorHAnsi"/>
          <w:i/>
        </w:rPr>
        <w:t xml:space="preserve"> when I tried to get t</w:t>
      </w:r>
      <w:r w:rsidR="00B95EC6">
        <w:rPr>
          <w:rFonts w:asciiTheme="minorHAnsi" w:hAnsiTheme="minorHAnsi"/>
          <w:i/>
        </w:rPr>
        <w:t xml:space="preserve">here. </w:t>
      </w:r>
      <w:r w:rsidRPr="00D27F05">
        <w:rPr>
          <w:rFonts w:asciiTheme="minorHAnsi" w:hAnsiTheme="minorHAnsi"/>
          <w:i/>
        </w:rPr>
        <w:t>It was quite disheartening</w:t>
      </w:r>
      <w:r>
        <w:rPr>
          <w:rFonts w:asciiTheme="minorHAnsi" w:hAnsiTheme="minorHAnsi"/>
          <w:i/>
        </w:rPr>
        <w:t>,</w:t>
      </w:r>
      <w:r w:rsidRPr="00D27F05">
        <w:rPr>
          <w:rFonts w:asciiTheme="minorHAnsi" w:hAnsiTheme="minorHAnsi"/>
          <w:i/>
        </w:rPr>
        <w:t xml:space="preserve"> you know.</w:t>
      </w:r>
      <w:r>
        <w:rPr>
          <w:rFonts w:asciiTheme="minorHAnsi" w:hAnsiTheme="minorHAnsi"/>
          <w:i/>
        </w:rPr>
        <w:t xml:space="preserve">... </w:t>
      </w:r>
      <w:r w:rsidRPr="00D27F05">
        <w:rPr>
          <w:rFonts w:asciiTheme="minorHAnsi" w:hAnsiTheme="minorHAnsi"/>
          <w:i/>
        </w:rPr>
        <w:t xml:space="preserve">Yeah, I think it was four or five months which is quite a long time. </w:t>
      </w:r>
      <w:r>
        <w:rPr>
          <w:rFonts w:asciiTheme="minorHAnsi" w:hAnsiTheme="minorHAnsi"/>
          <w:i/>
        </w:rPr>
        <w:t xml:space="preserve"> ...</w:t>
      </w:r>
      <w:r w:rsidR="00B95EC6">
        <w:rPr>
          <w:rFonts w:asciiTheme="minorHAnsi" w:hAnsiTheme="minorHAnsi"/>
          <w:i/>
        </w:rPr>
        <w:t>I</w:t>
      </w:r>
      <w:r w:rsidRPr="00D27F05">
        <w:rPr>
          <w:rFonts w:asciiTheme="minorHAnsi" w:hAnsiTheme="minorHAnsi"/>
          <w:i/>
        </w:rPr>
        <w:t xml:space="preserve"> con</w:t>
      </w:r>
      <w:r>
        <w:rPr>
          <w:rFonts w:asciiTheme="minorHAnsi" w:hAnsiTheme="minorHAnsi"/>
          <w:i/>
        </w:rPr>
        <w:t>tact[</w:t>
      </w:r>
      <w:proofErr w:type="spellStart"/>
      <w:proofErr w:type="gramStart"/>
      <w:r>
        <w:rPr>
          <w:rFonts w:asciiTheme="minorHAnsi" w:hAnsiTheme="minorHAnsi"/>
          <w:i/>
        </w:rPr>
        <w:t>ed</w:t>
      </w:r>
      <w:proofErr w:type="spellEnd"/>
      <w:proofErr w:type="gramEnd"/>
      <w:r>
        <w:rPr>
          <w:rFonts w:asciiTheme="minorHAnsi" w:hAnsiTheme="minorHAnsi"/>
          <w:i/>
        </w:rPr>
        <w:t xml:space="preserve"> them] at least once a fortnight.</w:t>
      </w:r>
      <w:r w:rsidRPr="00D27F05">
        <w:rPr>
          <w:rFonts w:asciiTheme="minorHAnsi" w:hAnsiTheme="minorHAnsi"/>
          <w:i/>
        </w:rPr>
        <w:t xml:space="preserve"> Towards the end</w:t>
      </w:r>
      <w:r>
        <w:rPr>
          <w:rFonts w:asciiTheme="minorHAnsi" w:hAnsiTheme="minorHAnsi"/>
          <w:i/>
        </w:rPr>
        <w:t xml:space="preserve"> I was ringing them every day (Interviewee 16). </w:t>
      </w:r>
    </w:p>
    <w:p w:rsidR="00695555" w:rsidRPr="006746C2" w:rsidRDefault="00695555" w:rsidP="00695555">
      <w:pPr>
        <w:pStyle w:val="FAREnormaltext"/>
      </w:pPr>
      <w:r>
        <w:t xml:space="preserve">Entry and admission into PIT often involved referrals between services within the same agency (i.e., intra service referrals) or referrals between two or more AOD agencies (i.e., inter service referrals). In many cases, intra-and-inter service referral processes were streamlined as assessment information was passed from one service to the next. </w:t>
      </w:r>
      <w:r w:rsidRPr="006746C2">
        <w:t>From the participant’s perspective this</w:t>
      </w:r>
      <w:r>
        <w:t xml:space="preserve"> reduced the need to repeat their story. Access to treatment was also facilitated by services providing or organising transport to take the participant from one treatment site to the next. </w:t>
      </w:r>
    </w:p>
    <w:p w:rsidR="00695555" w:rsidRDefault="00695555" w:rsidP="00695555">
      <w:pPr>
        <w:ind w:left="720"/>
        <w:rPr>
          <w:rFonts w:asciiTheme="minorHAnsi" w:hAnsiTheme="minorHAnsi"/>
          <w:i/>
        </w:rPr>
      </w:pPr>
      <w:r w:rsidRPr="0088723D">
        <w:rPr>
          <w:rFonts w:asciiTheme="minorHAnsi" w:hAnsiTheme="minorHAnsi"/>
          <w:i/>
        </w:rPr>
        <w:t>Well</w:t>
      </w:r>
      <w:r>
        <w:rPr>
          <w:rFonts w:asciiTheme="minorHAnsi" w:hAnsiTheme="minorHAnsi"/>
          <w:i/>
        </w:rPr>
        <w:t>,</w:t>
      </w:r>
      <w:r w:rsidRPr="0088723D">
        <w:rPr>
          <w:rFonts w:asciiTheme="minorHAnsi" w:hAnsiTheme="minorHAnsi"/>
          <w:i/>
        </w:rPr>
        <w:t xml:space="preserve"> I found with </w:t>
      </w:r>
      <w:r>
        <w:rPr>
          <w:rFonts w:asciiTheme="minorHAnsi" w:hAnsiTheme="minorHAnsi"/>
          <w:i/>
        </w:rPr>
        <w:t>[AOD service F]</w:t>
      </w:r>
      <w:r w:rsidR="000913E3">
        <w:rPr>
          <w:rFonts w:asciiTheme="minorHAnsi" w:hAnsiTheme="minorHAnsi"/>
          <w:i/>
        </w:rPr>
        <w:t xml:space="preserve"> </w:t>
      </w:r>
      <w:r w:rsidRPr="0088723D">
        <w:rPr>
          <w:rFonts w:asciiTheme="minorHAnsi" w:hAnsiTheme="minorHAnsi"/>
          <w:i/>
        </w:rPr>
        <w:t xml:space="preserve">that </w:t>
      </w:r>
      <w:r>
        <w:rPr>
          <w:rFonts w:asciiTheme="minorHAnsi" w:hAnsiTheme="minorHAnsi"/>
          <w:i/>
        </w:rPr>
        <w:t>program and then you go to the [AOD service G]</w:t>
      </w:r>
      <w:r w:rsidRPr="0088723D">
        <w:rPr>
          <w:rFonts w:asciiTheme="minorHAnsi" w:hAnsiTheme="minorHAnsi"/>
          <w:i/>
        </w:rPr>
        <w:t xml:space="preserve">.  I found that's a very good service, because what happens is you complete the six weeks and what they do is they personally drive you down </w:t>
      </w:r>
      <w:r>
        <w:rPr>
          <w:rFonts w:asciiTheme="minorHAnsi" w:hAnsiTheme="minorHAnsi"/>
          <w:i/>
        </w:rPr>
        <w:t>[AOD service F to AOD service G]..</w:t>
      </w:r>
      <w:r w:rsidR="00862D75">
        <w:rPr>
          <w:rFonts w:asciiTheme="minorHAnsi" w:hAnsiTheme="minorHAnsi"/>
          <w:i/>
        </w:rPr>
        <w:t>.T</w:t>
      </w:r>
      <w:r w:rsidRPr="0088723D">
        <w:rPr>
          <w:rFonts w:asciiTheme="minorHAnsi" w:hAnsiTheme="minorHAnsi"/>
          <w:i/>
        </w:rPr>
        <w:t xml:space="preserve">he process is </w:t>
      </w:r>
      <w:r w:rsidR="00862D75">
        <w:rPr>
          <w:rFonts w:asciiTheme="minorHAnsi" w:hAnsiTheme="minorHAnsi"/>
          <w:i/>
        </w:rPr>
        <w:t xml:space="preserve">[made] </w:t>
      </w:r>
      <w:r w:rsidRPr="0088723D">
        <w:rPr>
          <w:rFonts w:asciiTheme="minorHAnsi" w:hAnsiTheme="minorHAnsi"/>
          <w:i/>
        </w:rPr>
        <w:t>a lot easier, because you don't have to go through a</w:t>
      </w:r>
      <w:r>
        <w:rPr>
          <w:rFonts w:asciiTheme="minorHAnsi" w:hAnsiTheme="minorHAnsi"/>
          <w:i/>
        </w:rPr>
        <w:t xml:space="preserve">ll the paperwork and </w:t>
      </w:r>
      <w:r w:rsidRPr="0088723D">
        <w:rPr>
          <w:rFonts w:asciiTheme="minorHAnsi" w:hAnsiTheme="minorHAnsi"/>
          <w:i/>
        </w:rPr>
        <w:t>it's all linke</w:t>
      </w:r>
      <w:r w:rsidR="000128BD">
        <w:rPr>
          <w:rFonts w:asciiTheme="minorHAnsi" w:hAnsiTheme="minorHAnsi"/>
          <w:i/>
        </w:rPr>
        <w:t>d up</w:t>
      </w:r>
      <w:r w:rsidRPr="0088723D">
        <w:rPr>
          <w:rFonts w:asciiTheme="minorHAnsi" w:hAnsiTheme="minorHAnsi"/>
          <w:i/>
        </w:rPr>
        <w:t xml:space="preserve"> (</w:t>
      </w:r>
      <w:r>
        <w:rPr>
          <w:rFonts w:asciiTheme="minorHAnsi" w:hAnsiTheme="minorHAnsi"/>
          <w:i/>
        </w:rPr>
        <w:t>Interviewee 27</w:t>
      </w:r>
      <w:r w:rsidRPr="0088723D">
        <w:rPr>
          <w:rFonts w:asciiTheme="minorHAnsi" w:hAnsiTheme="minorHAnsi"/>
          <w:i/>
        </w:rPr>
        <w:t>).</w:t>
      </w:r>
    </w:p>
    <w:p w:rsidR="00695555" w:rsidRPr="00096E6B" w:rsidRDefault="00695555" w:rsidP="00695555">
      <w:pPr>
        <w:keepNext/>
        <w:keepLines/>
        <w:spacing w:before="120" w:after="120"/>
        <w:outlineLvl w:val="1"/>
        <w:rPr>
          <w:rFonts w:ascii="Cambria" w:eastAsia="SimSun" w:hAnsi="Cambria"/>
          <w:bCs/>
          <w:i/>
          <w:sz w:val="24"/>
          <w:szCs w:val="24"/>
        </w:rPr>
      </w:pPr>
      <w:r w:rsidRPr="00096E6B">
        <w:rPr>
          <w:rFonts w:ascii="Cambria" w:eastAsia="SimSun" w:hAnsi="Cambria"/>
          <w:bCs/>
          <w:i/>
          <w:sz w:val="24"/>
          <w:szCs w:val="24"/>
        </w:rPr>
        <w:t xml:space="preserve">Components of treatment received </w:t>
      </w:r>
    </w:p>
    <w:p w:rsidR="00695555" w:rsidRDefault="00695555" w:rsidP="00695555">
      <w:pPr>
        <w:pStyle w:val="FAREnormaltext"/>
      </w:pPr>
      <w:r w:rsidRPr="00ED2A52">
        <w:t>As part of the interview, participants were asked to describe what happened during treatment and if anything were missing from their treatment experience</w:t>
      </w:r>
      <w:r>
        <w:t xml:space="preserve">. This section is divided into two parts: inpatient and residential treatment, followed by outpatient treatment. </w:t>
      </w:r>
      <w:r w:rsidRPr="00ED2A52">
        <w:t xml:space="preserve"> </w:t>
      </w:r>
    </w:p>
    <w:p w:rsidR="00695555" w:rsidRDefault="00695555" w:rsidP="00695555">
      <w:pPr>
        <w:spacing w:after="120" w:line="240" w:lineRule="auto"/>
        <w:ind w:left="1191" w:hanging="1134"/>
        <w:jc w:val="both"/>
        <w:rPr>
          <w:b/>
          <w:lang w:val="en-GB"/>
        </w:rPr>
      </w:pPr>
      <w:r>
        <w:rPr>
          <w:b/>
        </w:rPr>
        <w:br w:type="page"/>
      </w:r>
    </w:p>
    <w:p w:rsidR="00695555" w:rsidRPr="00500D9C" w:rsidRDefault="00695555" w:rsidP="00695555">
      <w:pPr>
        <w:pStyle w:val="FAREnormaltext"/>
        <w:rPr>
          <w:b/>
        </w:rPr>
      </w:pPr>
      <w:r w:rsidRPr="00500D9C">
        <w:rPr>
          <w:b/>
        </w:rPr>
        <w:lastRenderedPageBreak/>
        <w:t>Inpatient and residential treatment</w:t>
      </w:r>
    </w:p>
    <w:p w:rsidR="00695555" w:rsidRPr="00ED2A52" w:rsidRDefault="00695555" w:rsidP="00695555">
      <w:pPr>
        <w:pStyle w:val="FAREnormaltext"/>
      </w:pPr>
      <w:r w:rsidRPr="00ED2A52">
        <w:t xml:space="preserve">For participants receiving </w:t>
      </w:r>
      <w:r>
        <w:t xml:space="preserve">acute </w:t>
      </w:r>
      <w:r w:rsidRPr="00ED2A52">
        <w:t>withdrawa</w:t>
      </w:r>
      <w:r>
        <w:t xml:space="preserve">l or residential rehabilitation, </w:t>
      </w:r>
      <w:r w:rsidRPr="00ED2A52">
        <w:t xml:space="preserve">the treatment experience reflected three main themes: </w:t>
      </w:r>
    </w:p>
    <w:p w:rsidR="00695555" w:rsidRPr="004148E5" w:rsidRDefault="00695555" w:rsidP="00695555">
      <w:pPr>
        <w:pStyle w:val="FAREdotpoints"/>
      </w:pPr>
      <w:r>
        <w:t>Supportive s</w:t>
      </w:r>
      <w:r w:rsidRPr="004148E5">
        <w:t>ervice environment</w:t>
      </w:r>
      <w:r>
        <w:t xml:space="preserve"> </w:t>
      </w:r>
    </w:p>
    <w:p w:rsidR="00695555" w:rsidRPr="004148E5" w:rsidRDefault="00695555" w:rsidP="00695555">
      <w:pPr>
        <w:pStyle w:val="FAREdotpoints"/>
      </w:pPr>
      <w:r>
        <w:t xml:space="preserve">Skills and insights gained from psycho-educational group work </w:t>
      </w:r>
    </w:p>
    <w:p w:rsidR="00695555" w:rsidRPr="004148E5" w:rsidRDefault="00695555" w:rsidP="00695555">
      <w:pPr>
        <w:pStyle w:val="FAREdotpoints"/>
      </w:pPr>
      <w:r w:rsidRPr="004148E5">
        <w:t xml:space="preserve">Learning from peers </w:t>
      </w:r>
    </w:p>
    <w:p w:rsidR="00695555" w:rsidRDefault="00695555" w:rsidP="00695555">
      <w:pPr>
        <w:rPr>
          <w:u w:val="single"/>
        </w:rPr>
      </w:pPr>
      <w:r>
        <w:rPr>
          <w:u w:val="single"/>
        </w:rPr>
        <w:t xml:space="preserve">Supportive service environment </w:t>
      </w:r>
    </w:p>
    <w:p w:rsidR="00695555" w:rsidRDefault="00695555" w:rsidP="00695555">
      <w:pPr>
        <w:pStyle w:val="FAREnormaltext"/>
      </w:pPr>
      <w:r>
        <w:t xml:space="preserve">‘Feeling safe’ was frequently mentioned by participants and this was typically attributed to the quality of care provided by clinicians, particular the management of withdrawal symptoms. The non-judgmental and respectful approach of staff also contributed to the treatment experience. </w:t>
      </w:r>
    </w:p>
    <w:p w:rsidR="00695555" w:rsidRDefault="00695555" w:rsidP="00695555">
      <w:pPr>
        <w:ind w:left="720"/>
        <w:rPr>
          <w:rFonts w:asciiTheme="minorHAnsi" w:hAnsiTheme="minorHAnsi"/>
          <w:i/>
        </w:rPr>
      </w:pPr>
      <w:r>
        <w:rPr>
          <w:rFonts w:asciiTheme="minorHAnsi" w:hAnsiTheme="minorHAnsi"/>
          <w:i/>
        </w:rPr>
        <w:t xml:space="preserve">Just the safety aspect, knowing that I was around people who knew what was going on really (Interviewee 18). </w:t>
      </w:r>
    </w:p>
    <w:p w:rsidR="00695555" w:rsidRDefault="00695555" w:rsidP="00695555">
      <w:pPr>
        <w:pStyle w:val="FAREnormaltext"/>
      </w:pPr>
      <w:r w:rsidRPr="00096E6B">
        <w:t>The communal living aspect of residential and inpatient treatment</w:t>
      </w:r>
      <w:r>
        <w:t xml:space="preserve">, such as sharing household responsibilities and eating together </w:t>
      </w:r>
      <w:r w:rsidRPr="00096E6B">
        <w:t>was viewed as a positive part of the treatment e</w:t>
      </w:r>
      <w:r>
        <w:t xml:space="preserve">xperience by many participants. For others, the structured nature of the residential program and the emphasis placed on developing a healthy daily routine was beneficial.  </w:t>
      </w:r>
    </w:p>
    <w:p w:rsidR="00695555" w:rsidRDefault="00695555" w:rsidP="00695555">
      <w:pPr>
        <w:ind w:left="720"/>
        <w:rPr>
          <w:rFonts w:asciiTheme="minorHAnsi" w:hAnsiTheme="minorHAnsi"/>
          <w:i/>
        </w:rPr>
      </w:pPr>
      <w:r w:rsidRPr="00F817ED">
        <w:rPr>
          <w:rFonts w:asciiTheme="minorHAnsi" w:hAnsiTheme="minorHAnsi"/>
          <w:i/>
        </w:rPr>
        <w:t xml:space="preserve">[Interviewer: So if someone asked you to describe what </w:t>
      </w:r>
      <w:proofErr w:type="gramStart"/>
      <w:r w:rsidRPr="00F817ED">
        <w:rPr>
          <w:rFonts w:asciiTheme="minorHAnsi" w:hAnsiTheme="minorHAnsi"/>
          <w:i/>
        </w:rPr>
        <w:t>happens</w:t>
      </w:r>
      <w:proofErr w:type="gramEnd"/>
      <w:r w:rsidRPr="00F817ED">
        <w:rPr>
          <w:rFonts w:asciiTheme="minorHAnsi" w:hAnsiTheme="minorHAnsi"/>
          <w:i/>
        </w:rPr>
        <w:t xml:space="preserve"> in </w:t>
      </w:r>
      <w:r>
        <w:rPr>
          <w:rFonts w:asciiTheme="minorHAnsi" w:hAnsiTheme="minorHAnsi"/>
          <w:i/>
        </w:rPr>
        <w:t>[residential rehabilitation]</w:t>
      </w:r>
      <w:r w:rsidRPr="00F817ED">
        <w:rPr>
          <w:rFonts w:asciiTheme="minorHAnsi" w:hAnsiTheme="minorHAnsi"/>
          <w:i/>
        </w:rPr>
        <w:t xml:space="preserve"> what would you tell them?</w:t>
      </w:r>
      <w:r>
        <w:rPr>
          <w:rFonts w:asciiTheme="minorHAnsi" w:hAnsiTheme="minorHAnsi"/>
          <w:i/>
        </w:rPr>
        <w:t>]</w:t>
      </w:r>
      <w:r w:rsidR="000913E3">
        <w:rPr>
          <w:rFonts w:asciiTheme="minorHAnsi" w:hAnsiTheme="minorHAnsi"/>
          <w:i/>
        </w:rPr>
        <w:t xml:space="preserve"> It's quite life changing. </w:t>
      </w:r>
      <w:r w:rsidRPr="00F817ED">
        <w:rPr>
          <w:rFonts w:asciiTheme="minorHAnsi" w:hAnsiTheme="minorHAnsi"/>
          <w:i/>
        </w:rPr>
        <w:t>They teach you basic boundaries and life skills, like cooking and getting up early in the morning, even to hanging your towel up, m</w:t>
      </w:r>
      <w:r w:rsidR="000913E3">
        <w:rPr>
          <w:rFonts w:asciiTheme="minorHAnsi" w:hAnsiTheme="minorHAnsi"/>
          <w:i/>
        </w:rPr>
        <w:t xml:space="preserve">aking your bed. </w:t>
      </w:r>
      <w:proofErr w:type="gramStart"/>
      <w:r w:rsidRPr="00F817ED">
        <w:rPr>
          <w:rFonts w:asciiTheme="minorHAnsi" w:hAnsiTheme="minorHAnsi"/>
          <w:i/>
        </w:rPr>
        <w:t>Just things that when you're on drugs you kind of lose th</w:t>
      </w:r>
      <w:r w:rsidR="000913E3">
        <w:rPr>
          <w:rFonts w:asciiTheme="minorHAnsi" w:hAnsiTheme="minorHAnsi"/>
          <w:i/>
        </w:rPr>
        <w:t>at from when you were a child.</w:t>
      </w:r>
      <w:proofErr w:type="gramEnd"/>
      <w:r w:rsidR="000913E3">
        <w:rPr>
          <w:rFonts w:asciiTheme="minorHAnsi" w:hAnsiTheme="minorHAnsi"/>
          <w:i/>
        </w:rPr>
        <w:t xml:space="preserve"> Which I think is fantastic. </w:t>
      </w:r>
      <w:r w:rsidRPr="00F817ED">
        <w:rPr>
          <w:rFonts w:asciiTheme="minorHAnsi" w:hAnsiTheme="minorHAnsi"/>
          <w:i/>
        </w:rPr>
        <w:t xml:space="preserve">Then comes the personal growth and it's </w:t>
      </w:r>
      <w:proofErr w:type="gramStart"/>
      <w:r w:rsidRPr="00F817ED">
        <w:rPr>
          <w:rFonts w:asciiTheme="minorHAnsi" w:hAnsiTheme="minorHAnsi"/>
          <w:i/>
        </w:rPr>
        <w:t>very</w:t>
      </w:r>
      <w:proofErr w:type="gramEnd"/>
      <w:r w:rsidRPr="00F817ED">
        <w:rPr>
          <w:rFonts w:asciiTheme="minorHAnsi" w:hAnsiTheme="minorHAnsi"/>
          <w:i/>
        </w:rPr>
        <w:t xml:space="preserve"> protected in there, so it's quite innocent and real, if you know what I mean. [So they helped you to get organised?]. </w:t>
      </w:r>
      <w:proofErr w:type="gramStart"/>
      <w:r w:rsidRPr="00F817ED">
        <w:rPr>
          <w:rFonts w:asciiTheme="minorHAnsi" w:hAnsiTheme="minorHAnsi"/>
          <w:i/>
        </w:rPr>
        <w:t>Yeah, de</w:t>
      </w:r>
      <w:r w:rsidR="000913E3">
        <w:rPr>
          <w:rFonts w:asciiTheme="minorHAnsi" w:hAnsiTheme="minorHAnsi"/>
          <w:i/>
        </w:rPr>
        <w:t>finitely.</w:t>
      </w:r>
      <w:proofErr w:type="gramEnd"/>
      <w:r w:rsidR="000913E3">
        <w:rPr>
          <w:rFonts w:asciiTheme="minorHAnsi" w:hAnsiTheme="minorHAnsi"/>
          <w:i/>
        </w:rPr>
        <w:t xml:space="preserve"> </w:t>
      </w:r>
      <w:proofErr w:type="gramStart"/>
      <w:r>
        <w:rPr>
          <w:rFonts w:asciiTheme="minorHAnsi" w:hAnsiTheme="minorHAnsi"/>
          <w:i/>
        </w:rPr>
        <w:t>In the real world (Interviewee 20).</w:t>
      </w:r>
      <w:proofErr w:type="gramEnd"/>
    </w:p>
    <w:p w:rsidR="00695555" w:rsidRDefault="00695555" w:rsidP="00695555">
      <w:pPr>
        <w:pStyle w:val="FAREnormaltext"/>
        <w:rPr>
          <w:rFonts w:asciiTheme="minorHAnsi" w:hAnsiTheme="minorHAnsi"/>
          <w:i/>
        </w:rPr>
      </w:pPr>
      <w:r>
        <w:t xml:space="preserve">For some participants, a positive group dynamic within the inpatient unit or residential service was associated with a supportive environment, which led to most participants engaging in various activities. </w:t>
      </w:r>
    </w:p>
    <w:p w:rsidR="00695555" w:rsidRPr="00A80295" w:rsidRDefault="00A83DA9" w:rsidP="00695555">
      <w:pPr>
        <w:rPr>
          <w:u w:val="single"/>
        </w:rPr>
      </w:pPr>
      <w:r>
        <w:rPr>
          <w:u w:val="single"/>
        </w:rPr>
        <w:t xml:space="preserve">Benefits </w:t>
      </w:r>
      <w:r w:rsidR="00695555">
        <w:rPr>
          <w:u w:val="single"/>
        </w:rPr>
        <w:t>from p</w:t>
      </w:r>
      <w:r w:rsidR="00695555" w:rsidRPr="00A80295">
        <w:rPr>
          <w:u w:val="single"/>
        </w:rPr>
        <w:t xml:space="preserve">sycho-educational group work </w:t>
      </w:r>
    </w:p>
    <w:p w:rsidR="00695555" w:rsidRPr="00A9003D" w:rsidRDefault="00695555" w:rsidP="00695555">
      <w:pPr>
        <w:pStyle w:val="FAREnormaltext"/>
      </w:pPr>
      <w:r w:rsidRPr="00CD3FFE">
        <w:t xml:space="preserve">According to participants, residential treatment was structured around </w:t>
      </w:r>
      <w:r>
        <w:t xml:space="preserve">psycho-educational </w:t>
      </w:r>
      <w:r w:rsidRPr="00CD3FFE">
        <w:t>group-</w:t>
      </w:r>
      <w:r>
        <w:t>work (e.g., r</w:t>
      </w:r>
      <w:r w:rsidRPr="00CD3FFE">
        <w:t>elapse prevention</w:t>
      </w:r>
      <w:r>
        <w:t xml:space="preserve">, mindfulness, behaviour management, reflective learning, </w:t>
      </w:r>
      <w:proofErr w:type="gramStart"/>
      <w:r>
        <w:t>goal</w:t>
      </w:r>
      <w:proofErr w:type="gramEnd"/>
      <w:r>
        <w:t xml:space="preserve"> setting) </w:t>
      </w:r>
      <w:r w:rsidRPr="00CD3FFE">
        <w:t>as</w:t>
      </w:r>
      <w:r>
        <w:t xml:space="preserve"> well as physical and creative activities</w:t>
      </w:r>
      <w:r w:rsidRPr="00CD3FFE">
        <w:t>.</w:t>
      </w:r>
      <w:r w:rsidR="0034684A">
        <w:t xml:space="preserve"> </w:t>
      </w:r>
      <w:r>
        <w:t xml:space="preserve">These activities were associated with personal growth and increased awareness. </w:t>
      </w:r>
    </w:p>
    <w:p w:rsidR="00695555" w:rsidRPr="00CD3FFE" w:rsidRDefault="00695555" w:rsidP="00695555">
      <w:pPr>
        <w:ind w:left="720"/>
        <w:rPr>
          <w:rFonts w:asciiTheme="minorHAnsi" w:hAnsiTheme="minorHAnsi"/>
          <w:i/>
        </w:rPr>
      </w:pPr>
      <w:r w:rsidRPr="00CD3FFE">
        <w:rPr>
          <w:rFonts w:asciiTheme="minorHAnsi" w:hAnsiTheme="minorHAnsi"/>
          <w:i/>
        </w:rPr>
        <w:t>I'd say it was a lot of learning - you know, learning about drugs and what they do to you. Sort of like why you take them. Sort of like learning about triggers and stuff like that and learning about yourself. So I'd s</w:t>
      </w:r>
      <w:r>
        <w:rPr>
          <w:rFonts w:asciiTheme="minorHAnsi" w:hAnsiTheme="minorHAnsi"/>
          <w:i/>
        </w:rPr>
        <w:t>ay it's a big learning thing (Interviewee 32).</w:t>
      </w:r>
    </w:p>
    <w:p w:rsidR="00695555" w:rsidRDefault="00695555" w:rsidP="00695555">
      <w:pPr>
        <w:pStyle w:val="FAREnormaltext"/>
      </w:pPr>
      <w:r>
        <w:t xml:space="preserve">A number of participants indicated that the communal living and range of activities undertaken during inpatient or residential treatment may not align with everyone’s preferred way of learning or </w:t>
      </w:r>
      <w:r>
        <w:lastRenderedPageBreak/>
        <w:t xml:space="preserve">personality but there was a sense that it is up to the individual to take what they can from the experience. Furthermore, some found the intensity of the group session confronting as participants disclosed personal challenges or difficulties. </w:t>
      </w:r>
    </w:p>
    <w:p w:rsidR="00695555" w:rsidRPr="008B1A06" w:rsidRDefault="00695555" w:rsidP="00695555">
      <w:pPr>
        <w:ind w:left="720"/>
        <w:rPr>
          <w:rFonts w:asciiTheme="minorHAnsi" w:hAnsiTheme="minorHAnsi"/>
          <w:i/>
        </w:rPr>
      </w:pPr>
      <w:r w:rsidRPr="008B1A06">
        <w:rPr>
          <w:rFonts w:asciiTheme="minorHAnsi" w:hAnsiTheme="minorHAnsi"/>
          <w:i/>
        </w:rPr>
        <w:t xml:space="preserve">There was a lot of group work and sometimes it became a bit </w:t>
      </w:r>
      <w:r>
        <w:rPr>
          <w:rFonts w:asciiTheme="minorHAnsi" w:hAnsiTheme="minorHAnsi"/>
          <w:i/>
        </w:rPr>
        <w:t>‘</w:t>
      </w:r>
      <w:r w:rsidRPr="008B1A06">
        <w:rPr>
          <w:rFonts w:asciiTheme="minorHAnsi" w:hAnsiTheme="minorHAnsi"/>
          <w:i/>
        </w:rPr>
        <w:t>full</w:t>
      </w:r>
      <w:r>
        <w:rPr>
          <w:rFonts w:asciiTheme="minorHAnsi" w:hAnsiTheme="minorHAnsi"/>
          <w:i/>
        </w:rPr>
        <w:t>-</w:t>
      </w:r>
      <w:r w:rsidRPr="008B1A06">
        <w:rPr>
          <w:rFonts w:asciiTheme="minorHAnsi" w:hAnsiTheme="minorHAnsi"/>
          <w:i/>
        </w:rPr>
        <w:t>on</w:t>
      </w:r>
      <w:r>
        <w:rPr>
          <w:rFonts w:asciiTheme="minorHAnsi" w:hAnsiTheme="minorHAnsi"/>
          <w:i/>
        </w:rPr>
        <w:t>’</w:t>
      </w:r>
      <w:r w:rsidRPr="008B1A06">
        <w:rPr>
          <w:rFonts w:asciiTheme="minorHAnsi" w:hAnsiTheme="minorHAnsi"/>
          <w:i/>
        </w:rPr>
        <w:t>, but</w:t>
      </w:r>
      <w:r>
        <w:rPr>
          <w:rFonts w:asciiTheme="minorHAnsi" w:hAnsiTheme="minorHAnsi"/>
          <w:i/>
        </w:rPr>
        <w:t>,</w:t>
      </w:r>
      <w:r w:rsidRPr="008B1A06">
        <w:rPr>
          <w:rFonts w:asciiTheme="minorHAnsi" w:hAnsiTheme="minorHAnsi"/>
          <w:i/>
        </w:rPr>
        <w:t xml:space="preserve"> overall</w:t>
      </w:r>
      <w:r>
        <w:rPr>
          <w:rFonts w:asciiTheme="minorHAnsi" w:hAnsiTheme="minorHAnsi"/>
          <w:i/>
        </w:rPr>
        <w:t>,</w:t>
      </w:r>
      <w:r w:rsidRPr="008B1A06">
        <w:rPr>
          <w:rFonts w:asciiTheme="minorHAnsi" w:hAnsiTheme="minorHAnsi"/>
          <w:i/>
        </w:rPr>
        <w:t xml:space="preserve"> it was a really good program. [Interviewer:  A bit full on, okay]. The subjects - I don't know. Emotionally intense, I suppose? </w:t>
      </w:r>
      <w:proofErr w:type="gramStart"/>
      <w:r w:rsidRPr="008B1A06">
        <w:rPr>
          <w:rFonts w:asciiTheme="minorHAnsi" w:hAnsiTheme="minorHAnsi"/>
          <w:i/>
        </w:rPr>
        <w:t>Either for myself or for other people, watching what other people had been through.</w:t>
      </w:r>
      <w:proofErr w:type="gramEnd"/>
      <w:r w:rsidRPr="008B1A06">
        <w:rPr>
          <w:rFonts w:asciiTheme="minorHAnsi" w:hAnsiTheme="minorHAnsi"/>
          <w:i/>
        </w:rPr>
        <w:t xml:space="preserve"> Having to face up to issues and deal with things (</w:t>
      </w:r>
      <w:r>
        <w:rPr>
          <w:rFonts w:asciiTheme="minorHAnsi" w:hAnsiTheme="minorHAnsi"/>
          <w:i/>
        </w:rPr>
        <w:t>Interviewee 38</w:t>
      </w:r>
      <w:r w:rsidRPr="008B1A06">
        <w:rPr>
          <w:rFonts w:asciiTheme="minorHAnsi" w:hAnsiTheme="minorHAnsi"/>
          <w:i/>
        </w:rPr>
        <w:t xml:space="preserve">). </w:t>
      </w:r>
    </w:p>
    <w:p w:rsidR="00695555" w:rsidRDefault="000913E3" w:rsidP="00695555">
      <w:pPr>
        <w:pStyle w:val="FAREnormaltext"/>
      </w:pPr>
      <w:r>
        <w:t xml:space="preserve">Individual counselling was considered a beneficial component of residential rehabilitation </w:t>
      </w:r>
      <w:r w:rsidR="009061BD">
        <w:t xml:space="preserve">and </w:t>
      </w:r>
      <w:r w:rsidR="00695555">
        <w:t xml:space="preserve">few participants mentioned that one-to-one counselling was available during inpatient withdrawal; however this was not part of the regular program. Others mentioned that staff was generally responsive to requests for a private discussion. </w:t>
      </w:r>
    </w:p>
    <w:p w:rsidR="00695555" w:rsidRDefault="00695555" w:rsidP="00695555">
      <w:pPr>
        <w:rPr>
          <w:u w:val="single"/>
        </w:rPr>
      </w:pPr>
      <w:r>
        <w:rPr>
          <w:u w:val="single"/>
        </w:rPr>
        <w:t>L</w:t>
      </w:r>
      <w:r w:rsidRPr="00844976">
        <w:rPr>
          <w:u w:val="single"/>
        </w:rPr>
        <w:t>earning from peers</w:t>
      </w:r>
    </w:p>
    <w:p w:rsidR="00695555" w:rsidRDefault="00695555" w:rsidP="00695555">
      <w:pPr>
        <w:pStyle w:val="FAREnormaltext"/>
      </w:pPr>
      <w:r>
        <w:t xml:space="preserve">The opportunity to learn about and engage with self-help groups such as AA and to a lesser degree, other mutual aid programs was provided during inpatient withdrawal and residential rehabilitation. According to most participants, attending group activities, including self-help meetings such as AA was a compulsory part of residential rehabilitation; however it was also encouraged in inpatient withdrawal units. Learning from peers in recovery was valuable for many participants in terms of exploring new options of support and generating a sense of hope that recovery was achievable. In contrast, a small number of participants found the concepts of AA confusing and did not benefit from the sessions. </w:t>
      </w:r>
    </w:p>
    <w:p w:rsidR="00695555" w:rsidRDefault="00695555" w:rsidP="00695555">
      <w:pPr>
        <w:ind w:left="720"/>
        <w:rPr>
          <w:rFonts w:asciiTheme="minorHAnsi" w:hAnsiTheme="minorHAnsi"/>
          <w:i/>
        </w:rPr>
      </w:pPr>
      <w:r w:rsidRPr="00357C10">
        <w:rPr>
          <w:rFonts w:asciiTheme="minorHAnsi" w:hAnsiTheme="minorHAnsi"/>
          <w:i/>
        </w:rPr>
        <w:t xml:space="preserve"> [Intervi</w:t>
      </w:r>
      <w:r>
        <w:rPr>
          <w:rFonts w:asciiTheme="minorHAnsi" w:hAnsiTheme="minorHAnsi"/>
          <w:i/>
        </w:rPr>
        <w:t>ewer: In terms of the activities,</w:t>
      </w:r>
      <w:r w:rsidRPr="00357C10">
        <w:rPr>
          <w:rFonts w:asciiTheme="minorHAnsi" w:hAnsiTheme="minorHAnsi"/>
          <w:i/>
        </w:rPr>
        <w:t xml:space="preserve"> though</w:t>
      </w:r>
      <w:r>
        <w:rPr>
          <w:rFonts w:asciiTheme="minorHAnsi" w:hAnsiTheme="minorHAnsi"/>
          <w:i/>
        </w:rPr>
        <w:t>,</w:t>
      </w:r>
      <w:r w:rsidRPr="00357C10">
        <w:rPr>
          <w:rFonts w:asciiTheme="minorHAnsi" w:hAnsiTheme="minorHAnsi"/>
          <w:i/>
        </w:rPr>
        <w:t xml:space="preserve"> was there any one in particular or a couple of particular activities that were really good or...] </w:t>
      </w:r>
      <w:proofErr w:type="gramStart"/>
      <w:r w:rsidRPr="00357C10">
        <w:rPr>
          <w:rFonts w:asciiTheme="minorHAnsi" w:hAnsiTheme="minorHAnsi"/>
          <w:i/>
        </w:rPr>
        <w:t>Possibly the ones where the people came in and shared their experiences [NA].</w:t>
      </w:r>
      <w:proofErr w:type="gramEnd"/>
      <w:r w:rsidRPr="00357C10">
        <w:rPr>
          <w:rFonts w:asciiTheme="minorHAnsi" w:hAnsiTheme="minorHAnsi"/>
          <w:i/>
        </w:rPr>
        <w:t xml:space="preserve">  Yeah because when they came in and were talking about their experiences it helped us feel like, well people have done it and you can see how far they've come in life now and it gave us that, encouraged to want to be stro</w:t>
      </w:r>
      <w:r>
        <w:rPr>
          <w:rFonts w:asciiTheme="minorHAnsi" w:hAnsiTheme="minorHAnsi"/>
          <w:i/>
        </w:rPr>
        <w:t>ng and know that we can do it (Interviewee 28).</w:t>
      </w:r>
    </w:p>
    <w:p w:rsidR="00695555" w:rsidRDefault="00695555" w:rsidP="00695555">
      <w:pPr>
        <w:pStyle w:val="FAREnormaltext"/>
      </w:pPr>
      <w:r>
        <w:t xml:space="preserve">Sharing the treatment experience with others was a key benefit of the treatment for many participants. </w:t>
      </w:r>
      <w:r w:rsidRPr="00096E6B">
        <w:t>For some</w:t>
      </w:r>
      <w:r>
        <w:t>,</w:t>
      </w:r>
      <w:r w:rsidRPr="00096E6B">
        <w:t xml:space="preserve"> it helped normalise their addiction, and other</w:t>
      </w:r>
      <w:r>
        <w:t>s</w:t>
      </w:r>
      <w:r w:rsidRPr="00096E6B">
        <w:t xml:space="preserve"> drew strength from fellow clients</w:t>
      </w:r>
      <w:r>
        <w:t>.</w:t>
      </w:r>
    </w:p>
    <w:p w:rsidR="00695555" w:rsidRDefault="00695555" w:rsidP="00695555">
      <w:pPr>
        <w:ind w:left="720"/>
        <w:rPr>
          <w:rFonts w:asciiTheme="minorHAnsi" w:hAnsiTheme="minorHAnsi"/>
          <w:i/>
        </w:rPr>
      </w:pPr>
      <w:r w:rsidRPr="00605CFC">
        <w:rPr>
          <w:rFonts w:asciiTheme="minorHAnsi" w:hAnsiTheme="minorHAnsi"/>
          <w:i/>
        </w:rPr>
        <w:t>I think you cope better together, or I find that I do. Yeah you share experiences and that sort of thing. If I was to go there alone I think I'd struggle a bit more</w:t>
      </w:r>
      <w:r>
        <w:rPr>
          <w:rFonts w:asciiTheme="minorHAnsi" w:hAnsiTheme="minorHAnsi"/>
          <w:i/>
        </w:rPr>
        <w:t xml:space="preserve"> because I was going on my own (Interviewee 22).</w:t>
      </w:r>
    </w:p>
    <w:p w:rsidR="00695555" w:rsidRPr="00500D9C" w:rsidRDefault="00695555" w:rsidP="00695555">
      <w:pPr>
        <w:rPr>
          <w:b/>
        </w:rPr>
      </w:pPr>
      <w:r w:rsidRPr="00500D9C">
        <w:rPr>
          <w:b/>
        </w:rPr>
        <w:t>Outpatient treatment</w:t>
      </w:r>
      <w:r>
        <w:rPr>
          <w:b/>
        </w:rPr>
        <w:t>: Having access to someone to talk to</w:t>
      </w:r>
      <w:r w:rsidRPr="00500D9C">
        <w:rPr>
          <w:b/>
        </w:rPr>
        <w:t xml:space="preserve"> </w:t>
      </w:r>
    </w:p>
    <w:p w:rsidR="00695555" w:rsidRDefault="00695555" w:rsidP="00695555">
      <w:pPr>
        <w:pStyle w:val="FAREnormaltext"/>
      </w:pPr>
      <w:r>
        <w:t xml:space="preserve">‘Having someone to talk to’ was regarded as one of the main benefits of outpatient counselling. Similar to inpatient services, learning techniques to modify behaviour (e.g., managing cravings), mindfulness techniques, anger management and goal setting were common elements of the treatment experience. While participants were generally satisfied with the treatment they received and found the experience to be beneficial, some indicated that it was often difficult to apply the </w:t>
      </w:r>
      <w:r>
        <w:lastRenderedPageBreak/>
        <w:t xml:space="preserve">techniques on an ongoing basis. This was also a factor for participants receiving inpatient or residential treatment. </w:t>
      </w:r>
    </w:p>
    <w:p w:rsidR="00DA1FAE" w:rsidRPr="00DA1FAE" w:rsidRDefault="00DA1FAE" w:rsidP="00DA1FAE">
      <w:pPr>
        <w:pStyle w:val="FAREnormaltext"/>
        <w:ind w:left="567"/>
        <w:rPr>
          <w:rFonts w:asciiTheme="minorHAnsi" w:hAnsiTheme="minorHAnsi"/>
          <w:i/>
          <w:lang w:val="en-AU"/>
        </w:rPr>
      </w:pPr>
      <w:proofErr w:type="gramStart"/>
      <w:r w:rsidRPr="00DA1FAE">
        <w:rPr>
          <w:rFonts w:asciiTheme="minorHAnsi" w:hAnsiTheme="minorHAnsi"/>
          <w:i/>
          <w:lang w:val="en-AU"/>
        </w:rPr>
        <w:t>Just talking with my counsellor about my issues.</w:t>
      </w:r>
      <w:proofErr w:type="gramEnd"/>
      <w:r w:rsidRPr="00DA1FAE">
        <w:rPr>
          <w:rFonts w:asciiTheme="minorHAnsi" w:hAnsiTheme="minorHAnsi"/>
          <w:i/>
          <w:lang w:val="en-AU"/>
        </w:rPr>
        <w:t xml:space="preserve"> It's something that - with heroin addiction, it's the reason I use heroin, so I didn't have to think and talk about my problems and issues. I'd buried my problems for so long it was just helpful to be able to talk to someone who was wanting to listen to my problems, and able to give me steps and provide me with tools that I can use to overcome my issues (Interviewee 3).</w:t>
      </w:r>
    </w:p>
    <w:p w:rsidR="00695555" w:rsidRPr="00535D8F" w:rsidRDefault="00695555" w:rsidP="00695555">
      <w:r w:rsidRPr="00535D8F">
        <w:t xml:space="preserve">The following case study illustrates a successful AOD treatment experience including entry into treatment </w:t>
      </w:r>
    </w:p>
    <w:p w:rsidR="00695555" w:rsidRDefault="00695555" w:rsidP="00695555">
      <w:pPr>
        <w:rPr>
          <w:b/>
          <w:bCs/>
        </w:rPr>
      </w:pPr>
      <w:r>
        <w:rPr>
          <w:b/>
          <w:bCs/>
        </w:rPr>
        <w:t>Case study 1: Successful AOD treatment experience</w:t>
      </w:r>
    </w:p>
    <w:tbl>
      <w:tblPr>
        <w:tblStyle w:val="TableGrid"/>
        <w:tblW w:w="9275" w:type="dxa"/>
        <w:tblLook w:val="04A0" w:firstRow="1" w:lastRow="0" w:firstColumn="1" w:lastColumn="0" w:noHBand="0" w:noVBand="1"/>
        <w:tblCaption w:val="Case study 1: Successful AOD treatment experience"/>
        <w:tblDescription w:val="Case study 1: Successful AOD treatment experience"/>
      </w:tblPr>
      <w:tblGrid>
        <w:gridCol w:w="9275"/>
      </w:tblGrid>
      <w:tr w:rsidR="00695555" w:rsidTr="00046CCA">
        <w:trPr>
          <w:trHeight w:val="6556"/>
          <w:tblHeader/>
        </w:trPr>
        <w:tc>
          <w:tcPr>
            <w:tcW w:w="9275" w:type="dxa"/>
          </w:tcPr>
          <w:p w:rsidR="00695555" w:rsidRDefault="00695555" w:rsidP="00695555">
            <w:r>
              <w:t>Alex was aged between 20 and 25 and lived in a regional city and had been using alcohol and cannabis for a number of years. However recently his use had increased and he was experiencing significant relationship, health and financial problems ‘I was starting to spiral out of control and I was hitting rock bottom’.</w:t>
            </w:r>
            <w:r w:rsidR="00680E9A">
              <w:t xml:space="preserve"> </w:t>
            </w:r>
            <w:r>
              <w:t>Alex realised he needed help and contacted a community health centre.</w:t>
            </w:r>
            <w:r w:rsidR="00680E9A">
              <w:t xml:space="preserve"> </w:t>
            </w:r>
            <w:r>
              <w:t xml:space="preserve"> Alex started to see an alcohol and drug counsellor and together they discussed possible treatment options including residential rehabilitation.</w:t>
            </w:r>
            <w:r w:rsidR="00680E9A">
              <w:t xml:space="preserve"> </w:t>
            </w:r>
            <w:r>
              <w:t>Apart from general counselling, Alex had not received AOD treatment before and he was unsure if he wanted to go to rehab.</w:t>
            </w:r>
            <w:r w:rsidR="00F30CA5">
              <w:t xml:space="preserve"> </w:t>
            </w:r>
            <w:r>
              <w:t xml:space="preserve"> After a few more counselling sessions, and encouragement from the AOD counsellor, Alex decided he had nothing to lose ‘I woke up and I thought no, this is it. This is my time to go and do it’.  The AOD counsellor contacted the residential rehabilitation and arranged an initial meeting and a plan was developed which included inpatient withdrawal, and transportation from the inpatient withdrawal unit to the rehabilitation. </w:t>
            </w:r>
            <w:r w:rsidR="00D03276">
              <w:t>For Alex, a</w:t>
            </w:r>
            <w:r w:rsidR="00F30CA5">
              <w:t xml:space="preserve">ccess was timely and </w:t>
            </w:r>
            <w:proofErr w:type="gramStart"/>
            <w:r w:rsidR="00F30CA5">
              <w:t xml:space="preserve">streamlined </w:t>
            </w:r>
            <w:r w:rsidR="00D03276">
              <w:t xml:space="preserve"> -</w:t>
            </w:r>
            <w:proofErr w:type="gramEnd"/>
            <w:r w:rsidR="00D03276">
              <w:t xml:space="preserve"> </w:t>
            </w:r>
            <w:r>
              <w:t xml:space="preserve"> ‘All up, entry into treatment was easy as the AOD counsellor and reha</w:t>
            </w:r>
            <w:r w:rsidR="00AF7C01">
              <w:t>b service organised everything’</w:t>
            </w:r>
            <w:r>
              <w:t xml:space="preserve">. Following inpatient withdrawal, Alex spent two months in residential rehabilitation.  </w:t>
            </w:r>
            <w:r w:rsidR="00D03276">
              <w:t>T</w:t>
            </w:r>
            <w:r>
              <w:t xml:space="preserve">reatment provided </w:t>
            </w:r>
            <w:r w:rsidR="00D03276">
              <w:t xml:space="preserve">Alex with </w:t>
            </w:r>
            <w:r>
              <w:t xml:space="preserve">an opportunity to learn about the adverse effects of drugs and address different areas in his life which were sources of stress (e.g. financial and relationship issues). As </w:t>
            </w:r>
            <w:r w:rsidR="00D03276">
              <w:t xml:space="preserve">he </w:t>
            </w:r>
            <w:r>
              <w:t xml:space="preserve">said:  ‘I was getting every aspect of my life sorted out whilst living there.  Like I’m talking financial advice, relationships – I’m talking lots of things – and I mean every area’.  In addition, Alex developed a healthy routine including morning exercise and an interest in various creative activities like song writing.  This provided </w:t>
            </w:r>
            <w:r w:rsidR="00D03276">
              <w:t xml:space="preserve">him </w:t>
            </w:r>
            <w:r>
              <w:t xml:space="preserve">with a new sense of motivation and confidence as he ‘wanted to excel in life and get somewhere and not be a </w:t>
            </w:r>
            <w:proofErr w:type="gramStart"/>
            <w:r>
              <w:t>nobody</w:t>
            </w:r>
            <w:proofErr w:type="gramEnd"/>
            <w:r>
              <w:t>’.</w:t>
            </w:r>
            <w:r w:rsidR="00AF7C01">
              <w:t xml:space="preserve"> </w:t>
            </w:r>
            <w:r>
              <w:t xml:space="preserve"> Alex had regular contact with his family during his stay in residential rehabilitation and this contact was a great source of support. </w:t>
            </w:r>
          </w:p>
          <w:p w:rsidR="00695555" w:rsidRPr="000F03B0" w:rsidRDefault="00695555" w:rsidP="00695555">
            <w:r>
              <w:t>Post treatment completion, Alex received a number of follow-up calls from the residential rehabilitation.  The follow-up calls were useful as they reminded Alex of what he had achieved. According to Alex, the calls ‘just [confirmed in the back of your head], you’re not going to go back down that pathway, unless you want to end up back there and go through all the shit that you’ve already been through’. After leaving rehabilitation, he re-engaged with his AOD counsellor as a way of closing his treatment journey.  Alex also resumed his apprenticeship and secured a new job.</w:t>
            </w:r>
          </w:p>
        </w:tc>
      </w:tr>
    </w:tbl>
    <w:p w:rsidR="00695555" w:rsidRDefault="00695555" w:rsidP="00695555">
      <w:pPr>
        <w:rPr>
          <w:rFonts w:asciiTheme="minorHAnsi" w:eastAsiaTheme="minorEastAsia" w:hAnsiTheme="minorHAnsi" w:cstheme="minorBidi"/>
          <w:u w:val="single"/>
          <w:lang w:eastAsia="en-AU"/>
        </w:rPr>
      </w:pPr>
    </w:p>
    <w:p w:rsidR="00A83DA9" w:rsidRDefault="00A83DA9">
      <w:pPr>
        <w:spacing w:after="120" w:line="240" w:lineRule="auto"/>
        <w:ind w:left="1191" w:hanging="1134"/>
        <w:jc w:val="both"/>
        <w:rPr>
          <w:rFonts w:eastAsia="Times New Roman"/>
          <w:b/>
          <w:bCs/>
          <w:noProof/>
          <w:kern w:val="32"/>
          <w:sz w:val="36"/>
          <w:szCs w:val="36"/>
          <w:lang w:val="en-US"/>
        </w:rPr>
      </w:pPr>
      <w:bookmarkStart w:id="137" w:name="_Toc388374605"/>
      <w:r>
        <w:br w:type="page"/>
      </w:r>
    </w:p>
    <w:p w:rsidR="00695555" w:rsidRPr="008E0077" w:rsidRDefault="00695555" w:rsidP="00695555">
      <w:pPr>
        <w:pStyle w:val="FAREH2Nbr"/>
        <w:numPr>
          <w:ilvl w:val="1"/>
          <w:numId w:val="0"/>
        </w:numPr>
        <w:ind w:left="993" w:hanging="993"/>
      </w:pPr>
      <w:bookmarkStart w:id="138" w:name="_Toc398105049"/>
      <w:r w:rsidRPr="008E0077">
        <w:lastRenderedPageBreak/>
        <w:t>Continuity of care</w:t>
      </w:r>
      <w:bookmarkEnd w:id="137"/>
      <w:bookmarkEnd w:id="138"/>
      <w:r w:rsidRPr="008E0077">
        <w:t xml:space="preserve"> </w:t>
      </w:r>
    </w:p>
    <w:p w:rsidR="00695555" w:rsidRPr="007F1DC4" w:rsidRDefault="00695555" w:rsidP="00695555">
      <w:pPr>
        <w:keepNext/>
        <w:keepLines/>
        <w:spacing w:before="120" w:after="120"/>
        <w:outlineLvl w:val="1"/>
        <w:rPr>
          <w:rFonts w:ascii="Cambria" w:eastAsia="SimSun" w:hAnsi="Cambria"/>
          <w:bCs/>
          <w:i/>
          <w:sz w:val="24"/>
          <w:szCs w:val="24"/>
        </w:rPr>
      </w:pPr>
      <w:r>
        <w:rPr>
          <w:rFonts w:ascii="Cambria" w:eastAsia="SimSun" w:hAnsi="Cambria"/>
          <w:bCs/>
          <w:i/>
          <w:sz w:val="24"/>
          <w:szCs w:val="24"/>
        </w:rPr>
        <w:t>AOD care pathways and p</w:t>
      </w:r>
      <w:r w:rsidRPr="007F1DC4">
        <w:rPr>
          <w:rFonts w:ascii="Cambria" w:eastAsia="SimSun" w:hAnsi="Cambria"/>
          <w:bCs/>
          <w:i/>
          <w:sz w:val="24"/>
          <w:szCs w:val="24"/>
        </w:rPr>
        <w:t xml:space="preserve">ost treatment support </w:t>
      </w:r>
    </w:p>
    <w:p w:rsidR="00695555" w:rsidRDefault="00695555" w:rsidP="00695555">
      <w:pPr>
        <w:pStyle w:val="FAREnormaltext"/>
      </w:pPr>
      <w:r w:rsidRPr="003C21FE">
        <w:t>Follow-up care is viewed</w:t>
      </w:r>
      <w:r>
        <w:t xml:space="preserve"> as a fundamental component of</w:t>
      </w:r>
      <w:r w:rsidRPr="003C21FE">
        <w:t xml:space="preserve"> effective treatment, yet </w:t>
      </w:r>
      <w:r w:rsidR="00DA1FAE">
        <w:t xml:space="preserve">half </w:t>
      </w:r>
      <w:r w:rsidRPr="003C21FE">
        <w:t xml:space="preserve">of the participants </w:t>
      </w:r>
      <w:r>
        <w:t>reported that they received AOD-</w:t>
      </w:r>
      <w:r w:rsidRPr="003C21FE">
        <w:t>specific follow-up support after th</w:t>
      </w:r>
      <w:r>
        <w:t>eir</w:t>
      </w:r>
      <w:r w:rsidRPr="003C21FE">
        <w:t xml:space="preserve"> </w:t>
      </w:r>
      <w:r w:rsidR="00DA1FAE">
        <w:t xml:space="preserve">index </w:t>
      </w:r>
      <w:r w:rsidRPr="003C21FE">
        <w:t>treatment episode. For those who did, the follow-up support was generally pre-arranged in terms of completing inpatient withdrawal followed by residential rehabilitation. Participants</w:t>
      </w:r>
      <w:r>
        <w:t xml:space="preserve"> who received residential treatment either as part of their PIT treatment experience</w:t>
      </w:r>
      <w:r w:rsidR="009E47ED">
        <w:t xml:space="preserve">, or following their PIT, </w:t>
      </w:r>
      <w:r>
        <w:t xml:space="preserve">often reported that they also received or accessed some form of aftercare. In some cases, the aftercare was arranged as part of their treatment exit plan and involved outpatient counselling. For some participants, their treatment pathway was facilitated by a key worker, particularly in rural settings, where a rural AOD clinician provided support pre and post PIT. For others, accessing multiple services provided by the one AOD treatment agency ensured continuity of care. </w:t>
      </w:r>
    </w:p>
    <w:p w:rsidR="004212FD" w:rsidRPr="009D070C" w:rsidRDefault="00695555" w:rsidP="004212FD">
      <w:pPr>
        <w:ind w:left="720"/>
        <w:rPr>
          <w:rFonts w:asciiTheme="minorHAnsi" w:hAnsiTheme="minorHAnsi"/>
          <w:i/>
        </w:rPr>
      </w:pPr>
      <w:r w:rsidRPr="002D1F06">
        <w:rPr>
          <w:rFonts w:asciiTheme="minorHAnsi" w:hAnsiTheme="minorHAnsi"/>
          <w:i/>
        </w:rPr>
        <w:t xml:space="preserve">Well because I am from </w:t>
      </w:r>
      <w:r>
        <w:rPr>
          <w:rFonts w:asciiTheme="minorHAnsi" w:hAnsiTheme="minorHAnsi"/>
          <w:i/>
        </w:rPr>
        <w:t>[regional area</w:t>
      </w:r>
      <w:r w:rsidR="00D03276">
        <w:rPr>
          <w:rFonts w:asciiTheme="minorHAnsi" w:hAnsiTheme="minorHAnsi"/>
          <w:i/>
        </w:rPr>
        <w:t>]</w:t>
      </w:r>
      <w:r w:rsidR="00D03276" w:rsidRPr="002D1F06">
        <w:rPr>
          <w:rFonts w:asciiTheme="minorHAnsi" w:hAnsiTheme="minorHAnsi"/>
          <w:i/>
        </w:rPr>
        <w:t xml:space="preserve">, </w:t>
      </w:r>
      <w:r w:rsidRPr="002D1F06">
        <w:rPr>
          <w:rFonts w:asciiTheme="minorHAnsi" w:hAnsiTheme="minorHAnsi"/>
          <w:i/>
        </w:rPr>
        <w:t xml:space="preserve">my drug and alcohol counsellor drove me to </w:t>
      </w:r>
      <w:r>
        <w:rPr>
          <w:rFonts w:asciiTheme="minorHAnsi" w:hAnsiTheme="minorHAnsi"/>
          <w:i/>
        </w:rPr>
        <w:t>[metropolitan suburb]</w:t>
      </w:r>
      <w:r w:rsidRPr="002D1F06">
        <w:rPr>
          <w:rFonts w:asciiTheme="minorHAnsi" w:hAnsiTheme="minorHAnsi"/>
          <w:i/>
        </w:rPr>
        <w:t xml:space="preserve"> and then after the week she came and picked me up and brought me back home. </w:t>
      </w:r>
      <w:proofErr w:type="gramStart"/>
      <w:r w:rsidRPr="002D1F06">
        <w:rPr>
          <w:rFonts w:asciiTheme="minorHAnsi" w:hAnsiTheme="minorHAnsi"/>
          <w:i/>
        </w:rPr>
        <w:t>[Interviewer: Yeah.</w:t>
      </w:r>
      <w:proofErr w:type="gramEnd"/>
      <w:r w:rsidRPr="002D1F06">
        <w:rPr>
          <w:rFonts w:asciiTheme="minorHAnsi" w:hAnsiTheme="minorHAnsi"/>
          <w:i/>
        </w:rPr>
        <w:t xml:space="preserve"> So you felt that you didn't need any further contact or assistance?] </w:t>
      </w:r>
      <w:proofErr w:type="gramStart"/>
      <w:r w:rsidRPr="002D1F06">
        <w:rPr>
          <w:rFonts w:asciiTheme="minorHAnsi" w:hAnsiTheme="minorHAnsi"/>
          <w:i/>
        </w:rPr>
        <w:t>Assistance yeah no.</w:t>
      </w:r>
      <w:proofErr w:type="gramEnd"/>
      <w:r w:rsidRPr="002D1F06">
        <w:rPr>
          <w:rFonts w:asciiTheme="minorHAnsi" w:hAnsiTheme="minorHAnsi"/>
          <w:i/>
        </w:rPr>
        <w:t xml:space="preserve">  Because when I came back hom</w:t>
      </w:r>
      <w:r>
        <w:rPr>
          <w:rFonts w:asciiTheme="minorHAnsi" w:hAnsiTheme="minorHAnsi"/>
          <w:i/>
        </w:rPr>
        <w:t>e I still had my AOD counsello</w:t>
      </w:r>
      <w:r w:rsidRPr="002D1F06">
        <w:rPr>
          <w:rFonts w:asciiTheme="minorHAnsi" w:hAnsiTheme="minorHAnsi"/>
          <w:i/>
        </w:rPr>
        <w:t>r so she was still always really supp</w:t>
      </w:r>
      <w:r>
        <w:rPr>
          <w:rFonts w:asciiTheme="minorHAnsi" w:hAnsiTheme="minorHAnsi"/>
          <w:i/>
        </w:rPr>
        <w:t>ortive (Interviewee 28</w:t>
      </w:r>
      <w:r w:rsidRPr="002D1F06">
        <w:rPr>
          <w:rFonts w:asciiTheme="minorHAnsi" w:hAnsiTheme="minorHAnsi"/>
          <w:i/>
        </w:rPr>
        <w:t>).</w:t>
      </w:r>
    </w:p>
    <w:p w:rsidR="00695555" w:rsidRPr="009D070C" w:rsidRDefault="00695555" w:rsidP="00695555">
      <w:pPr>
        <w:ind w:left="720"/>
        <w:rPr>
          <w:rFonts w:asciiTheme="minorHAnsi" w:hAnsiTheme="minorHAnsi"/>
          <w:i/>
        </w:rPr>
      </w:pPr>
      <w:r w:rsidRPr="009D070C">
        <w:rPr>
          <w:rFonts w:asciiTheme="minorHAnsi" w:hAnsiTheme="minorHAnsi"/>
          <w:i/>
        </w:rPr>
        <w:t xml:space="preserve"> [Interviewer: Did you also say that you were doing some counselling, like you continued on with the counselling that you were doing? Yeah so before </w:t>
      </w:r>
      <w:r>
        <w:rPr>
          <w:rFonts w:asciiTheme="minorHAnsi" w:hAnsiTheme="minorHAnsi"/>
          <w:i/>
        </w:rPr>
        <w:t>[outpatient group program]</w:t>
      </w:r>
      <w:r w:rsidRPr="009D070C">
        <w:rPr>
          <w:rFonts w:asciiTheme="minorHAnsi" w:hAnsiTheme="minorHAnsi"/>
          <w:i/>
        </w:rPr>
        <w:t xml:space="preserve"> I would have seen her every once a week but I only saw her once while I was doing </w:t>
      </w:r>
      <w:r>
        <w:rPr>
          <w:rFonts w:asciiTheme="minorHAnsi" w:hAnsiTheme="minorHAnsi"/>
          <w:i/>
        </w:rPr>
        <w:t>[outpatient group program]</w:t>
      </w:r>
      <w:r w:rsidRPr="009D070C">
        <w:rPr>
          <w:rFonts w:asciiTheme="minorHAnsi" w:hAnsiTheme="minorHAnsi"/>
          <w:i/>
        </w:rPr>
        <w:t xml:space="preserve"> in those four weeks. Then I saw he</w:t>
      </w:r>
      <w:r>
        <w:rPr>
          <w:rFonts w:asciiTheme="minorHAnsi" w:hAnsiTheme="minorHAnsi"/>
          <w:i/>
        </w:rPr>
        <w:t xml:space="preserve">r after [outpatient group program] more regularly. </w:t>
      </w:r>
      <w:r w:rsidRPr="009D070C">
        <w:rPr>
          <w:rFonts w:asciiTheme="minorHAnsi" w:hAnsiTheme="minorHAnsi"/>
          <w:i/>
        </w:rPr>
        <w:t xml:space="preserve">[Interviewer: So you continued to see the </w:t>
      </w:r>
      <w:proofErr w:type="gramStart"/>
      <w:r w:rsidRPr="009D070C">
        <w:rPr>
          <w:rFonts w:asciiTheme="minorHAnsi" w:hAnsiTheme="minorHAnsi"/>
          <w:i/>
        </w:rPr>
        <w:t>counsellor,</w:t>
      </w:r>
      <w:proofErr w:type="gramEnd"/>
      <w:r w:rsidRPr="009D070C">
        <w:rPr>
          <w:rFonts w:asciiTheme="minorHAnsi" w:hAnsiTheme="minorHAnsi"/>
          <w:i/>
        </w:rPr>
        <w:t xml:space="preserve"> and wh</w:t>
      </w:r>
      <w:r>
        <w:rPr>
          <w:rFonts w:asciiTheme="minorHAnsi" w:hAnsiTheme="minorHAnsi"/>
          <w:i/>
        </w:rPr>
        <w:t xml:space="preserve">at…] Yeah. </w:t>
      </w:r>
      <w:r w:rsidRPr="009D070C">
        <w:rPr>
          <w:rFonts w:asciiTheme="minorHAnsi" w:hAnsiTheme="minorHAnsi"/>
          <w:i/>
        </w:rPr>
        <w:t>[Interviewer…were the good things, if any, about the assistance you</w:t>
      </w:r>
      <w:r>
        <w:rPr>
          <w:rFonts w:asciiTheme="minorHAnsi" w:hAnsiTheme="minorHAnsi"/>
          <w:i/>
        </w:rPr>
        <w:t xml:space="preserve"> received from the counsellor?] </w:t>
      </w:r>
      <w:r w:rsidRPr="009D070C">
        <w:rPr>
          <w:rFonts w:asciiTheme="minorHAnsi" w:hAnsiTheme="minorHAnsi"/>
          <w:i/>
        </w:rPr>
        <w:t xml:space="preserve">I guess she motivated </w:t>
      </w:r>
      <w:r>
        <w:rPr>
          <w:rFonts w:asciiTheme="minorHAnsi" w:hAnsiTheme="minorHAnsi"/>
          <w:i/>
        </w:rPr>
        <w:t xml:space="preserve">me </w:t>
      </w:r>
      <w:r w:rsidRPr="009D070C">
        <w:rPr>
          <w:rFonts w:asciiTheme="minorHAnsi" w:hAnsiTheme="minorHAnsi"/>
          <w:i/>
        </w:rPr>
        <w:t>to finish it and she was there to have another opinion on. So yeah she was a check in person, so just letting her know how I was doing and what I was doing in the program and that so</w:t>
      </w:r>
      <w:r>
        <w:rPr>
          <w:rFonts w:asciiTheme="minorHAnsi" w:hAnsiTheme="minorHAnsi"/>
          <w:i/>
        </w:rPr>
        <w:t>rt of thing and how I was going (Interviewee 24).</w:t>
      </w:r>
    </w:p>
    <w:p w:rsidR="00695555" w:rsidRPr="009755D2" w:rsidRDefault="00695555" w:rsidP="009755D2">
      <w:pPr>
        <w:pStyle w:val="FAREnormaltext"/>
      </w:pPr>
      <w:r>
        <w:t>F</w:t>
      </w:r>
      <w:r w:rsidRPr="000E135E">
        <w:t>ew participants who received outpatient treatment as their PIT reported receiving any follow-up contact from the service onc</w:t>
      </w:r>
      <w:r>
        <w:t>e their treatment had finished. H</w:t>
      </w:r>
      <w:r w:rsidRPr="000E135E">
        <w:t>owever, most participants indicated that they were encouraged or given the option to re-engage with the service for further supp</w:t>
      </w:r>
      <w:r>
        <w:t>ort</w:t>
      </w:r>
      <w:r w:rsidRPr="000E135E">
        <w:t xml:space="preserve">. </w:t>
      </w:r>
    </w:p>
    <w:p w:rsidR="00695555" w:rsidRPr="008379BA" w:rsidRDefault="00695555" w:rsidP="00695555">
      <w:pPr>
        <w:pStyle w:val="FAREnormaltext"/>
      </w:pPr>
      <w:r w:rsidRPr="008379BA">
        <w:t>Similarly, some participants receiving inpatient withdrawal treatment were encouraged to re-engage with the service if they required additional support. Others did not expect to receive any follow-up contact from th</w:t>
      </w:r>
      <w:r>
        <w:t xml:space="preserve">e inpatient withdrawal service </w:t>
      </w:r>
      <w:r w:rsidRPr="008379BA">
        <w:t>as treatment had been completed, and others felt it was the client’s responsibility to contact the service if further treatment was needed. For a few participants, the role or need of follow-up support only became apparent in the months following treatmen</w:t>
      </w:r>
      <w:r>
        <w:t xml:space="preserve">t. As one participant explained, </w:t>
      </w:r>
      <w:r w:rsidRPr="008379BA">
        <w:t xml:space="preserve">‘I didn’t realise at the time that I needed more.’ </w:t>
      </w:r>
      <w:r>
        <w:t xml:space="preserve">This suggests that staggered follow-up contact may facilitate re-engagement or the opportunity for a brief intervention. </w:t>
      </w:r>
    </w:p>
    <w:p w:rsidR="00695555" w:rsidRDefault="00695555" w:rsidP="00695555">
      <w:pPr>
        <w:ind w:left="720"/>
        <w:rPr>
          <w:rFonts w:asciiTheme="minorHAnsi" w:hAnsiTheme="minorHAnsi"/>
          <w:i/>
        </w:rPr>
      </w:pPr>
      <w:r w:rsidRPr="00B77E13">
        <w:rPr>
          <w:rFonts w:asciiTheme="minorHAnsi" w:hAnsiTheme="minorHAnsi"/>
          <w:i/>
        </w:rPr>
        <w:t xml:space="preserve"> [Interviewer: So after you finished up with the detox, did you make any further contact or receive any assistance from them?] Yeah, I got a few calls and that. </w:t>
      </w:r>
      <w:proofErr w:type="gramStart"/>
      <w:r w:rsidRPr="00B77E13">
        <w:rPr>
          <w:rFonts w:asciiTheme="minorHAnsi" w:hAnsiTheme="minorHAnsi"/>
          <w:i/>
        </w:rPr>
        <w:t xml:space="preserve">[Interviewer:  From </w:t>
      </w:r>
      <w:r>
        <w:rPr>
          <w:rFonts w:asciiTheme="minorHAnsi" w:hAnsiTheme="minorHAnsi"/>
          <w:i/>
        </w:rPr>
        <w:t>[AOD service J</w:t>
      </w:r>
      <w:r w:rsidRPr="00B77E13">
        <w:rPr>
          <w:rFonts w:asciiTheme="minorHAnsi" w:hAnsiTheme="minorHAnsi"/>
          <w:i/>
        </w:rPr>
        <w:t>?]</w:t>
      </w:r>
      <w:proofErr w:type="gramEnd"/>
      <w:r w:rsidRPr="00B77E13">
        <w:rPr>
          <w:rFonts w:asciiTheme="minorHAnsi" w:hAnsiTheme="minorHAnsi"/>
          <w:i/>
        </w:rPr>
        <w:t xml:space="preserve"> Yeah, they would have called me a few times but I would have said yeah, look, I'm </w:t>
      </w:r>
      <w:r w:rsidRPr="00B77E13">
        <w:rPr>
          <w:rFonts w:asciiTheme="minorHAnsi" w:hAnsiTheme="minorHAnsi"/>
          <w:i/>
        </w:rPr>
        <w:lastRenderedPageBreak/>
        <w:t xml:space="preserve">fine. [Interviewer: So you were fine at the time?]. Oh probably not, yeah. To me I was. My life actually revolves around on and off and on and off use, because I've got ADHD as I said and I've been on amphetamine pills since I was a kid. </w:t>
      </w:r>
      <w:proofErr w:type="gramStart"/>
      <w:r w:rsidRPr="00B77E13">
        <w:rPr>
          <w:rFonts w:asciiTheme="minorHAnsi" w:hAnsiTheme="minorHAnsi"/>
          <w:i/>
        </w:rPr>
        <w:t xml:space="preserve">So </w:t>
      </w:r>
      <w:r>
        <w:rPr>
          <w:rFonts w:asciiTheme="minorHAnsi" w:hAnsiTheme="minorHAnsi"/>
          <w:i/>
        </w:rPr>
        <w:t>amphetamine's part of my life (Interviewee 22).</w:t>
      </w:r>
      <w:proofErr w:type="gramEnd"/>
    </w:p>
    <w:p w:rsidR="00695555" w:rsidRPr="00896A44" w:rsidRDefault="00695555" w:rsidP="00695555">
      <w:pPr>
        <w:pStyle w:val="FAREnormaltext"/>
      </w:pPr>
      <w:r w:rsidRPr="00896A44">
        <w:t>When participants were asked ‘what service or assistance if any, would</w:t>
      </w:r>
      <w:r>
        <w:t xml:space="preserve"> you</w:t>
      </w:r>
      <w:r w:rsidRPr="00896A44">
        <w:t xml:space="preserve"> have liked to receive following inpatient withdrawal’, the majority of participants suggested a follow-up telephone call and some recommended follow-up counselling. This was the case for participants who had a subsequent treatment in place after the PIT, as well as those with no plans for further treatment. A few participants expressed dissatisfaction with the lack of follow-up care provided.</w:t>
      </w:r>
    </w:p>
    <w:p w:rsidR="00695555" w:rsidRPr="007F1DC4" w:rsidRDefault="00695555" w:rsidP="00695555">
      <w:pPr>
        <w:ind w:left="720"/>
        <w:rPr>
          <w:rFonts w:asciiTheme="minorHAnsi" w:hAnsiTheme="minorHAnsi"/>
          <w:i/>
        </w:rPr>
      </w:pPr>
      <w:r w:rsidRPr="007F1DC4">
        <w:rPr>
          <w:rFonts w:asciiTheme="minorHAnsi" w:hAnsiTheme="minorHAnsi"/>
          <w:i/>
        </w:rPr>
        <w:t>[Interviewer: What services or assistance if any, would you have liked to have received following the</w:t>
      </w:r>
      <w:r>
        <w:rPr>
          <w:rFonts w:asciiTheme="minorHAnsi" w:hAnsiTheme="minorHAnsi"/>
          <w:i/>
        </w:rPr>
        <w:t xml:space="preserve"> acute withdrawal</w:t>
      </w:r>
      <w:r w:rsidRPr="007F1DC4">
        <w:rPr>
          <w:rFonts w:asciiTheme="minorHAnsi" w:hAnsiTheme="minorHAnsi"/>
          <w:i/>
        </w:rPr>
        <w:t xml:space="preserve">?]  I really would have liked some follow-up, maybe even a home visit or something like that.  Just someone to touch base with me and say, hey, are you coping?  Are you going to your counselling sessions?  </w:t>
      </w:r>
      <w:proofErr w:type="gramStart"/>
      <w:r w:rsidRPr="007F1DC4">
        <w:rPr>
          <w:rFonts w:asciiTheme="minorHAnsi" w:hAnsiTheme="minorHAnsi"/>
          <w:i/>
        </w:rPr>
        <w:t>Or if there's anything else that you need.</w:t>
      </w:r>
      <w:proofErr w:type="gramEnd"/>
      <w:r w:rsidRPr="007F1DC4">
        <w:rPr>
          <w:rFonts w:asciiTheme="minorHAnsi" w:hAnsiTheme="minorHAnsi"/>
          <w:i/>
        </w:rPr>
        <w:t xml:space="preserve">  Yeah, it just seemed to be a little bit like, once you're out the door, that's it.  But then, again, like I said, I think that's the nature of detox (</w:t>
      </w:r>
      <w:r>
        <w:rPr>
          <w:rFonts w:asciiTheme="minorHAnsi" w:hAnsiTheme="minorHAnsi"/>
          <w:i/>
        </w:rPr>
        <w:t>Interviewee 41</w:t>
      </w:r>
      <w:r w:rsidRPr="007F1DC4">
        <w:rPr>
          <w:rFonts w:asciiTheme="minorHAnsi" w:hAnsiTheme="minorHAnsi"/>
          <w:i/>
        </w:rPr>
        <w:t>).</w:t>
      </w:r>
    </w:p>
    <w:p w:rsidR="00695555" w:rsidRPr="00367805" w:rsidRDefault="00695555" w:rsidP="00695555">
      <w:pPr>
        <w:keepNext/>
        <w:keepLines/>
        <w:spacing w:before="120" w:after="120"/>
        <w:outlineLvl w:val="1"/>
        <w:rPr>
          <w:rFonts w:ascii="Cambria" w:eastAsia="SimSun" w:hAnsi="Cambria"/>
          <w:bCs/>
          <w:i/>
          <w:sz w:val="24"/>
          <w:szCs w:val="24"/>
        </w:rPr>
      </w:pPr>
      <w:r w:rsidRPr="00367805">
        <w:rPr>
          <w:rFonts w:ascii="Cambria" w:eastAsia="SimSun" w:hAnsi="Cambria"/>
          <w:bCs/>
          <w:i/>
          <w:sz w:val="24"/>
          <w:szCs w:val="24"/>
        </w:rPr>
        <w:t xml:space="preserve">Multi sector links </w:t>
      </w:r>
    </w:p>
    <w:p w:rsidR="00695555" w:rsidRDefault="00695555" w:rsidP="00695555">
      <w:pPr>
        <w:pStyle w:val="FAREnormaltext"/>
      </w:pPr>
      <w:r>
        <w:t>The presence of a k</w:t>
      </w:r>
      <w:r w:rsidRPr="00413AAA">
        <w:t>ey worker</w:t>
      </w:r>
      <w:r>
        <w:t>, such as an</w:t>
      </w:r>
      <w:r w:rsidRPr="00413AAA">
        <w:t xml:space="preserve"> AOD </w:t>
      </w:r>
      <w:r>
        <w:t>clinician, housing worker, mental health worker</w:t>
      </w:r>
      <w:r w:rsidR="009E47ED">
        <w:t xml:space="preserve">, welfare worker, </w:t>
      </w:r>
      <w:r>
        <w:t xml:space="preserve">or job network provider, was a stable source of support for many participants and these workers provided links to a range of services within and across the health and non-health system. </w:t>
      </w:r>
    </w:p>
    <w:p w:rsidR="00695555" w:rsidRPr="00806DE5" w:rsidRDefault="00695555" w:rsidP="00695555">
      <w:pPr>
        <w:pStyle w:val="FAREnormaltext"/>
      </w:pPr>
      <w:r>
        <w:t xml:space="preserve">For example, several </w:t>
      </w:r>
      <w:r w:rsidRPr="00806DE5">
        <w:t xml:space="preserve">participants reported contact with multiple </w:t>
      </w:r>
      <w:r>
        <w:t xml:space="preserve">health professionals </w:t>
      </w:r>
      <w:r w:rsidRPr="00806DE5">
        <w:t>and in some cases</w:t>
      </w:r>
      <w:r>
        <w:t>,</w:t>
      </w:r>
      <w:r w:rsidRPr="00806DE5">
        <w:t xml:space="preserve"> care plans were in place and an integrated team approach was supp</w:t>
      </w:r>
      <w:r w:rsidR="009E47ED">
        <w:t xml:space="preserve">orted through regular contact. </w:t>
      </w:r>
      <w:r w:rsidRPr="00806DE5">
        <w:t xml:space="preserve">These arrangements often meant that </w:t>
      </w:r>
      <w:r>
        <w:t>they</w:t>
      </w:r>
      <w:r w:rsidRPr="00806DE5">
        <w:t xml:space="preserve"> had access to a wide range of options and communication channels were clear. </w:t>
      </w:r>
      <w:r w:rsidR="009E47ED">
        <w:t xml:space="preserve"> </w:t>
      </w:r>
    </w:p>
    <w:p w:rsidR="00695555" w:rsidRDefault="00695555" w:rsidP="00695555">
      <w:pPr>
        <w:ind w:left="720"/>
        <w:rPr>
          <w:rFonts w:asciiTheme="minorHAnsi" w:hAnsiTheme="minorHAnsi"/>
          <w:i/>
        </w:rPr>
      </w:pPr>
      <w:r w:rsidRPr="00C43595">
        <w:rPr>
          <w:rFonts w:asciiTheme="minorHAnsi" w:hAnsiTheme="minorHAnsi"/>
          <w:i/>
        </w:rPr>
        <w:t>Yeah, that's when I got out [</w:t>
      </w:r>
      <w:r>
        <w:rPr>
          <w:rFonts w:asciiTheme="minorHAnsi" w:hAnsiTheme="minorHAnsi"/>
          <w:i/>
        </w:rPr>
        <w:t xml:space="preserve">of </w:t>
      </w:r>
      <w:r w:rsidRPr="00C43595">
        <w:rPr>
          <w:rFonts w:asciiTheme="minorHAnsi" w:hAnsiTheme="minorHAnsi"/>
          <w:i/>
        </w:rPr>
        <w:t xml:space="preserve">prison] this time and I joined up with </w:t>
      </w:r>
      <w:r>
        <w:rPr>
          <w:rFonts w:asciiTheme="minorHAnsi" w:hAnsiTheme="minorHAnsi"/>
          <w:i/>
        </w:rPr>
        <w:t>a [m</w:t>
      </w:r>
      <w:r w:rsidRPr="00C43595">
        <w:rPr>
          <w:rFonts w:asciiTheme="minorHAnsi" w:hAnsiTheme="minorHAnsi"/>
          <w:i/>
        </w:rPr>
        <w:t xml:space="preserve">ental </w:t>
      </w:r>
      <w:r>
        <w:rPr>
          <w:rFonts w:asciiTheme="minorHAnsi" w:hAnsiTheme="minorHAnsi"/>
          <w:i/>
        </w:rPr>
        <w:t>h</w:t>
      </w:r>
      <w:r w:rsidRPr="00C43595">
        <w:rPr>
          <w:rFonts w:asciiTheme="minorHAnsi" w:hAnsiTheme="minorHAnsi"/>
          <w:i/>
        </w:rPr>
        <w:t xml:space="preserve">ealth </w:t>
      </w:r>
      <w:r>
        <w:rPr>
          <w:rFonts w:asciiTheme="minorHAnsi" w:hAnsiTheme="minorHAnsi"/>
          <w:i/>
        </w:rPr>
        <w:t xml:space="preserve">service] </w:t>
      </w:r>
      <w:r w:rsidRPr="00C43595">
        <w:rPr>
          <w:rFonts w:asciiTheme="minorHAnsi" w:hAnsiTheme="minorHAnsi"/>
          <w:i/>
        </w:rPr>
        <w:t>and they're taking care of me. They've got a four-psych team, like a doctor, what do you call it:  a case manager and a nurse</w:t>
      </w:r>
      <w:r>
        <w:rPr>
          <w:rFonts w:asciiTheme="minorHAnsi" w:hAnsiTheme="minorHAnsi"/>
          <w:i/>
        </w:rPr>
        <w:t xml:space="preserve"> (Interviewee</w:t>
      </w:r>
      <w:r w:rsidRPr="00C43595">
        <w:rPr>
          <w:rFonts w:asciiTheme="minorHAnsi" w:hAnsiTheme="minorHAnsi"/>
          <w:i/>
        </w:rPr>
        <w:t xml:space="preserve"> </w:t>
      </w:r>
      <w:r>
        <w:rPr>
          <w:rFonts w:asciiTheme="minorHAnsi" w:hAnsiTheme="minorHAnsi"/>
          <w:i/>
        </w:rPr>
        <w:t xml:space="preserve">21). </w:t>
      </w:r>
    </w:p>
    <w:p w:rsidR="00695555" w:rsidRPr="00C43595" w:rsidRDefault="00695555" w:rsidP="00695555">
      <w:pPr>
        <w:ind w:left="720"/>
        <w:rPr>
          <w:rFonts w:asciiTheme="minorHAnsi" w:hAnsiTheme="minorHAnsi"/>
          <w:i/>
        </w:rPr>
      </w:pPr>
      <w:r w:rsidRPr="00F52858">
        <w:rPr>
          <w:rFonts w:asciiTheme="minorHAnsi" w:hAnsiTheme="minorHAnsi"/>
          <w:i/>
        </w:rPr>
        <w:t xml:space="preserve"> [Interviewer:  Do you think that services work together to support or help you or not really?]</w:t>
      </w:r>
      <w:r>
        <w:rPr>
          <w:rFonts w:asciiTheme="minorHAnsi" w:hAnsiTheme="minorHAnsi"/>
          <w:i/>
        </w:rPr>
        <w:t xml:space="preserve"> Yeah, no, they do. My GP,</w:t>
      </w:r>
      <w:r w:rsidRPr="00F52858">
        <w:rPr>
          <w:rFonts w:asciiTheme="minorHAnsi" w:hAnsiTheme="minorHAnsi"/>
          <w:i/>
        </w:rPr>
        <w:t xml:space="preserve"> he's really good and the doctor in </w:t>
      </w:r>
      <w:r>
        <w:rPr>
          <w:rFonts w:asciiTheme="minorHAnsi" w:hAnsiTheme="minorHAnsi"/>
          <w:i/>
        </w:rPr>
        <w:t xml:space="preserve">[rural town] </w:t>
      </w:r>
      <w:r w:rsidRPr="00F52858">
        <w:rPr>
          <w:rFonts w:asciiTheme="minorHAnsi" w:hAnsiTheme="minorHAnsi"/>
          <w:i/>
        </w:rPr>
        <w:t>they all work together and they all know that I see drug and alcohol counsellors and all that sort of stuff. But mainly it's just the social work</w:t>
      </w:r>
      <w:r>
        <w:rPr>
          <w:rFonts w:asciiTheme="minorHAnsi" w:hAnsiTheme="minorHAnsi"/>
          <w:i/>
        </w:rPr>
        <w:t xml:space="preserve">ers and the counsellors and all, </w:t>
      </w:r>
      <w:r w:rsidRPr="00F52858">
        <w:rPr>
          <w:rFonts w:asciiTheme="minorHAnsi" w:hAnsiTheme="minorHAnsi"/>
          <w:i/>
        </w:rPr>
        <w:t>that they have meetings every month and they sit down and they work out what they could do better and what they could improve on and all that sort of stuff.</w:t>
      </w:r>
      <w:r>
        <w:rPr>
          <w:rFonts w:asciiTheme="minorHAnsi" w:hAnsiTheme="minorHAnsi"/>
          <w:i/>
        </w:rPr>
        <w:t xml:space="preserve"> </w:t>
      </w:r>
      <w:r w:rsidRPr="00F52858">
        <w:rPr>
          <w:rFonts w:asciiTheme="minorHAnsi" w:hAnsiTheme="minorHAnsi"/>
          <w:i/>
        </w:rPr>
        <w:t>So they all work together or they do down here anyway.</w:t>
      </w:r>
      <w:r>
        <w:rPr>
          <w:rFonts w:asciiTheme="minorHAnsi" w:hAnsiTheme="minorHAnsi"/>
          <w:i/>
        </w:rPr>
        <w:t xml:space="preserve"> [Interviewer: </w:t>
      </w:r>
      <w:r w:rsidRPr="00F52858">
        <w:rPr>
          <w:rFonts w:asciiTheme="minorHAnsi" w:hAnsiTheme="minorHAnsi"/>
          <w:i/>
        </w:rPr>
        <w:t>What were the good things if any about services working together to help you, what are the good things?</w:t>
      </w:r>
      <w:r>
        <w:rPr>
          <w:rFonts w:asciiTheme="minorHAnsi" w:hAnsiTheme="minorHAnsi"/>
          <w:i/>
        </w:rPr>
        <w:t xml:space="preserve">] </w:t>
      </w:r>
      <w:r w:rsidRPr="00806DE5">
        <w:rPr>
          <w:rFonts w:asciiTheme="minorHAnsi" w:hAnsiTheme="minorHAnsi"/>
          <w:i/>
        </w:rPr>
        <w:t>You don't have to repeat yourself. I can just say something to my drug and alcohol counsellor and she says can I discuss this with somebody else and I say you can, you can talk to the other workers and that sort of thing. They're always coming up with things that might help (</w:t>
      </w:r>
      <w:r>
        <w:rPr>
          <w:rFonts w:asciiTheme="minorHAnsi" w:hAnsiTheme="minorHAnsi"/>
          <w:i/>
        </w:rPr>
        <w:t>Interviewee</w:t>
      </w:r>
      <w:r w:rsidRPr="00806DE5">
        <w:rPr>
          <w:rFonts w:asciiTheme="minorHAnsi" w:hAnsiTheme="minorHAnsi"/>
          <w:i/>
        </w:rPr>
        <w:t xml:space="preserve"> </w:t>
      </w:r>
      <w:r>
        <w:rPr>
          <w:rFonts w:asciiTheme="minorHAnsi" w:hAnsiTheme="minorHAnsi"/>
          <w:i/>
        </w:rPr>
        <w:t>16</w:t>
      </w:r>
      <w:r w:rsidRPr="00806DE5">
        <w:rPr>
          <w:rFonts w:asciiTheme="minorHAnsi" w:hAnsiTheme="minorHAnsi"/>
          <w:i/>
        </w:rPr>
        <w:t xml:space="preserve">). </w:t>
      </w:r>
    </w:p>
    <w:p w:rsidR="00695555" w:rsidRPr="00276CB9" w:rsidRDefault="00695555" w:rsidP="00276CB9">
      <w:pPr>
        <w:pStyle w:val="FAREnormaltext"/>
      </w:pPr>
      <w:r w:rsidRPr="00276CB9">
        <w:lastRenderedPageBreak/>
        <w:t xml:space="preserve">For other participants, a </w:t>
      </w:r>
      <w:r w:rsidR="009E47ED" w:rsidRPr="00276CB9">
        <w:t xml:space="preserve">welfare or church-based service, </w:t>
      </w:r>
      <w:r w:rsidRPr="00276CB9">
        <w:t>or community health service was instrumental in terms of providing practical supports (e.g., food, electrical appliances) and suggesting other services that could assist.</w:t>
      </w:r>
    </w:p>
    <w:p w:rsidR="00695555" w:rsidRPr="00F00D7F" w:rsidRDefault="00695555" w:rsidP="00695555">
      <w:pPr>
        <w:ind w:left="720"/>
        <w:rPr>
          <w:rFonts w:asciiTheme="minorHAnsi" w:hAnsiTheme="minorHAnsi"/>
          <w:i/>
        </w:rPr>
      </w:pPr>
      <w:r w:rsidRPr="00F00D7F">
        <w:rPr>
          <w:rFonts w:asciiTheme="minorHAnsi" w:hAnsiTheme="minorHAnsi"/>
          <w:i/>
        </w:rPr>
        <w:t xml:space="preserve">It's good because there's a couple - there's like about seven people in there and there's a lady that runs the group and she brings people in for all different things like the police officer in to tell you to be careful for this, this, this or that.  </w:t>
      </w:r>
      <w:proofErr w:type="gramStart"/>
      <w:r w:rsidRPr="00F00D7F">
        <w:rPr>
          <w:rFonts w:asciiTheme="minorHAnsi" w:hAnsiTheme="minorHAnsi"/>
          <w:i/>
        </w:rPr>
        <w:t>Or a painting person to come in and show you how t</w:t>
      </w:r>
      <w:r w:rsidR="000913E3">
        <w:rPr>
          <w:rFonts w:asciiTheme="minorHAnsi" w:hAnsiTheme="minorHAnsi"/>
          <w:i/>
        </w:rPr>
        <w:t>o paint or a jewellery person.</w:t>
      </w:r>
      <w:proofErr w:type="gramEnd"/>
      <w:r w:rsidR="000913E3">
        <w:rPr>
          <w:rFonts w:asciiTheme="minorHAnsi" w:hAnsiTheme="minorHAnsi"/>
          <w:i/>
        </w:rPr>
        <w:t xml:space="preserve"> </w:t>
      </w:r>
      <w:r w:rsidRPr="00F00D7F">
        <w:rPr>
          <w:rFonts w:asciiTheme="minorHAnsi" w:hAnsiTheme="minorHAnsi"/>
          <w:i/>
        </w:rPr>
        <w:t xml:space="preserve">A Centrelink person they get to come, if you'd got a problem with that.  It's pretty good.  Because </w:t>
      </w:r>
      <w:proofErr w:type="gramStart"/>
      <w:r w:rsidRPr="00F00D7F">
        <w:rPr>
          <w:rFonts w:asciiTheme="minorHAnsi" w:hAnsiTheme="minorHAnsi"/>
          <w:i/>
        </w:rPr>
        <w:t>there's other people</w:t>
      </w:r>
      <w:proofErr w:type="gramEnd"/>
      <w:r w:rsidRPr="00F00D7F">
        <w:rPr>
          <w:rFonts w:asciiTheme="minorHAnsi" w:hAnsiTheme="minorHAnsi"/>
          <w:i/>
        </w:rPr>
        <w:t xml:space="preserve"> you can bounce off each other sort of thing.  </w:t>
      </w:r>
      <w:proofErr w:type="gramStart"/>
      <w:r w:rsidRPr="00F00D7F">
        <w:rPr>
          <w:rFonts w:asciiTheme="minorHAnsi" w:hAnsiTheme="minorHAnsi"/>
          <w:i/>
        </w:rPr>
        <w:t>It's</w:t>
      </w:r>
      <w:proofErr w:type="gramEnd"/>
      <w:r w:rsidRPr="00F00D7F">
        <w:rPr>
          <w:rFonts w:asciiTheme="minorHAnsi" w:hAnsiTheme="minorHAnsi"/>
          <w:i/>
        </w:rPr>
        <w:t xml:space="preserve"> people you know because it's your community sort of thing.  </w:t>
      </w:r>
      <w:r>
        <w:rPr>
          <w:rFonts w:asciiTheme="minorHAnsi" w:hAnsiTheme="minorHAnsi"/>
          <w:i/>
        </w:rPr>
        <w:t xml:space="preserve">So that makes it a bit easier </w:t>
      </w:r>
      <w:r w:rsidRPr="00806DE5">
        <w:rPr>
          <w:rFonts w:asciiTheme="minorHAnsi" w:hAnsiTheme="minorHAnsi"/>
          <w:i/>
        </w:rPr>
        <w:t>(</w:t>
      </w:r>
      <w:r>
        <w:rPr>
          <w:rFonts w:asciiTheme="minorHAnsi" w:hAnsiTheme="minorHAnsi"/>
          <w:i/>
        </w:rPr>
        <w:t>Interviewee</w:t>
      </w:r>
      <w:r w:rsidRPr="00806DE5">
        <w:rPr>
          <w:rFonts w:asciiTheme="minorHAnsi" w:hAnsiTheme="minorHAnsi"/>
          <w:i/>
        </w:rPr>
        <w:t xml:space="preserve"> </w:t>
      </w:r>
      <w:r>
        <w:rPr>
          <w:rFonts w:asciiTheme="minorHAnsi" w:hAnsiTheme="minorHAnsi"/>
          <w:i/>
        </w:rPr>
        <w:t>7</w:t>
      </w:r>
      <w:r w:rsidRPr="00806DE5">
        <w:rPr>
          <w:rFonts w:asciiTheme="minorHAnsi" w:hAnsiTheme="minorHAnsi"/>
          <w:i/>
        </w:rPr>
        <w:t>).</w:t>
      </w:r>
    </w:p>
    <w:p w:rsidR="00695555" w:rsidRDefault="00695555" w:rsidP="00695555">
      <w:pPr>
        <w:pStyle w:val="FAREnormaltext"/>
      </w:pPr>
      <w:r>
        <w:t xml:space="preserve">Job network agencies are not providers of therapeutic care, however many participants indicated that the job network agencies facilitated access to a range of essential services such as mental health, AOD treatment and housing. Given that addressing housing, employment and training needs are critical to an individual’s recovery capital, the service linkage role of job network providers has a therapeutic benefit.  </w:t>
      </w:r>
    </w:p>
    <w:p w:rsidR="00695555" w:rsidRPr="000650DA" w:rsidRDefault="00695555" w:rsidP="00695555">
      <w:pPr>
        <w:ind w:left="720"/>
        <w:rPr>
          <w:rFonts w:asciiTheme="minorHAnsi" w:hAnsiTheme="minorHAnsi"/>
          <w:i/>
        </w:rPr>
      </w:pPr>
      <w:r w:rsidRPr="000650DA">
        <w:rPr>
          <w:rFonts w:asciiTheme="minorHAnsi" w:hAnsiTheme="minorHAnsi"/>
          <w:i/>
        </w:rPr>
        <w:t>They're a job search network and you get a worker who has to help you.  Because I've been in and out of jail a lot and use heroin a lot they get me work ready.  Make sure that my - if I need drug and alcohol counselling I get drug and alcohol counselling.  If I need psychiatric help, to talk to someone about stuff, go to see the psych.  If he thinks I'm a bit better than that then</w:t>
      </w:r>
      <w:r>
        <w:rPr>
          <w:rFonts w:asciiTheme="minorHAnsi" w:hAnsiTheme="minorHAnsi"/>
          <w:i/>
        </w:rPr>
        <w:t xml:space="preserve"> go into a course or something</w:t>
      </w:r>
      <w:r w:rsidRPr="000650DA">
        <w:rPr>
          <w:rFonts w:asciiTheme="minorHAnsi" w:hAnsiTheme="minorHAnsi"/>
          <w:i/>
        </w:rPr>
        <w:t xml:space="preserve"> </w:t>
      </w:r>
      <w:r w:rsidRPr="00806DE5">
        <w:rPr>
          <w:rFonts w:asciiTheme="minorHAnsi" w:hAnsiTheme="minorHAnsi"/>
          <w:i/>
        </w:rPr>
        <w:t>(</w:t>
      </w:r>
      <w:r>
        <w:rPr>
          <w:rFonts w:asciiTheme="minorHAnsi" w:hAnsiTheme="minorHAnsi"/>
          <w:i/>
        </w:rPr>
        <w:t>Interviewee</w:t>
      </w:r>
      <w:r w:rsidRPr="00806DE5">
        <w:rPr>
          <w:rFonts w:asciiTheme="minorHAnsi" w:hAnsiTheme="minorHAnsi"/>
          <w:i/>
        </w:rPr>
        <w:t xml:space="preserve"> </w:t>
      </w:r>
      <w:r>
        <w:rPr>
          <w:rFonts w:asciiTheme="minorHAnsi" w:hAnsiTheme="minorHAnsi"/>
          <w:i/>
        </w:rPr>
        <w:t>37</w:t>
      </w:r>
      <w:r w:rsidRPr="00806DE5">
        <w:rPr>
          <w:rFonts w:asciiTheme="minorHAnsi" w:hAnsiTheme="minorHAnsi"/>
          <w:i/>
        </w:rPr>
        <w:t>).</w:t>
      </w:r>
    </w:p>
    <w:p w:rsidR="00695555" w:rsidRDefault="00695555" w:rsidP="00695555">
      <w:pPr>
        <w:rPr>
          <w:rFonts w:asciiTheme="minorHAnsi" w:hAnsiTheme="minorHAnsi"/>
          <w:i/>
        </w:rPr>
      </w:pPr>
      <w:r>
        <w:rPr>
          <w:rFonts w:asciiTheme="minorHAnsi" w:eastAsiaTheme="minorEastAsia" w:hAnsiTheme="minorHAnsi" w:cstheme="minorBidi"/>
          <w:lang w:eastAsia="en-AU"/>
        </w:rPr>
        <w:t>However in other cases, the level of coordination between services was unclear, with few formalised links between them.</w:t>
      </w:r>
      <w:r w:rsidR="001524FA">
        <w:rPr>
          <w:rFonts w:asciiTheme="minorHAnsi" w:eastAsiaTheme="minorEastAsia" w:hAnsiTheme="minorHAnsi" w:cstheme="minorBidi"/>
          <w:lang w:eastAsia="en-AU"/>
        </w:rPr>
        <w:t xml:space="preserve"> </w:t>
      </w:r>
    </w:p>
    <w:p w:rsidR="00695555" w:rsidRPr="007D0EE4" w:rsidRDefault="00695555" w:rsidP="00695555">
      <w:pPr>
        <w:ind w:left="720"/>
        <w:rPr>
          <w:rFonts w:asciiTheme="minorHAnsi" w:hAnsiTheme="minorHAnsi"/>
          <w:i/>
        </w:rPr>
      </w:pPr>
      <w:r w:rsidRPr="007D0EE4">
        <w:rPr>
          <w:rFonts w:asciiTheme="minorHAnsi" w:hAnsiTheme="minorHAnsi"/>
          <w:i/>
        </w:rPr>
        <w:t xml:space="preserve">Well I've gone and seen </w:t>
      </w:r>
      <w:r>
        <w:rPr>
          <w:rFonts w:asciiTheme="minorHAnsi" w:hAnsiTheme="minorHAnsi"/>
          <w:i/>
        </w:rPr>
        <w:t>[housing service]</w:t>
      </w:r>
      <w:r w:rsidRPr="007D0EE4">
        <w:rPr>
          <w:rFonts w:asciiTheme="minorHAnsi" w:hAnsiTheme="minorHAnsi"/>
          <w:i/>
        </w:rPr>
        <w:t xml:space="preserve">, I've gone </w:t>
      </w:r>
      <w:r>
        <w:rPr>
          <w:rFonts w:asciiTheme="minorHAnsi" w:hAnsiTheme="minorHAnsi"/>
          <w:i/>
        </w:rPr>
        <w:t>–</w:t>
      </w:r>
      <w:r w:rsidRPr="007D0EE4">
        <w:rPr>
          <w:rFonts w:asciiTheme="minorHAnsi" w:hAnsiTheme="minorHAnsi"/>
          <w:i/>
        </w:rPr>
        <w:t xml:space="preserve"> </w:t>
      </w:r>
      <w:r>
        <w:rPr>
          <w:rFonts w:asciiTheme="minorHAnsi" w:hAnsiTheme="minorHAnsi"/>
          <w:i/>
        </w:rPr>
        <w:t xml:space="preserve">[employment agency] </w:t>
      </w:r>
      <w:r w:rsidRPr="007D0EE4">
        <w:rPr>
          <w:rFonts w:asciiTheme="minorHAnsi" w:hAnsiTheme="minorHAnsi"/>
          <w:i/>
        </w:rPr>
        <w:t xml:space="preserve">are helping me out. I've seen </w:t>
      </w:r>
      <w:r>
        <w:rPr>
          <w:rFonts w:asciiTheme="minorHAnsi" w:hAnsiTheme="minorHAnsi"/>
          <w:i/>
        </w:rPr>
        <w:t xml:space="preserve">[family service and financial service] </w:t>
      </w:r>
      <w:r w:rsidR="00AF7C01">
        <w:rPr>
          <w:rFonts w:asciiTheme="minorHAnsi" w:hAnsiTheme="minorHAnsi"/>
          <w:i/>
        </w:rPr>
        <w:t>as well, yeah, all them</w:t>
      </w:r>
      <w:r w:rsidRPr="007D0EE4">
        <w:rPr>
          <w:rFonts w:asciiTheme="minorHAnsi" w:hAnsiTheme="minorHAnsi"/>
          <w:i/>
        </w:rPr>
        <w:t xml:space="preserve">. Some of them help me out with </w:t>
      </w:r>
      <w:proofErr w:type="gramStart"/>
      <w:r w:rsidRPr="007D0EE4">
        <w:rPr>
          <w:rFonts w:asciiTheme="minorHAnsi" w:hAnsiTheme="minorHAnsi"/>
          <w:i/>
        </w:rPr>
        <w:t>food,</w:t>
      </w:r>
      <w:proofErr w:type="gramEnd"/>
      <w:r w:rsidRPr="007D0EE4">
        <w:rPr>
          <w:rFonts w:asciiTheme="minorHAnsi" w:hAnsiTheme="minorHAnsi"/>
          <w:i/>
        </w:rPr>
        <w:t xml:space="preserve"> some of them help me out with getting my bills paid. Some of them help me out with I don't know, a combination. I got a tent and swag a couple of months ago, yeah</w:t>
      </w:r>
      <w:r>
        <w:rPr>
          <w:rFonts w:asciiTheme="minorHAnsi" w:hAnsiTheme="minorHAnsi"/>
          <w:i/>
        </w:rPr>
        <w:t>, so they've been pretty sweet (Interviewee</w:t>
      </w:r>
      <w:r w:rsidRPr="00806DE5">
        <w:rPr>
          <w:rFonts w:asciiTheme="minorHAnsi" w:hAnsiTheme="minorHAnsi"/>
          <w:i/>
        </w:rPr>
        <w:t xml:space="preserve"> </w:t>
      </w:r>
      <w:r>
        <w:rPr>
          <w:rFonts w:asciiTheme="minorHAnsi" w:hAnsiTheme="minorHAnsi"/>
          <w:i/>
        </w:rPr>
        <w:t>22)</w:t>
      </w:r>
      <w:r w:rsidR="000913E3">
        <w:rPr>
          <w:rFonts w:asciiTheme="minorHAnsi" w:hAnsiTheme="minorHAnsi"/>
          <w:i/>
        </w:rPr>
        <w:t>.</w:t>
      </w:r>
    </w:p>
    <w:p w:rsidR="00695555" w:rsidRDefault="00695555" w:rsidP="00695555">
      <w:pPr>
        <w:pStyle w:val="FAREnormaltext"/>
      </w:pPr>
      <w:proofErr w:type="gramStart"/>
      <w:r w:rsidRPr="00367805">
        <w:t>As one participant who had contact with a number of services, including an AOD service and support group</w:t>
      </w:r>
      <w:r>
        <w:t xml:space="preserve"> and</w:t>
      </w:r>
      <w:r w:rsidRPr="00367805">
        <w:t xml:space="preserve"> community based services said, ‘so one referral tends to lead to another, which is good’.</w:t>
      </w:r>
      <w:proofErr w:type="gramEnd"/>
      <w:r w:rsidRPr="00367805">
        <w:t xml:space="preserve"> </w:t>
      </w:r>
    </w:p>
    <w:p w:rsidR="00695555" w:rsidRDefault="00695555" w:rsidP="00695555">
      <w:pPr>
        <w:pStyle w:val="FAREnormaltext"/>
        <w:rPr>
          <w:i/>
        </w:rPr>
      </w:pPr>
      <w:r>
        <w:t xml:space="preserve">A variety of care pathways were experienced by participants ranging from optimal to fragmented. The two cases studies below provide an illustration of both ends of the care pathway spectrum. </w:t>
      </w:r>
    </w:p>
    <w:p w:rsidR="00A83DA9" w:rsidRDefault="00A83DA9">
      <w:pPr>
        <w:spacing w:after="120" w:line="240" w:lineRule="auto"/>
        <w:ind w:left="1191" w:hanging="1134"/>
        <w:jc w:val="both"/>
        <w:rPr>
          <w:b/>
        </w:rPr>
      </w:pPr>
      <w:r>
        <w:rPr>
          <w:b/>
        </w:rPr>
        <w:br w:type="page"/>
      </w:r>
    </w:p>
    <w:p w:rsidR="00695555" w:rsidRPr="00C16564" w:rsidRDefault="00695555" w:rsidP="00695555">
      <w:pPr>
        <w:rPr>
          <w:b/>
        </w:rPr>
      </w:pPr>
      <w:r w:rsidRPr="00C16564">
        <w:rPr>
          <w:b/>
        </w:rPr>
        <w:lastRenderedPageBreak/>
        <w:t xml:space="preserve">Case study 2: successful treatment journey and linkages with services </w:t>
      </w:r>
    </w:p>
    <w:tbl>
      <w:tblPr>
        <w:tblStyle w:val="TableGrid"/>
        <w:tblW w:w="0" w:type="auto"/>
        <w:tblLook w:val="04A0" w:firstRow="1" w:lastRow="0" w:firstColumn="1" w:lastColumn="0" w:noHBand="0" w:noVBand="1"/>
        <w:tblCaption w:val="Case study 2: successful treatment journey and linkages with services "/>
        <w:tblDescription w:val="Case study 2: successful treatment journey and linkages with services "/>
      </w:tblPr>
      <w:tblGrid>
        <w:gridCol w:w="9242"/>
      </w:tblGrid>
      <w:tr w:rsidR="00695555" w:rsidTr="00046CCA">
        <w:trPr>
          <w:tblHeader/>
        </w:trPr>
        <w:tc>
          <w:tcPr>
            <w:tcW w:w="9242" w:type="dxa"/>
          </w:tcPr>
          <w:p w:rsidR="00695555" w:rsidRDefault="00695555" w:rsidP="00695555">
            <w:r>
              <w:t xml:space="preserve">Joe had received AOD treatment on and off over the past five years, had previous contact with the legal system and had experienced ongoing mental health issues. Following the most recent episode of inpatient withdrawal, Joe engaged in a short-term supported accommodation program. As part of the program, Joe was required to attend AOD counselling at a nearby AOD specialist service. Accessing the counselling was fairly easy and required an initial telephone call to book an assessment appointment.  Joe attended counselling on a regular basis and ‘clicked’ with the counsellor.  Around this time, Joe became a new father and was given full custody of his child. Joe had few friends and received little support from his family.  In many ways, Joe’s AOD counsellor was his main support source.  Together, Joe and the counsellor developed a </w:t>
            </w:r>
            <w:r w:rsidRPr="00C9214D">
              <w:t>care plan as a way to help Jo</w:t>
            </w:r>
            <w:r>
              <w:t>e</w:t>
            </w:r>
            <w:r w:rsidRPr="00C9214D">
              <w:t xml:space="preserve"> identify and manage immediate issues as</w:t>
            </w:r>
            <w:r>
              <w:t xml:space="preserve"> well as work through some long-</w:t>
            </w:r>
            <w:r w:rsidRPr="00C9214D">
              <w:t>standing problems associated with violence,</w:t>
            </w:r>
            <w:r>
              <w:t xml:space="preserve"> drug use and low self-esteem. To help Joe address his mental health issues, the AOD counsellor recommended that Joe speak with his GP about organising a mental health plan and referral to a psychologist. Through recommendations and support from his AOD counsellor, Joe also accessed a crisis centre which provided emergency supplies and links to financial support services, including an advocate who helped Joe organise a payment plan arrangement with utility providers.  Bit by bit, Joe’s support network expanded as he became engaged with a range of services including a parenting support group, a family support worker and a child health nurse who made regular home visits. During this time, Joe stopped seeing the AOD counsellor as the counsellor changed job, but this was </w:t>
            </w:r>
            <w:r w:rsidR="00FB5A38">
              <w:t xml:space="preserve">okay </w:t>
            </w:r>
            <w:r>
              <w:t xml:space="preserve">as Joe felt he had achieved a lot from the counselling and had established supports in place.  </w:t>
            </w:r>
          </w:p>
          <w:p w:rsidR="00695555" w:rsidRPr="00C75A3B" w:rsidRDefault="00695555" w:rsidP="00695555">
            <w:r>
              <w:t>Given the number of services Joe was engaged with, the referral pathway was often unclear. However, in Joe’s case one referral tended to lead to another referral and via the support he received from multiple sources he was able to maintain custody of his child, manage his mental health and minimise the risk of relapse. As Joe said ‘it was like I might not have directly asked the question, but they helped me to realise that it is a question that is worth being asked, because there is a link.  There is something they can provide’.</w:t>
            </w:r>
          </w:p>
        </w:tc>
      </w:tr>
    </w:tbl>
    <w:p w:rsidR="00695555" w:rsidRDefault="00695555" w:rsidP="00695555">
      <w:pPr>
        <w:pStyle w:val="FAREnormaltext"/>
        <w:rPr>
          <w:i/>
        </w:rPr>
      </w:pPr>
    </w:p>
    <w:p w:rsidR="00695555" w:rsidRPr="00E70D3C" w:rsidRDefault="00695555" w:rsidP="00695555">
      <w:pPr>
        <w:rPr>
          <w:b/>
        </w:rPr>
      </w:pPr>
      <w:r w:rsidRPr="00E70D3C">
        <w:rPr>
          <w:b/>
        </w:rPr>
        <w:t xml:space="preserve">Case study 3: Complex needs and high level of services use (or fragmented service experience) </w:t>
      </w:r>
    </w:p>
    <w:tbl>
      <w:tblPr>
        <w:tblStyle w:val="TableGrid"/>
        <w:tblW w:w="0" w:type="auto"/>
        <w:tblLook w:val="04A0" w:firstRow="1" w:lastRow="0" w:firstColumn="1" w:lastColumn="0" w:noHBand="0" w:noVBand="1"/>
        <w:tblCaption w:val="Case study 2: successful treatment journey and linkages with services "/>
        <w:tblDescription w:val="Case study 2: successful treatment journey and linkages with services "/>
      </w:tblPr>
      <w:tblGrid>
        <w:gridCol w:w="9242"/>
      </w:tblGrid>
      <w:tr w:rsidR="00695555" w:rsidTr="00046CCA">
        <w:trPr>
          <w:tblHeader/>
        </w:trPr>
        <w:tc>
          <w:tcPr>
            <w:tcW w:w="9242" w:type="dxa"/>
          </w:tcPr>
          <w:p w:rsidR="00695555" w:rsidRDefault="00695555" w:rsidP="00695555">
            <w:r>
              <w:lastRenderedPageBreak/>
              <w:t xml:space="preserve">Jim has had episodic contact with various AOD and welfare agencies for over a decade. He is quite knowledgeable and proactive about engaging with the services that he needs. He self-referred to his most recent detox centre, by attending his regular GP in order to get the appropriate referral – “Listen Doc, I need to get this paperwork filled so I can go into detox”. Jim’s main goal has been attending </w:t>
            </w:r>
            <w:proofErr w:type="gramStart"/>
            <w:r>
              <w:t>rehab,</w:t>
            </w:r>
            <w:proofErr w:type="gramEnd"/>
            <w:r>
              <w:t xml:space="preserve"> however this has been complicated by factors including homelessness and mental health issues. He has made numerous attempts at rehab, largely driven by his need for accommodation. Jim has overall been very satisfied with the quality of the programs and has developed rapport with the staff, </w:t>
            </w:r>
            <w:proofErr w:type="gramStart"/>
            <w:r>
              <w:t>whom</w:t>
            </w:r>
            <w:proofErr w:type="gramEnd"/>
            <w:r>
              <w:t xml:space="preserve"> he describes as “very compassionate people”. He has, however struggled with the daily rigours of life in rehab occasionally, and has gotten into trouble and been asked to leave.  By admitting responsibility, he has been allowed to re-enter some services. </w:t>
            </w:r>
          </w:p>
          <w:p w:rsidR="00695555" w:rsidRDefault="00695555" w:rsidP="00695555">
            <w:r>
              <w:t>A recent stint in rehab has seen Jim reach a crossroads. He is “over rehabs” after repeat attempts, but still wants to address AOD issues, and long-term housing needs. He has been in contact with numerous housing and welfare services, and is on a waiting list, but still requires further assistance. He has been proactive by contacting various telephone counselling and referral services. Jim is currently seeing a counsellor at an AOD service, but thinks he should visit his GP for referral to “some free psychology sessions” via a mental health plan. Ultimately, he wants ongoing psychological counselling and support to address past and current relationships, though his financial situation has prevented this. Due to his drinking, multiple ambulance attendances, emergency room admissions and arrests have occurred. Jim admits to being a “disturbance to the neighbourhood” which puts his current accommodation at risk. Jim recognises the gravity of his situation, and that he has “come to a point... where he has got crisis going on in my life... not just accommodation, but also to do with my addiction...”</w:t>
            </w:r>
          </w:p>
          <w:p w:rsidR="00695555" w:rsidRDefault="00695555" w:rsidP="00695555">
            <w:r>
              <w:t>Jim has limited informal support. His main support source is his mother, though the relationship is complicated by a restraining order due to an outburst in her presence, and the fact that “she gets a lot of anxiety” caused by his circumstances. Although he can blackout and behave inappropriately, his mother remains supportive. Jim has attempted to expand his informal support base, and has recently been attending church and has had some informal mentoring from a pastor. He has a close friend from whom he receives support, but has tended to alienate himself from most friends due to his problems with alcohol: “no one wants to know me when I’ve been drinking...”</w:t>
            </w:r>
          </w:p>
          <w:p w:rsidR="00695555" w:rsidRDefault="00695555" w:rsidP="00695555">
            <w:pPr>
              <w:rPr>
                <w:i/>
              </w:rPr>
            </w:pPr>
            <w:r>
              <w:t>Psychological issues have been one of the main difficulties Jim has encountered in seeking treatment</w:t>
            </w:r>
            <w:proofErr w:type="gramStart"/>
            <w:r>
              <w:t>..</w:t>
            </w:r>
            <w:proofErr w:type="gramEnd"/>
            <w:r>
              <w:t xml:space="preserve"> Services have previously had difficulty in getting in contact with Jim due to numerous periods where he has been off the grid: lost phones, address changes etc. Despite having a case manager that he describes as “a nice lady”, she often appears disengaged with his situation and so he feels he is doing “more work for </w:t>
            </w:r>
            <w:proofErr w:type="gramStart"/>
            <w:r>
              <w:t>myself</w:t>
            </w:r>
            <w:proofErr w:type="gramEnd"/>
            <w:r>
              <w:t xml:space="preserve"> than sometimes what she’s doing”. Again, this tends to occur when he is most in need of assistance.  Jim reports that a housing worker has been somewhat helpful and recently linked in with a tenancy advocate to assist him concerning his likely eviction. Jim’s main priorities going forward are obtaining counselling, staying clean and sober and having stable accommodation. He would also like to gain some employment, even if this is voluntary. He faces immediate concerns, however, including an impending eviction, which is limiting overall progress.  </w:t>
            </w:r>
          </w:p>
        </w:tc>
      </w:tr>
    </w:tbl>
    <w:p w:rsidR="00695555" w:rsidRPr="00D05E08" w:rsidRDefault="00695555" w:rsidP="00695555">
      <w:pPr>
        <w:keepNext/>
        <w:keepLines/>
        <w:spacing w:before="120" w:after="120"/>
        <w:outlineLvl w:val="1"/>
        <w:rPr>
          <w:rFonts w:ascii="Cambria" w:eastAsia="SimSun" w:hAnsi="Cambria"/>
          <w:bCs/>
          <w:i/>
          <w:sz w:val="24"/>
          <w:szCs w:val="24"/>
        </w:rPr>
      </w:pPr>
      <w:r>
        <w:rPr>
          <w:rFonts w:ascii="Cambria" w:eastAsia="SimSun" w:hAnsi="Cambria"/>
          <w:bCs/>
          <w:i/>
          <w:sz w:val="24"/>
          <w:szCs w:val="24"/>
        </w:rPr>
        <w:t xml:space="preserve">Significant other support as recovery capital </w:t>
      </w:r>
    </w:p>
    <w:p w:rsidR="00695555" w:rsidRDefault="00695555" w:rsidP="00695555">
      <w:pPr>
        <w:pStyle w:val="FAREnormaltext"/>
      </w:pPr>
      <w:r>
        <w:t xml:space="preserve">Family was viewed as a significant source of support for participants; however some associated this form of support with guilt feelings as much as gratitude. A small number of participants had a supportive partner and a few others sought support from extended family members as opposed to immediate family. </w:t>
      </w:r>
    </w:p>
    <w:p w:rsidR="00695555" w:rsidRPr="00C72423" w:rsidRDefault="00695555" w:rsidP="00695555">
      <w:pPr>
        <w:pStyle w:val="FAREnormaltext"/>
        <w:ind w:left="720"/>
        <w:rPr>
          <w:i/>
        </w:rPr>
      </w:pPr>
      <w:r w:rsidRPr="00C72423">
        <w:rPr>
          <w:i/>
        </w:rPr>
        <w:t xml:space="preserve">I've had a lot of support from my family which has been good in some aspects. </w:t>
      </w:r>
      <w:proofErr w:type="gramStart"/>
      <w:r w:rsidRPr="00C72423">
        <w:rPr>
          <w:i/>
        </w:rPr>
        <w:t xml:space="preserve">Like I can't believe how supportive they've been because [unclear] dealing with the law last year, the car </w:t>
      </w:r>
      <w:r w:rsidRPr="00C72423">
        <w:rPr>
          <w:i/>
        </w:rPr>
        <w:lastRenderedPageBreak/>
        <w:t>accident.</w:t>
      </w:r>
      <w:proofErr w:type="gramEnd"/>
      <w:r w:rsidRPr="00C72423">
        <w:rPr>
          <w:i/>
        </w:rPr>
        <w:t xml:space="preserve"> Yeah, my family basically knew I'd taken drugs, but they came in and I've had financial support and emotional support and I didn't actually ask them for it and I didn't expect them to, considering because I was on drugs at the time</w:t>
      </w:r>
      <w:r w:rsidRPr="00BC54BE">
        <w:rPr>
          <w:rFonts w:asciiTheme="minorHAnsi" w:hAnsiTheme="minorHAnsi"/>
          <w:i/>
        </w:rPr>
        <w:t xml:space="preserve"> </w:t>
      </w:r>
      <w:r>
        <w:rPr>
          <w:rFonts w:asciiTheme="minorHAnsi" w:hAnsiTheme="minorHAnsi"/>
          <w:i/>
        </w:rPr>
        <w:t>(Interviewee</w:t>
      </w:r>
      <w:r w:rsidRPr="00806DE5">
        <w:rPr>
          <w:rFonts w:asciiTheme="minorHAnsi" w:hAnsiTheme="minorHAnsi"/>
          <w:i/>
        </w:rPr>
        <w:t xml:space="preserve"> </w:t>
      </w:r>
      <w:r>
        <w:rPr>
          <w:rFonts w:asciiTheme="minorHAnsi" w:hAnsiTheme="minorHAnsi"/>
          <w:i/>
        </w:rPr>
        <w:t>38)</w:t>
      </w:r>
      <w:r>
        <w:rPr>
          <w:i/>
        </w:rPr>
        <w:t>.</w:t>
      </w:r>
    </w:p>
    <w:p w:rsidR="00695555" w:rsidRDefault="00695555" w:rsidP="00695555">
      <w:pPr>
        <w:pStyle w:val="FAREnormaltext"/>
      </w:pPr>
      <w:r>
        <w:t xml:space="preserve">Connections with friends were also important, yet these relationships were often closely managed as a way to avoid placing any burden on the relationship. In most cases, participants identified one or more close friends. Some participants had also made the decision to distance themselves from their drinking or drug using friends. This often left participants feeling lonely and socially isolated, especially participants who had little or no contact with family. </w:t>
      </w:r>
    </w:p>
    <w:p w:rsidR="00695555" w:rsidRPr="00C72423" w:rsidRDefault="00695555" w:rsidP="00695555">
      <w:pPr>
        <w:pStyle w:val="FAREnormaltext"/>
        <w:ind w:left="720"/>
        <w:rPr>
          <w:i/>
        </w:rPr>
      </w:pPr>
      <w:r w:rsidRPr="00C72423">
        <w:rPr>
          <w:i/>
        </w:rPr>
        <w:t xml:space="preserve">So I didn't actually have any real close circle of friends anymore.  The only close </w:t>
      </w:r>
      <w:proofErr w:type="gramStart"/>
      <w:r w:rsidRPr="00C72423">
        <w:rPr>
          <w:i/>
        </w:rPr>
        <w:t>circle of friends that I developed were</w:t>
      </w:r>
      <w:proofErr w:type="gramEnd"/>
      <w:r w:rsidRPr="00C72423">
        <w:rPr>
          <w:i/>
        </w:rPr>
        <w:t xml:space="preserve"> to do with drugs.  So at the moment the only people I know really if I go through my phonebo</w:t>
      </w:r>
      <w:r>
        <w:rPr>
          <w:i/>
        </w:rPr>
        <w:t xml:space="preserve">ok is people to do with drugs. </w:t>
      </w:r>
      <w:proofErr w:type="gramStart"/>
      <w:r w:rsidRPr="00C72423">
        <w:rPr>
          <w:i/>
        </w:rPr>
        <w:t>Yeah so there's no support network there (</w:t>
      </w:r>
      <w:r>
        <w:rPr>
          <w:rFonts w:asciiTheme="minorHAnsi" w:hAnsiTheme="minorHAnsi"/>
          <w:i/>
        </w:rPr>
        <w:t>Interviewee</w:t>
      </w:r>
      <w:r w:rsidRPr="00806DE5">
        <w:rPr>
          <w:rFonts w:asciiTheme="minorHAnsi" w:hAnsiTheme="minorHAnsi"/>
          <w:i/>
        </w:rPr>
        <w:t xml:space="preserve"> </w:t>
      </w:r>
      <w:r>
        <w:rPr>
          <w:rFonts w:asciiTheme="minorHAnsi" w:hAnsiTheme="minorHAnsi"/>
          <w:i/>
        </w:rPr>
        <w:t>26</w:t>
      </w:r>
      <w:r w:rsidRPr="00C72423">
        <w:rPr>
          <w:i/>
        </w:rPr>
        <w:t>).</w:t>
      </w:r>
      <w:proofErr w:type="gramEnd"/>
      <w:r w:rsidRPr="00C72423">
        <w:rPr>
          <w:i/>
        </w:rPr>
        <w:t xml:space="preserve"> </w:t>
      </w:r>
    </w:p>
    <w:p w:rsidR="004212FD" w:rsidRDefault="00695555" w:rsidP="00695555">
      <w:pPr>
        <w:pStyle w:val="FAREnormaltext"/>
      </w:pPr>
      <w:r>
        <w:t xml:space="preserve">Mutual help groups such as AA were the main support source for a small number, and these participants attended AA groups during their PIT. As one participant explained ‘it [AA] helps you to have a way of living beyond any rehabilitation period’. </w:t>
      </w:r>
      <w:r w:rsidR="001524FA">
        <w:t xml:space="preserve">Several </w:t>
      </w:r>
      <w:r>
        <w:t xml:space="preserve">participants had </w:t>
      </w:r>
      <w:r w:rsidR="001524FA">
        <w:t xml:space="preserve">experienced AA or NA either prior to or after PIT, but </w:t>
      </w:r>
      <w:r>
        <w:t>chose not to return.</w:t>
      </w:r>
    </w:p>
    <w:p w:rsidR="00695555" w:rsidRDefault="004212FD" w:rsidP="00695555">
      <w:pPr>
        <w:pStyle w:val="FAREnormaltext"/>
      </w:pPr>
      <w:r>
        <w:t xml:space="preserve"> </w:t>
      </w:r>
      <w:r w:rsidR="00695555">
        <w:t xml:space="preserve">Involvement in a community </w:t>
      </w:r>
      <w:r w:rsidR="001524FA">
        <w:t xml:space="preserve">or non-AOD specific support </w:t>
      </w:r>
      <w:r w:rsidR="00695555">
        <w:t xml:space="preserve">group, church or club provided some participants with support and social connections, while at the same time it created an opportunity for participants to make a positive contribution and help others. These connections also provided participants with a sense of belonging. </w:t>
      </w:r>
    </w:p>
    <w:p w:rsidR="00695555" w:rsidRDefault="00695555" w:rsidP="00695555">
      <w:pPr>
        <w:pStyle w:val="FAREnormaltext"/>
        <w:ind w:left="720"/>
        <w:rPr>
          <w:i/>
        </w:rPr>
      </w:pPr>
      <w:r w:rsidRPr="00C72423">
        <w:rPr>
          <w:i/>
        </w:rPr>
        <w:t xml:space="preserve">I spend a bit of time at the soup kitchen, helping out there – cooking and handing out groceries and stuff.  We do – also </w:t>
      </w:r>
      <w:r>
        <w:rPr>
          <w:i/>
        </w:rPr>
        <w:t>I</w:t>
      </w:r>
      <w:r w:rsidRPr="00C72423">
        <w:rPr>
          <w:i/>
        </w:rPr>
        <w:t>’m a Rotarian</w:t>
      </w:r>
      <w:proofErr w:type="gramStart"/>
      <w:r w:rsidRPr="00C72423">
        <w:rPr>
          <w:i/>
        </w:rPr>
        <w:t>...[</w:t>
      </w:r>
      <w:proofErr w:type="gramEnd"/>
      <w:r w:rsidRPr="00C72423">
        <w:rPr>
          <w:i/>
        </w:rPr>
        <w:t>Interviewer: In what way, if at all, are these informal supports helpful to you?] Oh they just keep me involved socially.  Not isolated, keep me doing stuff.  It’s fairly satisfying activities in the – trying to help people out (</w:t>
      </w:r>
      <w:r>
        <w:rPr>
          <w:rFonts w:asciiTheme="minorHAnsi" w:hAnsiTheme="minorHAnsi"/>
          <w:i/>
        </w:rPr>
        <w:t>Interviewee</w:t>
      </w:r>
      <w:r w:rsidRPr="00806DE5">
        <w:rPr>
          <w:rFonts w:asciiTheme="minorHAnsi" w:hAnsiTheme="minorHAnsi"/>
          <w:i/>
        </w:rPr>
        <w:t xml:space="preserve"> </w:t>
      </w:r>
      <w:r>
        <w:rPr>
          <w:rFonts w:asciiTheme="minorHAnsi" w:hAnsiTheme="minorHAnsi"/>
          <w:i/>
        </w:rPr>
        <w:t>39</w:t>
      </w:r>
      <w:r w:rsidRPr="00C72423">
        <w:rPr>
          <w:i/>
        </w:rPr>
        <w:t xml:space="preserve">). </w:t>
      </w:r>
    </w:p>
    <w:p w:rsidR="00695555" w:rsidRPr="001758DB" w:rsidRDefault="00695555" w:rsidP="00695555">
      <w:pPr>
        <w:pStyle w:val="FAREH2Nbr"/>
        <w:numPr>
          <w:ilvl w:val="1"/>
          <w:numId w:val="0"/>
        </w:numPr>
        <w:ind w:left="993" w:hanging="993"/>
      </w:pPr>
      <w:bookmarkStart w:id="139" w:name="_Toc388374606"/>
      <w:bookmarkStart w:id="140" w:name="_Toc398105050"/>
      <w:r>
        <w:t>Treatment b</w:t>
      </w:r>
      <w:r w:rsidRPr="001758DB">
        <w:t>arriers</w:t>
      </w:r>
      <w:bookmarkEnd w:id="139"/>
      <w:bookmarkEnd w:id="140"/>
    </w:p>
    <w:p w:rsidR="00695555" w:rsidRPr="00B91B97" w:rsidRDefault="00695555" w:rsidP="00695555">
      <w:pPr>
        <w:pStyle w:val="FAREnormaltext"/>
      </w:pPr>
      <w:r w:rsidRPr="00B91B97">
        <w:t>Factors identified by participants as impeding access to treatment services tend</w:t>
      </w:r>
      <w:r>
        <w:t>ed</w:t>
      </w:r>
      <w:r w:rsidRPr="00B91B97">
        <w:t xml:space="preserve"> to focus on the</w:t>
      </w:r>
      <w:r>
        <w:t>ir</w:t>
      </w:r>
      <w:r w:rsidRPr="00B91B97">
        <w:t xml:space="preserve"> ability to get to services; affordability of services (especially where multiple/concurrent service supports are required); staff attitudes; attitudes of non-AOD service staff; and the capacity of services.</w:t>
      </w:r>
    </w:p>
    <w:p w:rsidR="00695555" w:rsidRPr="00203826" w:rsidRDefault="00695555" w:rsidP="00695555">
      <w:pPr>
        <w:pStyle w:val="FAREnormaltext"/>
      </w:pPr>
      <w:r>
        <w:t>A</w:t>
      </w:r>
      <w:r w:rsidRPr="00B91B97">
        <w:t xml:space="preserve">bility to </w:t>
      </w:r>
      <w:r>
        <w:t xml:space="preserve">access </w:t>
      </w:r>
      <w:r w:rsidRPr="00B91B97">
        <w:t>services is infl</w:t>
      </w:r>
      <w:r>
        <w:t xml:space="preserve">uenced by a number of factors. </w:t>
      </w:r>
      <w:r w:rsidRPr="00B91B97">
        <w:t>For some participants</w:t>
      </w:r>
      <w:r>
        <w:t>,</w:t>
      </w:r>
      <w:r w:rsidRPr="00B91B97">
        <w:t xml:space="preserve"> the ability to </w:t>
      </w:r>
      <w:r>
        <w:t>attend an appointment at a service i</w:t>
      </w:r>
      <w:r w:rsidRPr="00B91B97">
        <w:t>s impeded by their access to transportation, with some relying on family to transport them and others relying on public tran</w:t>
      </w:r>
      <w:r>
        <w:t xml:space="preserve">sport (if they can afford it). </w:t>
      </w:r>
      <w:r w:rsidRPr="00203826">
        <w:t>Appointment a</w:t>
      </w:r>
      <w:r>
        <w:t xml:space="preserve">nd scheduled meeting times were </w:t>
      </w:r>
      <w:r w:rsidRPr="00203826">
        <w:t>a ch</w:t>
      </w:r>
      <w:r>
        <w:t>allenge for some. T</w:t>
      </w:r>
      <w:r w:rsidRPr="00203826">
        <w:t>his was due to treatment services being available only during the business day</w:t>
      </w:r>
      <w:r>
        <w:t>,</w:t>
      </w:r>
      <w:r w:rsidRPr="00203826">
        <w:t xml:space="preserve"> when they needed to be at work or engaged in study</w:t>
      </w:r>
      <w:r>
        <w:t xml:space="preserve">. </w:t>
      </w:r>
      <w:r w:rsidRPr="00203826">
        <w:t>One participant suggested that at least one ‘late night’ opening would improve their ability to ac</w:t>
      </w:r>
      <w:r>
        <w:t xml:space="preserve">cess services. </w:t>
      </w:r>
      <w:r w:rsidRPr="00203826">
        <w:t>For others, frustrations surrounded the need for a referral to see a ps</w:t>
      </w:r>
      <w:r>
        <w:t>ychologist/</w:t>
      </w:r>
      <w:r w:rsidRPr="00203826">
        <w:t>psychiatrist or the inability to access counsellors routinely on the phone outside of counselling sessions and session times.</w:t>
      </w:r>
      <w:r>
        <w:t xml:space="preserve"> </w:t>
      </w:r>
      <w:r w:rsidRPr="00203826">
        <w:t xml:space="preserve">This was balanced with frustrations surrounding access to </w:t>
      </w:r>
      <w:r w:rsidRPr="00203826">
        <w:lastRenderedPageBreak/>
        <w:t xml:space="preserve">practitioners </w:t>
      </w:r>
      <w:r>
        <w:t xml:space="preserve">with long waiting times. </w:t>
      </w:r>
      <w:r w:rsidRPr="00203826">
        <w:t>At least one participant described the impact of mental health issues on their ability to access AOD services.</w:t>
      </w:r>
    </w:p>
    <w:p w:rsidR="00695555" w:rsidRDefault="00695555" w:rsidP="00695555">
      <w:pPr>
        <w:spacing w:after="0" w:line="240" w:lineRule="auto"/>
        <w:ind w:left="720"/>
        <w:rPr>
          <w:rFonts w:asciiTheme="minorHAnsi" w:hAnsiTheme="minorHAnsi"/>
          <w:i/>
        </w:rPr>
      </w:pPr>
      <w:r w:rsidRPr="004E02E3">
        <w:rPr>
          <w:rFonts w:asciiTheme="minorHAnsi" w:hAnsiTheme="minorHAnsi"/>
          <w:i/>
        </w:rPr>
        <w:t>[</w:t>
      </w:r>
      <w:r w:rsidRPr="001758DB">
        <w:rPr>
          <w:rFonts w:asciiTheme="minorHAnsi" w:hAnsiTheme="minorHAnsi"/>
          <w:i/>
        </w:rPr>
        <w:t>Interviewer: What things, if any, made it difficult or hard for you to access any of these services?] Sometimes getting out of the house, but that would be - yeah, that's just a personal problem. Yeah, sometimes if I was having anxiety attacks, just actually getting there (</w:t>
      </w:r>
      <w:r>
        <w:rPr>
          <w:rFonts w:asciiTheme="minorHAnsi" w:hAnsiTheme="minorHAnsi"/>
          <w:i/>
        </w:rPr>
        <w:t>Interviewee</w:t>
      </w:r>
      <w:r w:rsidRPr="00806DE5">
        <w:rPr>
          <w:rFonts w:asciiTheme="minorHAnsi" w:hAnsiTheme="minorHAnsi"/>
          <w:i/>
        </w:rPr>
        <w:t xml:space="preserve"> </w:t>
      </w:r>
      <w:r>
        <w:rPr>
          <w:rFonts w:asciiTheme="minorHAnsi" w:hAnsiTheme="minorHAnsi"/>
          <w:i/>
        </w:rPr>
        <w:t>38</w:t>
      </w:r>
      <w:r w:rsidRPr="001758DB">
        <w:rPr>
          <w:rFonts w:asciiTheme="minorHAnsi" w:hAnsiTheme="minorHAnsi"/>
          <w:i/>
        </w:rPr>
        <w:t>).</w:t>
      </w:r>
      <w:r w:rsidRPr="004E02E3">
        <w:rPr>
          <w:rFonts w:asciiTheme="minorHAnsi" w:hAnsiTheme="minorHAnsi"/>
          <w:i/>
        </w:rPr>
        <w:t xml:space="preserve"> </w:t>
      </w:r>
    </w:p>
    <w:p w:rsidR="00695555" w:rsidRPr="004E02E3" w:rsidRDefault="00695555" w:rsidP="00695555">
      <w:pPr>
        <w:spacing w:after="0" w:line="240" w:lineRule="auto"/>
        <w:ind w:left="720"/>
        <w:rPr>
          <w:rFonts w:asciiTheme="minorHAnsi" w:hAnsiTheme="minorHAnsi"/>
          <w:i/>
        </w:rPr>
      </w:pPr>
    </w:p>
    <w:p w:rsidR="00695555" w:rsidRPr="00203826" w:rsidRDefault="00695555" w:rsidP="00695555">
      <w:pPr>
        <w:pStyle w:val="FAREnormaltext"/>
      </w:pPr>
      <w:r w:rsidRPr="00203826">
        <w:t>Transport and scheduling issues relating to counselling services could be addressed with the increased use of telephone or online counselling.</w:t>
      </w:r>
    </w:p>
    <w:p w:rsidR="00695555" w:rsidRPr="001758DB" w:rsidRDefault="00695555" w:rsidP="00695555">
      <w:pPr>
        <w:ind w:left="720"/>
        <w:rPr>
          <w:rFonts w:asciiTheme="minorHAnsi" w:hAnsiTheme="minorHAnsi"/>
          <w:i/>
        </w:rPr>
      </w:pPr>
      <w:r w:rsidRPr="001758DB">
        <w:rPr>
          <w:rFonts w:asciiTheme="minorHAnsi" w:hAnsiTheme="minorHAnsi"/>
          <w:i/>
        </w:rPr>
        <w:t>But being able to access those things, because $5 to get around town to get to these services is a lot of money when you haven't got any, as you know</w:t>
      </w:r>
      <w:proofErr w:type="gramStart"/>
      <w:r>
        <w:rPr>
          <w:rFonts w:asciiTheme="minorHAnsi" w:hAnsiTheme="minorHAnsi"/>
          <w:i/>
        </w:rPr>
        <w:t>... .</w:t>
      </w:r>
      <w:proofErr w:type="gramEnd"/>
      <w:r w:rsidRPr="001758DB">
        <w:rPr>
          <w:rFonts w:asciiTheme="minorHAnsi" w:hAnsiTheme="minorHAnsi"/>
          <w:i/>
        </w:rPr>
        <w:t>I think that comes back to being able to have access at home for those that are really sick, that are really struggling to get - I mean to where I am now, to where I was back then, getting out of the house was just really hard.  It was a tough chore.  [Interviewer: So home access to really get over that transport hurdle?]  Yeah.  I think so and maybe telephone, a lot more telephone contact maybe from the services rather than having to go in (</w:t>
      </w:r>
      <w:r>
        <w:rPr>
          <w:rFonts w:asciiTheme="minorHAnsi" w:hAnsiTheme="minorHAnsi"/>
          <w:i/>
        </w:rPr>
        <w:t>Interviewee</w:t>
      </w:r>
      <w:r w:rsidRPr="00806DE5">
        <w:rPr>
          <w:rFonts w:asciiTheme="minorHAnsi" w:hAnsiTheme="minorHAnsi"/>
          <w:i/>
        </w:rPr>
        <w:t xml:space="preserve"> </w:t>
      </w:r>
      <w:r>
        <w:rPr>
          <w:rFonts w:asciiTheme="minorHAnsi" w:hAnsiTheme="minorHAnsi"/>
          <w:i/>
        </w:rPr>
        <w:t>41</w:t>
      </w:r>
      <w:r w:rsidRPr="001758DB">
        <w:rPr>
          <w:rFonts w:asciiTheme="minorHAnsi" w:hAnsiTheme="minorHAnsi"/>
          <w:i/>
        </w:rPr>
        <w:t>).</w:t>
      </w:r>
    </w:p>
    <w:p w:rsidR="00695555" w:rsidRPr="005568A3" w:rsidRDefault="00695555" w:rsidP="00695555">
      <w:pPr>
        <w:keepNext/>
        <w:keepLines/>
        <w:spacing w:before="120" w:after="120" w:line="240" w:lineRule="auto"/>
        <w:outlineLvl w:val="1"/>
        <w:rPr>
          <w:rFonts w:ascii="Cambria" w:eastAsia="SimSun" w:hAnsi="Cambria"/>
          <w:bCs/>
          <w:i/>
          <w:sz w:val="24"/>
          <w:szCs w:val="24"/>
        </w:rPr>
      </w:pPr>
      <w:r>
        <w:rPr>
          <w:rFonts w:ascii="Cambria" w:eastAsia="SimSun" w:hAnsi="Cambria"/>
          <w:bCs/>
          <w:i/>
          <w:sz w:val="24"/>
          <w:szCs w:val="24"/>
        </w:rPr>
        <w:t>A</w:t>
      </w:r>
      <w:r w:rsidRPr="005568A3">
        <w:rPr>
          <w:rFonts w:ascii="Cambria" w:eastAsia="SimSun" w:hAnsi="Cambria"/>
          <w:bCs/>
          <w:i/>
          <w:sz w:val="24"/>
          <w:szCs w:val="24"/>
        </w:rPr>
        <w:t>ffordability of services</w:t>
      </w:r>
    </w:p>
    <w:p w:rsidR="00695555" w:rsidRPr="00203826" w:rsidRDefault="00695555" w:rsidP="00695555">
      <w:pPr>
        <w:pStyle w:val="FAREnormaltext"/>
      </w:pPr>
      <w:r>
        <w:t xml:space="preserve">Some participants </w:t>
      </w:r>
      <w:r w:rsidRPr="00203826">
        <w:t>expressed frustration with the cost of services, either the value</w:t>
      </w:r>
      <w:r>
        <w:t>-for-money</w:t>
      </w:r>
      <w:r w:rsidRPr="00203826">
        <w:t>, or at their inability to access serv</w:t>
      </w:r>
      <w:r>
        <w:t xml:space="preserve">ices because of their cost. </w:t>
      </w:r>
      <w:r w:rsidRPr="00203826">
        <w:t>A common complaint from participants was about the disjuncture between length of funding and time required to recover fr</w:t>
      </w:r>
      <w:r>
        <w:t xml:space="preserve">om substance use disorders. </w:t>
      </w:r>
      <w:r w:rsidRPr="00203826">
        <w:t>This was particular</w:t>
      </w:r>
      <w:r>
        <w:t>ly</w:t>
      </w:r>
      <w:r w:rsidRPr="00203826">
        <w:t xml:space="preserve"> evident in relation to post-treatment counselling support.</w:t>
      </w:r>
    </w:p>
    <w:p w:rsidR="00695555" w:rsidRPr="004E02E3" w:rsidRDefault="00695555" w:rsidP="00695555">
      <w:pPr>
        <w:ind w:left="720"/>
        <w:rPr>
          <w:rFonts w:asciiTheme="minorHAnsi" w:hAnsiTheme="minorHAnsi"/>
          <w:i/>
        </w:rPr>
      </w:pPr>
      <w:r w:rsidRPr="004E02E3">
        <w:rPr>
          <w:rFonts w:asciiTheme="minorHAnsi" w:hAnsiTheme="minorHAnsi"/>
          <w:i/>
        </w:rPr>
        <w:t>Well you had to pay for it, even with psychologists with the counselling I followed it up and it was virtually a fulltim</w:t>
      </w:r>
      <w:r>
        <w:rPr>
          <w:rFonts w:asciiTheme="minorHAnsi" w:hAnsiTheme="minorHAnsi"/>
          <w:i/>
        </w:rPr>
        <w:t xml:space="preserve">e job, </w:t>
      </w:r>
      <w:r w:rsidRPr="004E02E3">
        <w:rPr>
          <w:rFonts w:asciiTheme="minorHAnsi" w:hAnsiTheme="minorHAnsi"/>
          <w:i/>
        </w:rPr>
        <w:t xml:space="preserve">mate.  It really was, just to get to see a psychologist for free.  Then when I - into my second sessions he goes, oh you know you only get five sessions for free and then you've got to pay.  It was sort of like I just said I'm not working.  I haven't got $220 to pay you every week. It was like, well why continue because he said, you need </w:t>
      </w:r>
      <w:r>
        <w:rPr>
          <w:rFonts w:asciiTheme="minorHAnsi" w:hAnsiTheme="minorHAnsi"/>
          <w:i/>
        </w:rPr>
        <w:t>long-term</w:t>
      </w:r>
      <w:r w:rsidRPr="004E02E3">
        <w:rPr>
          <w:rFonts w:asciiTheme="minorHAnsi" w:hAnsiTheme="minorHAnsi"/>
          <w:i/>
        </w:rPr>
        <w:t xml:space="preserve"> counselling.  But the government won't pay for it... When you're a recovering alcoholic and you've got no job and you've lost your career and everything else that goes with it, you haven't got $220 to pay a psychologist every week.  So that's not his fault, it's the government's fault (</w:t>
      </w:r>
      <w:r>
        <w:rPr>
          <w:rFonts w:asciiTheme="minorHAnsi" w:hAnsiTheme="minorHAnsi"/>
          <w:i/>
        </w:rPr>
        <w:t>Interviewee</w:t>
      </w:r>
      <w:r w:rsidRPr="00806DE5">
        <w:rPr>
          <w:rFonts w:asciiTheme="minorHAnsi" w:hAnsiTheme="minorHAnsi"/>
          <w:i/>
        </w:rPr>
        <w:t xml:space="preserve"> </w:t>
      </w:r>
      <w:r>
        <w:rPr>
          <w:rFonts w:asciiTheme="minorHAnsi" w:hAnsiTheme="minorHAnsi"/>
          <w:i/>
        </w:rPr>
        <w:t>40</w:t>
      </w:r>
      <w:r w:rsidRPr="004E02E3">
        <w:rPr>
          <w:rFonts w:asciiTheme="minorHAnsi" w:hAnsiTheme="minorHAnsi"/>
          <w:i/>
        </w:rPr>
        <w:t xml:space="preserve">). </w:t>
      </w:r>
    </w:p>
    <w:p w:rsidR="00695555" w:rsidRPr="005568A3" w:rsidRDefault="00695555" w:rsidP="00695555">
      <w:pPr>
        <w:keepNext/>
        <w:keepLines/>
        <w:spacing w:before="120" w:after="120" w:line="240" w:lineRule="auto"/>
        <w:outlineLvl w:val="1"/>
        <w:rPr>
          <w:rFonts w:ascii="Cambria" w:eastAsia="SimSun" w:hAnsi="Cambria"/>
          <w:bCs/>
          <w:i/>
          <w:sz w:val="24"/>
          <w:szCs w:val="24"/>
        </w:rPr>
      </w:pPr>
      <w:r>
        <w:rPr>
          <w:rFonts w:ascii="Cambria" w:eastAsia="SimSun" w:hAnsi="Cambria"/>
          <w:bCs/>
          <w:i/>
          <w:sz w:val="24"/>
          <w:szCs w:val="24"/>
        </w:rPr>
        <w:t>Negative s</w:t>
      </w:r>
      <w:r w:rsidRPr="005568A3">
        <w:rPr>
          <w:rFonts w:ascii="Cambria" w:eastAsia="SimSun" w:hAnsi="Cambria"/>
          <w:bCs/>
          <w:i/>
          <w:sz w:val="24"/>
          <w:szCs w:val="24"/>
        </w:rPr>
        <w:t>taff attitudes and behaviours</w:t>
      </w:r>
    </w:p>
    <w:p w:rsidR="00695555" w:rsidRPr="00203826" w:rsidRDefault="00695555" w:rsidP="00695555">
      <w:pPr>
        <w:pStyle w:val="FAREnormaltext"/>
      </w:pPr>
      <w:r w:rsidRPr="00203826">
        <w:t xml:space="preserve">The most commonly reported barrier to treatment involved </w:t>
      </w:r>
      <w:r>
        <w:t xml:space="preserve">perceived negative </w:t>
      </w:r>
      <w:r w:rsidRPr="00203826">
        <w:t>s</w:t>
      </w:r>
      <w:r w:rsidR="00D82C02">
        <w:t xml:space="preserve">taff attitudes and behaviours. </w:t>
      </w:r>
      <w:r w:rsidRPr="00203826">
        <w:t>A key complaint surrounded a lack of clarity and communication of rules and regulations within treatment services, part</w:t>
      </w:r>
      <w:r w:rsidR="00D82C02">
        <w:t xml:space="preserve">icularly residential services. </w:t>
      </w:r>
      <w:r w:rsidRPr="00203826">
        <w:t>Participants cited examples of a lack of information being provided prior to entry into the service and described situations where information provided prior to entry was directly contradicted upon entry.</w:t>
      </w:r>
    </w:p>
    <w:p w:rsidR="00695555" w:rsidRPr="004E02E3" w:rsidRDefault="00695555" w:rsidP="00695555">
      <w:pPr>
        <w:ind w:left="720"/>
        <w:rPr>
          <w:rFonts w:asciiTheme="minorHAnsi" w:hAnsiTheme="minorHAnsi"/>
          <w:i/>
        </w:rPr>
      </w:pPr>
      <w:r w:rsidRPr="004E02E3">
        <w:rPr>
          <w:rFonts w:asciiTheme="minorHAnsi" w:hAnsiTheme="minorHAnsi"/>
          <w:i/>
        </w:rPr>
        <w:t xml:space="preserve">The </w:t>
      </w:r>
      <w:proofErr w:type="gramStart"/>
      <w:r w:rsidRPr="004E02E3">
        <w:rPr>
          <w:rFonts w:asciiTheme="minorHAnsi" w:hAnsiTheme="minorHAnsi"/>
          <w:i/>
        </w:rPr>
        <w:t>staff were</w:t>
      </w:r>
      <w:proofErr w:type="gramEnd"/>
      <w:r w:rsidRPr="004E02E3">
        <w:rPr>
          <w:rFonts w:asciiTheme="minorHAnsi" w:hAnsiTheme="minorHAnsi"/>
          <w:i/>
        </w:rPr>
        <w:t xml:space="preserve"> pretty verbally abusive towards my children on the first day they got there and they were just running around and being kids pretty much.  I'm like this is a place that I waited six months to go to because it was meant to be for children and their mothers.  When they were getting told off for being kids, I just felt that it was wrong (</w:t>
      </w:r>
      <w:r>
        <w:rPr>
          <w:rFonts w:asciiTheme="minorHAnsi" w:hAnsiTheme="minorHAnsi"/>
          <w:i/>
        </w:rPr>
        <w:t>Interviewee</w:t>
      </w:r>
      <w:r w:rsidRPr="00806DE5">
        <w:rPr>
          <w:rFonts w:asciiTheme="minorHAnsi" w:hAnsiTheme="minorHAnsi"/>
          <w:i/>
        </w:rPr>
        <w:t xml:space="preserve"> </w:t>
      </w:r>
      <w:r>
        <w:rPr>
          <w:rFonts w:asciiTheme="minorHAnsi" w:hAnsiTheme="minorHAnsi"/>
          <w:i/>
        </w:rPr>
        <w:t>26)</w:t>
      </w:r>
      <w:r w:rsidRPr="004E02E3">
        <w:rPr>
          <w:rFonts w:asciiTheme="minorHAnsi" w:hAnsiTheme="minorHAnsi"/>
          <w:i/>
        </w:rPr>
        <w:t xml:space="preserve">. </w:t>
      </w:r>
    </w:p>
    <w:p w:rsidR="00695555" w:rsidRPr="00203826" w:rsidRDefault="00695555" w:rsidP="00695555">
      <w:pPr>
        <w:pStyle w:val="FAREnormaltext"/>
      </w:pPr>
      <w:r>
        <w:lastRenderedPageBreak/>
        <w:t>Several</w:t>
      </w:r>
      <w:r w:rsidRPr="00203826">
        <w:t xml:space="preserve"> expressed concern about the assumptions staff made about them, and suggested that clinical judgements may have been made based on these assumptions rather than facts.  </w:t>
      </w:r>
    </w:p>
    <w:p w:rsidR="00695555" w:rsidRPr="004E02E3" w:rsidRDefault="00695555" w:rsidP="00695555">
      <w:pPr>
        <w:ind w:left="720"/>
        <w:rPr>
          <w:rFonts w:asciiTheme="minorHAnsi" w:hAnsiTheme="minorHAnsi"/>
          <w:i/>
        </w:rPr>
      </w:pPr>
      <w:r w:rsidRPr="004E02E3">
        <w:rPr>
          <w:rFonts w:asciiTheme="minorHAnsi" w:hAnsiTheme="minorHAnsi"/>
          <w:i/>
        </w:rPr>
        <w:t>Honestly</w:t>
      </w:r>
      <w:r>
        <w:rPr>
          <w:rFonts w:asciiTheme="minorHAnsi" w:hAnsiTheme="minorHAnsi"/>
          <w:i/>
        </w:rPr>
        <w:t>,</w:t>
      </w:r>
      <w:r w:rsidRPr="004E02E3">
        <w:rPr>
          <w:rFonts w:asciiTheme="minorHAnsi" w:hAnsiTheme="minorHAnsi"/>
          <w:i/>
        </w:rPr>
        <w:t xml:space="preserve"> they judge you a bit too much.  They look at - people that use drugs aren't lik</w:t>
      </w:r>
      <w:r w:rsidR="0098170D">
        <w:rPr>
          <w:rFonts w:asciiTheme="minorHAnsi" w:hAnsiTheme="minorHAnsi"/>
          <w:i/>
        </w:rPr>
        <w:t xml:space="preserve">e people in society obviously. </w:t>
      </w:r>
      <w:r w:rsidRPr="004E02E3">
        <w:rPr>
          <w:rFonts w:asciiTheme="minorHAnsi" w:hAnsiTheme="minorHAnsi"/>
          <w:i/>
        </w:rPr>
        <w:t>They're not exactly functional</w:t>
      </w:r>
      <w:r>
        <w:rPr>
          <w:rFonts w:asciiTheme="minorHAnsi" w:hAnsiTheme="minorHAnsi"/>
          <w:i/>
        </w:rPr>
        <w:t>,</w:t>
      </w:r>
      <w:r w:rsidRPr="004E02E3">
        <w:rPr>
          <w:rFonts w:asciiTheme="minorHAnsi" w:hAnsiTheme="minorHAnsi"/>
          <w:i/>
        </w:rPr>
        <w:t xml:space="preserve"> right</w:t>
      </w:r>
      <w:r>
        <w:rPr>
          <w:rFonts w:asciiTheme="minorHAnsi" w:hAnsiTheme="minorHAnsi"/>
          <w:i/>
        </w:rPr>
        <w:t>,</w:t>
      </w:r>
      <w:r w:rsidRPr="004E02E3">
        <w:rPr>
          <w:rFonts w:asciiTheme="minorHAnsi" w:hAnsiTheme="minorHAnsi"/>
          <w:i/>
        </w:rPr>
        <w:t xml:space="preserve"> else they'd be - have a job or whatever or trying to look for work.  But they look at you like you shouldn't - what are you doing here you should be out like - you shouldn't even be here you piece of </w:t>
      </w:r>
      <w:r>
        <w:rPr>
          <w:rFonts w:asciiTheme="minorHAnsi" w:hAnsiTheme="minorHAnsi"/>
          <w:i/>
        </w:rPr>
        <w:t>‘</w:t>
      </w:r>
      <w:r w:rsidRPr="004E02E3">
        <w:rPr>
          <w:rFonts w:asciiTheme="minorHAnsi" w:hAnsiTheme="minorHAnsi"/>
          <w:i/>
        </w:rPr>
        <w:t>shit</w:t>
      </w:r>
      <w:r>
        <w:rPr>
          <w:rFonts w:asciiTheme="minorHAnsi" w:hAnsiTheme="minorHAnsi"/>
          <w:i/>
        </w:rPr>
        <w:t>’</w:t>
      </w:r>
      <w:r w:rsidRPr="004E02E3">
        <w:rPr>
          <w:rFonts w:asciiTheme="minorHAnsi" w:hAnsiTheme="minorHAnsi"/>
          <w:i/>
        </w:rPr>
        <w:t xml:space="preserve"> more or less, you should be doing the right thing.  That's the feeling </w:t>
      </w:r>
      <w:r>
        <w:rPr>
          <w:rFonts w:asciiTheme="minorHAnsi" w:hAnsiTheme="minorHAnsi"/>
          <w:i/>
        </w:rPr>
        <w:t>you get from them.  Besides that,</w:t>
      </w:r>
      <w:r w:rsidRPr="004E02E3">
        <w:rPr>
          <w:rFonts w:asciiTheme="minorHAnsi" w:hAnsiTheme="minorHAnsi"/>
          <w:i/>
        </w:rPr>
        <w:t xml:space="preserve"> their services are helpful but the way they treat - well I don't know if it's treat - the way they talk to you maybe isn’t - doesn’t sound nice </w:t>
      </w:r>
      <w:r>
        <w:rPr>
          <w:rFonts w:asciiTheme="minorHAnsi" w:hAnsiTheme="minorHAnsi"/>
          <w:i/>
        </w:rPr>
        <w:t>(Interviewee</w:t>
      </w:r>
      <w:r w:rsidRPr="00806DE5">
        <w:rPr>
          <w:rFonts w:asciiTheme="minorHAnsi" w:hAnsiTheme="minorHAnsi"/>
          <w:i/>
        </w:rPr>
        <w:t xml:space="preserve"> </w:t>
      </w:r>
      <w:r>
        <w:rPr>
          <w:rFonts w:asciiTheme="minorHAnsi" w:hAnsiTheme="minorHAnsi"/>
          <w:i/>
        </w:rPr>
        <w:t>27</w:t>
      </w:r>
      <w:r w:rsidRPr="004E02E3">
        <w:rPr>
          <w:rFonts w:asciiTheme="minorHAnsi" w:hAnsiTheme="minorHAnsi"/>
          <w:i/>
        </w:rPr>
        <w:t xml:space="preserve">). </w:t>
      </w:r>
    </w:p>
    <w:p w:rsidR="00695555" w:rsidRPr="005568A3" w:rsidRDefault="00695555" w:rsidP="00695555">
      <w:pPr>
        <w:pStyle w:val="FAREnormaltext"/>
      </w:pPr>
      <w:r w:rsidRPr="005568A3">
        <w:t>For one participant, a desire to retain a sense of privacy impacted on their sense of self and mental health:</w:t>
      </w:r>
    </w:p>
    <w:p w:rsidR="00695555" w:rsidRPr="004E02E3" w:rsidRDefault="00695555" w:rsidP="00695555">
      <w:pPr>
        <w:ind w:left="720"/>
        <w:rPr>
          <w:rFonts w:asciiTheme="minorHAnsi" w:hAnsiTheme="minorHAnsi"/>
          <w:i/>
        </w:rPr>
      </w:pPr>
      <w:r w:rsidRPr="004E02E3">
        <w:rPr>
          <w:rFonts w:asciiTheme="minorHAnsi" w:hAnsiTheme="minorHAnsi"/>
          <w:i/>
        </w:rPr>
        <w:t xml:space="preserve">It only became hard for </w:t>
      </w:r>
      <w:proofErr w:type="gramStart"/>
      <w:r w:rsidRPr="004E02E3">
        <w:rPr>
          <w:rFonts w:asciiTheme="minorHAnsi" w:hAnsiTheme="minorHAnsi"/>
          <w:i/>
        </w:rPr>
        <w:t>myself</w:t>
      </w:r>
      <w:proofErr w:type="gramEnd"/>
      <w:r w:rsidRPr="004E02E3">
        <w:rPr>
          <w:rFonts w:asciiTheme="minorHAnsi" w:hAnsiTheme="minorHAnsi"/>
          <w:i/>
        </w:rPr>
        <w:t xml:space="preserve"> as an individual when I had to tell so many different people my life story.  That actually started affecting me a little bit because I didn't want so many people having different judgements on me.  I just wanted the one person kind of thing (</w:t>
      </w:r>
      <w:r>
        <w:rPr>
          <w:rFonts w:asciiTheme="minorHAnsi" w:hAnsiTheme="minorHAnsi"/>
          <w:i/>
        </w:rPr>
        <w:t>Interviewee</w:t>
      </w:r>
      <w:r w:rsidRPr="00806DE5">
        <w:rPr>
          <w:rFonts w:asciiTheme="minorHAnsi" w:hAnsiTheme="minorHAnsi"/>
          <w:i/>
        </w:rPr>
        <w:t xml:space="preserve"> </w:t>
      </w:r>
      <w:r>
        <w:rPr>
          <w:rFonts w:asciiTheme="minorHAnsi" w:hAnsiTheme="minorHAnsi"/>
          <w:i/>
        </w:rPr>
        <w:t>28</w:t>
      </w:r>
      <w:r w:rsidRPr="004E02E3">
        <w:rPr>
          <w:rFonts w:asciiTheme="minorHAnsi" w:hAnsiTheme="minorHAnsi"/>
          <w:i/>
        </w:rPr>
        <w:t xml:space="preserve">). </w:t>
      </w:r>
    </w:p>
    <w:p w:rsidR="00695555" w:rsidRPr="005568A3" w:rsidRDefault="000128BD" w:rsidP="00695555">
      <w:pPr>
        <w:pStyle w:val="FAREnormaltext"/>
      </w:pPr>
      <w:r>
        <w:t xml:space="preserve">A small number of </w:t>
      </w:r>
      <w:r w:rsidR="00695555" w:rsidRPr="005568A3">
        <w:t xml:space="preserve">participants expressed concern about the possible impact disclosure of their substance use would have on their ability to access non-AOD services, like </w:t>
      </w:r>
      <w:proofErr w:type="spellStart"/>
      <w:r w:rsidR="00695555" w:rsidRPr="005568A3">
        <w:t>Centrelink</w:t>
      </w:r>
      <w:proofErr w:type="spellEnd"/>
      <w:r w:rsidR="00695555" w:rsidRPr="005568A3">
        <w:t xml:space="preserve"> and primary health care. </w:t>
      </w:r>
    </w:p>
    <w:p w:rsidR="00695555" w:rsidRPr="004E02E3" w:rsidRDefault="00695555" w:rsidP="00695555">
      <w:pPr>
        <w:ind w:left="720"/>
        <w:rPr>
          <w:rFonts w:asciiTheme="minorHAnsi" w:hAnsiTheme="minorHAnsi"/>
          <w:i/>
        </w:rPr>
      </w:pPr>
      <w:r w:rsidRPr="004E02E3">
        <w:rPr>
          <w:rFonts w:asciiTheme="minorHAnsi" w:hAnsiTheme="minorHAnsi"/>
          <w:i/>
        </w:rPr>
        <w:t xml:space="preserve">Between leaving </w:t>
      </w:r>
      <w:r>
        <w:rPr>
          <w:rFonts w:asciiTheme="minorHAnsi" w:hAnsiTheme="minorHAnsi"/>
          <w:i/>
        </w:rPr>
        <w:t>[AOD service K] is where it</w:t>
      </w:r>
      <w:r w:rsidRPr="004E02E3">
        <w:rPr>
          <w:rFonts w:asciiTheme="minorHAnsi" w:hAnsiTheme="minorHAnsi"/>
          <w:i/>
        </w:rPr>
        <w:t xml:space="preserve"> all stopped virtually, the support which is probably what most people need.  It was just red tape from there, it was go see a GP and you needed a medical plan.  At one stage I rocked up to an appointment and they didn't have my medical plan so they wouldn't see me unless I paid $220, and yeah.  It's just red tape virtually</w:t>
      </w:r>
      <w:proofErr w:type="gramStart"/>
      <w:r w:rsidRPr="004E02E3">
        <w:rPr>
          <w:rFonts w:asciiTheme="minorHAnsi" w:hAnsiTheme="minorHAnsi"/>
          <w:i/>
        </w:rPr>
        <w:t xml:space="preserve">... </w:t>
      </w:r>
      <w:r>
        <w:rPr>
          <w:rFonts w:asciiTheme="minorHAnsi" w:hAnsiTheme="minorHAnsi"/>
          <w:i/>
        </w:rPr>
        <w:t>.</w:t>
      </w:r>
      <w:proofErr w:type="gramEnd"/>
      <w:r>
        <w:rPr>
          <w:rFonts w:asciiTheme="minorHAnsi" w:hAnsiTheme="minorHAnsi"/>
          <w:i/>
        </w:rPr>
        <w:t xml:space="preserve"> </w:t>
      </w:r>
      <w:r w:rsidRPr="004E02E3">
        <w:rPr>
          <w:rFonts w:asciiTheme="minorHAnsi" w:hAnsiTheme="minorHAnsi"/>
          <w:i/>
        </w:rPr>
        <w:t xml:space="preserve">I mean </w:t>
      </w:r>
      <w:r>
        <w:rPr>
          <w:rFonts w:asciiTheme="minorHAnsi" w:hAnsiTheme="minorHAnsi"/>
          <w:i/>
        </w:rPr>
        <w:t>[AOD service K]</w:t>
      </w:r>
      <w:proofErr w:type="gramStart"/>
      <w:r w:rsidRPr="004E02E3">
        <w:rPr>
          <w:rFonts w:asciiTheme="minorHAnsi" w:hAnsiTheme="minorHAnsi"/>
          <w:i/>
        </w:rPr>
        <w:t>,</w:t>
      </w:r>
      <w:proofErr w:type="gramEnd"/>
      <w:r w:rsidRPr="004E02E3">
        <w:rPr>
          <w:rFonts w:asciiTheme="minorHAnsi" w:hAnsiTheme="minorHAnsi"/>
          <w:i/>
        </w:rPr>
        <w:t xml:space="preserve"> I'm not blaming them at all.  When I left they emailed a - I mean it's probably half my GP</w:t>
      </w:r>
      <w:r>
        <w:rPr>
          <w:rFonts w:asciiTheme="minorHAnsi" w:hAnsiTheme="minorHAnsi"/>
          <w:i/>
        </w:rPr>
        <w:t>’</w:t>
      </w:r>
      <w:r w:rsidRPr="004E02E3">
        <w:rPr>
          <w:rFonts w:asciiTheme="minorHAnsi" w:hAnsiTheme="minorHAnsi"/>
          <w:i/>
        </w:rPr>
        <w:t xml:space="preserve">s fault.  They emailed all my stuff back to him and he was meant to organise everything and yeah, he failed.  In dealing with him and the psychology and whatever else and yeah, like I said I showed up there and they wouldn't see me because he hadn't sent them my medical plan.  Because they won't see anyone without proof of a medical - sorry mental health plan is what I'm trying to say. </w:t>
      </w:r>
      <w:proofErr w:type="gramStart"/>
      <w:r w:rsidRPr="004E02E3">
        <w:rPr>
          <w:rFonts w:asciiTheme="minorHAnsi" w:hAnsiTheme="minorHAnsi"/>
          <w:i/>
        </w:rPr>
        <w:t>Yeah, sorry.</w:t>
      </w:r>
      <w:proofErr w:type="gramEnd"/>
      <w:r w:rsidRPr="004E02E3">
        <w:rPr>
          <w:rFonts w:asciiTheme="minorHAnsi" w:hAnsiTheme="minorHAnsi"/>
          <w:i/>
        </w:rPr>
        <w:t xml:space="preserve">  Not medical, mental health plan.  So then I had to leave that day and then </w:t>
      </w:r>
      <w:r>
        <w:rPr>
          <w:rFonts w:asciiTheme="minorHAnsi" w:hAnsiTheme="minorHAnsi"/>
          <w:i/>
        </w:rPr>
        <w:t>- yeah, it was all just too hard,</w:t>
      </w:r>
      <w:r w:rsidRPr="004E02E3">
        <w:rPr>
          <w:rFonts w:asciiTheme="minorHAnsi" w:hAnsiTheme="minorHAnsi"/>
          <w:i/>
        </w:rPr>
        <w:t xml:space="preserve"> mate.  When you're recovering from any substance, sometimes you just say fuck it and go get a hit or go buy a carton of piss [laughs], which is virtually what I'd done (</w:t>
      </w:r>
      <w:r>
        <w:rPr>
          <w:rFonts w:asciiTheme="minorHAnsi" w:hAnsiTheme="minorHAnsi"/>
          <w:i/>
        </w:rPr>
        <w:t>Interviewee</w:t>
      </w:r>
      <w:r w:rsidRPr="00806DE5">
        <w:rPr>
          <w:rFonts w:asciiTheme="minorHAnsi" w:hAnsiTheme="minorHAnsi"/>
          <w:i/>
        </w:rPr>
        <w:t xml:space="preserve"> </w:t>
      </w:r>
      <w:r>
        <w:rPr>
          <w:rFonts w:asciiTheme="minorHAnsi" w:hAnsiTheme="minorHAnsi"/>
          <w:i/>
        </w:rPr>
        <w:t>40</w:t>
      </w:r>
      <w:r w:rsidRPr="004E02E3">
        <w:rPr>
          <w:rFonts w:asciiTheme="minorHAnsi" w:hAnsiTheme="minorHAnsi"/>
          <w:i/>
        </w:rPr>
        <w:t xml:space="preserve">). </w:t>
      </w:r>
    </w:p>
    <w:p w:rsidR="00695555" w:rsidRPr="005568A3" w:rsidRDefault="00695555" w:rsidP="00695555">
      <w:pPr>
        <w:keepNext/>
        <w:keepLines/>
        <w:spacing w:before="120" w:after="120" w:line="240" w:lineRule="auto"/>
        <w:outlineLvl w:val="1"/>
        <w:rPr>
          <w:rFonts w:ascii="Cambria" w:eastAsia="SimSun" w:hAnsi="Cambria"/>
          <w:bCs/>
          <w:i/>
          <w:sz w:val="24"/>
          <w:szCs w:val="24"/>
        </w:rPr>
      </w:pPr>
      <w:r>
        <w:rPr>
          <w:rFonts w:ascii="Cambria" w:eastAsia="SimSun" w:hAnsi="Cambria"/>
          <w:bCs/>
          <w:i/>
          <w:sz w:val="24"/>
          <w:szCs w:val="24"/>
        </w:rPr>
        <w:t>Limited c</w:t>
      </w:r>
      <w:r w:rsidRPr="005568A3">
        <w:rPr>
          <w:rFonts w:ascii="Cambria" w:eastAsia="SimSun" w:hAnsi="Cambria"/>
          <w:bCs/>
          <w:i/>
          <w:sz w:val="24"/>
          <w:szCs w:val="24"/>
        </w:rPr>
        <w:t>apacity of services</w:t>
      </w:r>
    </w:p>
    <w:p w:rsidR="00695555" w:rsidRPr="005568A3" w:rsidRDefault="00695555" w:rsidP="00695555">
      <w:pPr>
        <w:pStyle w:val="FAREnormaltext"/>
      </w:pPr>
      <w:r w:rsidRPr="005568A3">
        <w:t xml:space="preserve">A number of participants identified service capacity issues as critical barriers to accessing both AOD treatment services and non-AOD services (post AOD treatment).  Some of the issues were related to the capacity of services within a given catchment area, and the limited ability of services to offer treatment places to people living outside of their zone.  </w:t>
      </w:r>
    </w:p>
    <w:p w:rsidR="00695555" w:rsidRPr="004E02E3" w:rsidRDefault="00695555" w:rsidP="00695555">
      <w:pPr>
        <w:ind w:left="720"/>
        <w:rPr>
          <w:rFonts w:asciiTheme="minorHAnsi" w:hAnsiTheme="minorHAnsi"/>
          <w:i/>
        </w:rPr>
      </w:pPr>
      <w:r w:rsidRPr="004E02E3">
        <w:rPr>
          <w:rFonts w:asciiTheme="minorHAnsi" w:hAnsiTheme="minorHAnsi"/>
          <w:i/>
        </w:rPr>
        <w:t xml:space="preserve">They didn't have a lot of outreach services and being someone with anxiety and agoraphobia not being able to get to those services made it very difficult for me.  I wasn't getting the proper treatment and - yeah... When I was living back in </w:t>
      </w:r>
      <w:r>
        <w:rPr>
          <w:rFonts w:asciiTheme="minorHAnsi" w:hAnsiTheme="minorHAnsi"/>
          <w:i/>
        </w:rPr>
        <w:t>[regional city]</w:t>
      </w:r>
      <w:r w:rsidRPr="004E02E3">
        <w:rPr>
          <w:rFonts w:asciiTheme="minorHAnsi" w:hAnsiTheme="minorHAnsi"/>
          <w:i/>
        </w:rPr>
        <w:t xml:space="preserve"> I ended up moving out to a smaller suburb away from </w:t>
      </w:r>
      <w:r>
        <w:rPr>
          <w:rFonts w:asciiTheme="minorHAnsi" w:hAnsiTheme="minorHAnsi"/>
          <w:i/>
        </w:rPr>
        <w:t xml:space="preserve">[regional city] </w:t>
      </w:r>
      <w:r w:rsidRPr="004E02E3">
        <w:rPr>
          <w:rFonts w:asciiTheme="minorHAnsi" w:hAnsiTheme="minorHAnsi"/>
          <w:i/>
        </w:rPr>
        <w:t xml:space="preserve">and there was - the majority of the services </w:t>
      </w:r>
      <w:r w:rsidRPr="004E02E3">
        <w:rPr>
          <w:rFonts w:asciiTheme="minorHAnsi" w:hAnsiTheme="minorHAnsi"/>
          <w:i/>
        </w:rPr>
        <w:lastRenderedPageBreak/>
        <w:t>wouldn't come out there because they said I was out of their catchment zone and they didn't offer that outreach service to that area.  There were no services in that area that could have helped me, which made my mental health issues worse, which led me more to binge drinking and smoking and that (</w:t>
      </w:r>
      <w:r>
        <w:rPr>
          <w:rFonts w:asciiTheme="minorHAnsi" w:hAnsiTheme="minorHAnsi"/>
          <w:i/>
        </w:rPr>
        <w:t>Interviewee</w:t>
      </w:r>
      <w:r w:rsidRPr="00806DE5">
        <w:rPr>
          <w:rFonts w:asciiTheme="minorHAnsi" w:hAnsiTheme="minorHAnsi"/>
          <w:i/>
        </w:rPr>
        <w:t xml:space="preserve"> </w:t>
      </w:r>
      <w:r>
        <w:rPr>
          <w:rFonts w:asciiTheme="minorHAnsi" w:hAnsiTheme="minorHAnsi"/>
          <w:i/>
        </w:rPr>
        <w:t>26</w:t>
      </w:r>
      <w:r w:rsidRPr="004E02E3">
        <w:rPr>
          <w:rFonts w:asciiTheme="minorHAnsi" w:hAnsiTheme="minorHAnsi"/>
          <w:i/>
        </w:rPr>
        <w:t>).</w:t>
      </w:r>
    </w:p>
    <w:p w:rsidR="00695555" w:rsidRPr="005568A3" w:rsidRDefault="00695555" w:rsidP="00695555">
      <w:pPr>
        <w:pStyle w:val="FAREnormaltext"/>
      </w:pPr>
      <w:r w:rsidRPr="005568A3">
        <w:t xml:space="preserve">The prioritisation processes for AOD services mean some people can be on waiting lists for a long time before they receive any treatment or support. Good communication practice around this, however, ensures that services manage </w:t>
      </w:r>
      <w:r>
        <w:t xml:space="preserve">participant </w:t>
      </w:r>
      <w:r w:rsidRPr="005568A3">
        <w:t>expectations quite well.</w:t>
      </w:r>
    </w:p>
    <w:p w:rsidR="00695555" w:rsidRPr="004E02E3" w:rsidRDefault="00695555" w:rsidP="00695555">
      <w:pPr>
        <w:ind w:left="720"/>
        <w:rPr>
          <w:rFonts w:asciiTheme="minorHAnsi" w:hAnsiTheme="minorHAnsi"/>
          <w:i/>
        </w:rPr>
      </w:pPr>
      <w:r w:rsidRPr="004E02E3">
        <w:rPr>
          <w:rFonts w:asciiTheme="minorHAnsi" w:hAnsiTheme="minorHAnsi"/>
          <w:i/>
        </w:rPr>
        <w:t xml:space="preserve">They get 20 phone calls a day or whatever and they've only got a certain amount of beds.  They obviously rate you on your seriousness and if you're on drugs or whatever, and if you're only an alcoholic there it was like you were a lower rung.  [They had guys] on meth and ice for five years, they're definitely going to get put in ahead of you.  That's what it was like is you get put up - that's what it felt like is, oh yeah in a couple of weeks you should be in.  Then you ring them Tuesday between nine and 10 and then, oh sorry we've had a few more urgent </w:t>
      </w:r>
      <w:r w:rsidR="0098170D">
        <w:rPr>
          <w:rFonts w:asciiTheme="minorHAnsi" w:hAnsiTheme="minorHAnsi"/>
          <w:i/>
        </w:rPr>
        <w:t xml:space="preserve">admissions </w:t>
      </w:r>
      <w:r w:rsidRPr="004E02E3">
        <w:rPr>
          <w:rFonts w:asciiTheme="minorHAnsi" w:hAnsiTheme="minorHAnsi"/>
          <w:i/>
        </w:rPr>
        <w:t>and you're back on the waiting list sort of thing (</w:t>
      </w:r>
      <w:r>
        <w:rPr>
          <w:rFonts w:asciiTheme="minorHAnsi" w:hAnsiTheme="minorHAnsi"/>
          <w:i/>
        </w:rPr>
        <w:t>Interviewee</w:t>
      </w:r>
      <w:r w:rsidRPr="00806DE5">
        <w:rPr>
          <w:rFonts w:asciiTheme="minorHAnsi" w:hAnsiTheme="minorHAnsi"/>
          <w:i/>
        </w:rPr>
        <w:t xml:space="preserve"> </w:t>
      </w:r>
      <w:r>
        <w:rPr>
          <w:rFonts w:asciiTheme="minorHAnsi" w:hAnsiTheme="minorHAnsi"/>
          <w:i/>
        </w:rPr>
        <w:t>10</w:t>
      </w:r>
      <w:r w:rsidRPr="004E02E3">
        <w:rPr>
          <w:rFonts w:asciiTheme="minorHAnsi" w:hAnsiTheme="minorHAnsi"/>
          <w:i/>
        </w:rPr>
        <w:t xml:space="preserve">). </w:t>
      </w:r>
    </w:p>
    <w:p w:rsidR="00695555" w:rsidRPr="004E02E3" w:rsidRDefault="00695555" w:rsidP="00695555">
      <w:pPr>
        <w:ind w:left="720"/>
        <w:rPr>
          <w:rFonts w:asciiTheme="minorHAnsi" w:hAnsiTheme="minorHAnsi"/>
          <w:i/>
        </w:rPr>
      </w:pPr>
      <w:r w:rsidRPr="004E02E3">
        <w:rPr>
          <w:rFonts w:asciiTheme="minorHAnsi" w:hAnsiTheme="minorHAnsi"/>
          <w:i/>
        </w:rPr>
        <w:t>It never used to</w:t>
      </w:r>
      <w:r>
        <w:rPr>
          <w:rFonts w:asciiTheme="minorHAnsi" w:hAnsiTheme="minorHAnsi"/>
          <w:i/>
        </w:rPr>
        <w:t>,</w:t>
      </w:r>
      <w:r w:rsidRPr="004E02E3">
        <w:rPr>
          <w:rFonts w:asciiTheme="minorHAnsi" w:hAnsiTheme="minorHAnsi"/>
          <w:i/>
        </w:rPr>
        <w:t xml:space="preserve"> yeah</w:t>
      </w:r>
      <w:r>
        <w:rPr>
          <w:rFonts w:asciiTheme="minorHAnsi" w:hAnsiTheme="minorHAnsi"/>
          <w:i/>
        </w:rPr>
        <w:t>,</w:t>
      </w:r>
      <w:r w:rsidRPr="004E02E3">
        <w:rPr>
          <w:rFonts w:asciiTheme="minorHAnsi" w:hAnsiTheme="minorHAnsi"/>
          <w:i/>
        </w:rPr>
        <w:t xml:space="preserve"> and then I'll be honest </w:t>
      </w:r>
      <w:r w:rsidR="00243A06">
        <w:rPr>
          <w:rFonts w:asciiTheme="minorHAnsi" w:hAnsiTheme="minorHAnsi"/>
          <w:i/>
        </w:rPr>
        <w:t>with you, about six months ago</w:t>
      </w:r>
      <w:r w:rsidRPr="004E02E3">
        <w:rPr>
          <w:rFonts w:asciiTheme="minorHAnsi" w:hAnsiTheme="minorHAnsi"/>
          <w:i/>
        </w:rPr>
        <w:t xml:space="preserve"> I rang up </w:t>
      </w:r>
      <w:r>
        <w:rPr>
          <w:rFonts w:asciiTheme="minorHAnsi" w:hAnsiTheme="minorHAnsi"/>
          <w:i/>
        </w:rPr>
        <w:t xml:space="preserve">[AOD service A] </w:t>
      </w:r>
      <w:r w:rsidRPr="004E02E3">
        <w:rPr>
          <w:rFonts w:asciiTheme="minorHAnsi" w:hAnsiTheme="minorHAnsi"/>
          <w:i/>
        </w:rPr>
        <w:t xml:space="preserve"> and asked if I can get some counselling to help get myself drug free and all that stuff and I'm not good in groups to be honest.  They said </w:t>
      </w:r>
      <w:proofErr w:type="gramStart"/>
      <w:r w:rsidRPr="004E02E3">
        <w:rPr>
          <w:rFonts w:asciiTheme="minorHAnsi" w:hAnsiTheme="minorHAnsi"/>
          <w:i/>
        </w:rPr>
        <w:t xml:space="preserve">no we can't help you </w:t>
      </w:r>
      <w:r>
        <w:rPr>
          <w:rFonts w:asciiTheme="minorHAnsi" w:hAnsiTheme="minorHAnsi"/>
          <w:i/>
        </w:rPr>
        <w:t>there</w:t>
      </w:r>
      <w:r w:rsidRPr="004E02E3">
        <w:rPr>
          <w:rFonts w:asciiTheme="minorHAnsi" w:hAnsiTheme="minorHAnsi"/>
          <w:i/>
        </w:rPr>
        <w:t>'s only like group sessions for the moment</w:t>
      </w:r>
      <w:proofErr w:type="gramEnd"/>
      <w:r w:rsidRPr="004E02E3">
        <w:rPr>
          <w:rFonts w:asciiTheme="minorHAnsi" w:hAnsiTheme="minorHAnsi"/>
          <w:i/>
        </w:rPr>
        <w:t>.  You have to go on like a six month waiting list.  I thought well - I go</w:t>
      </w:r>
      <w:r>
        <w:rPr>
          <w:rFonts w:asciiTheme="minorHAnsi" w:hAnsiTheme="minorHAnsi"/>
          <w:i/>
        </w:rPr>
        <w:t>,</w:t>
      </w:r>
      <w:r w:rsidRPr="004E02E3">
        <w:rPr>
          <w:rFonts w:asciiTheme="minorHAnsi" w:hAnsiTheme="minorHAnsi"/>
          <w:i/>
        </w:rPr>
        <w:t xml:space="preserve"> </w:t>
      </w:r>
      <w:r w:rsidR="00243A06">
        <w:rPr>
          <w:rFonts w:asciiTheme="minorHAnsi" w:hAnsiTheme="minorHAnsi"/>
          <w:i/>
        </w:rPr>
        <w:t>‘</w:t>
      </w:r>
      <w:r w:rsidRPr="004E02E3">
        <w:rPr>
          <w:rFonts w:asciiTheme="minorHAnsi" w:hAnsiTheme="minorHAnsi"/>
          <w:i/>
        </w:rPr>
        <w:t>no</w:t>
      </w:r>
      <w:r>
        <w:rPr>
          <w:rFonts w:asciiTheme="minorHAnsi" w:hAnsiTheme="minorHAnsi"/>
          <w:i/>
        </w:rPr>
        <w:t>,</w:t>
      </w:r>
      <w:r w:rsidRPr="004E02E3">
        <w:rPr>
          <w:rFonts w:asciiTheme="minorHAnsi" w:hAnsiTheme="minorHAnsi"/>
          <w:i/>
        </w:rPr>
        <w:t xml:space="preserve"> it's alright, don't worry </w:t>
      </w:r>
      <w:r w:rsidR="00243A06">
        <w:rPr>
          <w:rFonts w:asciiTheme="minorHAnsi" w:hAnsiTheme="minorHAnsi"/>
          <w:i/>
        </w:rPr>
        <w:t>about it’</w:t>
      </w:r>
      <w:r w:rsidRPr="004E02E3">
        <w:rPr>
          <w:rFonts w:asciiTheme="minorHAnsi" w:hAnsiTheme="minorHAnsi"/>
          <w:i/>
        </w:rPr>
        <w:t>.  It put me straight off.  I didn't want to wait six months to get help.  I wanted more or less help there and then to get off of it.  It's not every other time, this is only once though.  Every other time it's been pretty good (</w:t>
      </w:r>
      <w:r>
        <w:rPr>
          <w:rFonts w:asciiTheme="minorHAnsi" w:hAnsiTheme="minorHAnsi"/>
          <w:i/>
        </w:rPr>
        <w:t>Interviewee</w:t>
      </w:r>
      <w:r w:rsidRPr="00806DE5">
        <w:rPr>
          <w:rFonts w:asciiTheme="minorHAnsi" w:hAnsiTheme="minorHAnsi"/>
          <w:i/>
        </w:rPr>
        <w:t xml:space="preserve"> </w:t>
      </w:r>
      <w:r>
        <w:rPr>
          <w:rFonts w:asciiTheme="minorHAnsi" w:hAnsiTheme="minorHAnsi"/>
          <w:i/>
        </w:rPr>
        <w:t>37</w:t>
      </w:r>
      <w:r w:rsidRPr="004E02E3">
        <w:rPr>
          <w:rFonts w:asciiTheme="minorHAnsi" w:hAnsiTheme="minorHAnsi"/>
          <w:i/>
        </w:rPr>
        <w:t>).</w:t>
      </w:r>
    </w:p>
    <w:p w:rsidR="00695555" w:rsidRPr="005568A3" w:rsidRDefault="00695555" w:rsidP="00695555">
      <w:pPr>
        <w:spacing w:after="0" w:line="240" w:lineRule="auto"/>
        <w:ind w:left="720"/>
        <w:rPr>
          <w:i/>
          <w:sz w:val="20"/>
          <w:szCs w:val="20"/>
        </w:rPr>
      </w:pPr>
    </w:p>
    <w:p w:rsidR="00695555" w:rsidRPr="005568A3" w:rsidRDefault="00695555" w:rsidP="00695555">
      <w:pPr>
        <w:pStyle w:val="FAREnormaltext"/>
      </w:pPr>
      <w:r w:rsidRPr="005568A3">
        <w:t xml:space="preserve">For </w:t>
      </w:r>
      <w:r>
        <w:t>several</w:t>
      </w:r>
      <w:r w:rsidRPr="005568A3">
        <w:t xml:space="preserve"> </w:t>
      </w:r>
      <w:r>
        <w:t>participants</w:t>
      </w:r>
      <w:r w:rsidRPr="005568A3">
        <w:t>, housing is a critical post-treatment need. However, as participants identified the waiting</w:t>
      </w:r>
      <w:r>
        <w:t xml:space="preserve"> </w:t>
      </w:r>
      <w:r w:rsidRPr="005568A3">
        <w:t>list prioritisation process for housing services means an extended wait for most.</w:t>
      </w:r>
    </w:p>
    <w:p w:rsidR="00695555" w:rsidRPr="004E02E3" w:rsidRDefault="00695555" w:rsidP="00695555">
      <w:pPr>
        <w:ind w:left="720"/>
        <w:rPr>
          <w:rFonts w:asciiTheme="minorHAnsi" w:hAnsiTheme="minorHAnsi"/>
          <w:i/>
        </w:rPr>
      </w:pPr>
      <w:r w:rsidRPr="004E02E3">
        <w:rPr>
          <w:rFonts w:asciiTheme="minorHAnsi" w:hAnsiTheme="minorHAnsi"/>
          <w:i/>
        </w:rPr>
        <w:t xml:space="preserve">I honestly believe that apart from being very supportive and offering counselling, which they do as well, I think they're really good.  But they're also very - I mean one of things they say to you at the end of this interview, which all sounds very promising and hopeful, is that they don’t have any accommodation.  So </w:t>
      </w:r>
      <w:r>
        <w:rPr>
          <w:rFonts w:asciiTheme="minorHAnsi" w:hAnsiTheme="minorHAnsi"/>
          <w:i/>
        </w:rPr>
        <w:t>for a single person like me, y</w:t>
      </w:r>
      <w:r w:rsidRPr="004E02E3">
        <w:rPr>
          <w:rFonts w:asciiTheme="minorHAnsi" w:hAnsiTheme="minorHAnsi"/>
          <w:i/>
        </w:rPr>
        <w:t>ou're on the bottom of the list for housing (</w:t>
      </w:r>
      <w:r>
        <w:rPr>
          <w:rFonts w:asciiTheme="minorHAnsi" w:hAnsiTheme="minorHAnsi"/>
          <w:i/>
        </w:rPr>
        <w:t>Interviewee</w:t>
      </w:r>
      <w:r w:rsidRPr="00806DE5">
        <w:rPr>
          <w:rFonts w:asciiTheme="minorHAnsi" w:hAnsiTheme="minorHAnsi"/>
          <w:i/>
        </w:rPr>
        <w:t xml:space="preserve"> </w:t>
      </w:r>
      <w:r>
        <w:rPr>
          <w:rFonts w:asciiTheme="minorHAnsi" w:hAnsiTheme="minorHAnsi"/>
          <w:i/>
        </w:rPr>
        <w:t>41</w:t>
      </w:r>
      <w:r w:rsidRPr="004E02E3">
        <w:rPr>
          <w:rFonts w:asciiTheme="minorHAnsi" w:hAnsiTheme="minorHAnsi"/>
          <w:i/>
        </w:rPr>
        <w:t xml:space="preserve">). </w:t>
      </w:r>
    </w:p>
    <w:p w:rsidR="00695555" w:rsidRPr="004E02E3" w:rsidRDefault="00695555" w:rsidP="00695555">
      <w:pPr>
        <w:ind w:left="720"/>
        <w:rPr>
          <w:rFonts w:asciiTheme="minorHAnsi" w:hAnsiTheme="minorHAnsi"/>
          <w:i/>
        </w:rPr>
      </w:pPr>
      <w:r w:rsidRPr="004E02E3">
        <w:rPr>
          <w:rFonts w:asciiTheme="minorHAnsi" w:hAnsiTheme="minorHAnsi"/>
          <w:i/>
        </w:rPr>
        <w:t xml:space="preserve">Yeah, but they couldn't get me a house or anything like that. You've got to apply and there's just a massive waiting list in </w:t>
      </w:r>
      <w:r>
        <w:rPr>
          <w:rFonts w:asciiTheme="minorHAnsi" w:hAnsiTheme="minorHAnsi"/>
          <w:i/>
        </w:rPr>
        <w:t>[regional area]</w:t>
      </w:r>
      <w:r w:rsidRPr="004E02E3">
        <w:rPr>
          <w:rFonts w:asciiTheme="minorHAnsi" w:hAnsiTheme="minorHAnsi"/>
          <w:i/>
        </w:rPr>
        <w:t>, massive, massive, massive like three year waiting list, four year waiting list (</w:t>
      </w:r>
      <w:r>
        <w:rPr>
          <w:rFonts w:asciiTheme="minorHAnsi" w:hAnsiTheme="minorHAnsi"/>
          <w:i/>
        </w:rPr>
        <w:t>Interviewee</w:t>
      </w:r>
      <w:r w:rsidRPr="00806DE5">
        <w:rPr>
          <w:rFonts w:asciiTheme="minorHAnsi" w:hAnsiTheme="minorHAnsi"/>
          <w:i/>
        </w:rPr>
        <w:t xml:space="preserve"> </w:t>
      </w:r>
      <w:r>
        <w:rPr>
          <w:rFonts w:asciiTheme="minorHAnsi" w:hAnsiTheme="minorHAnsi"/>
          <w:i/>
        </w:rPr>
        <w:t>22</w:t>
      </w:r>
      <w:r w:rsidRPr="004E02E3">
        <w:rPr>
          <w:rFonts w:asciiTheme="minorHAnsi" w:hAnsiTheme="minorHAnsi"/>
          <w:i/>
        </w:rPr>
        <w:t>).</w:t>
      </w:r>
    </w:p>
    <w:p w:rsidR="00695555" w:rsidRPr="00535D8F" w:rsidRDefault="00695555" w:rsidP="00695555">
      <w:pPr>
        <w:pStyle w:val="FAREH2Nbr"/>
        <w:numPr>
          <w:ilvl w:val="1"/>
          <w:numId w:val="0"/>
        </w:numPr>
        <w:ind w:left="993" w:hanging="993"/>
      </w:pPr>
      <w:bookmarkStart w:id="141" w:name="_Toc388374607"/>
      <w:bookmarkStart w:id="142" w:name="_Toc398105051"/>
      <w:r w:rsidRPr="004E02E3">
        <w:t>Areas for improvement</w:t>
      </w:r>
      <w:bookmarkEnd w:id="141"/>
      <w:bookmarkEnd w:id="142"/>
      <w:r>
        <w:t xml:space="preserve"> </w:t>
      </w:r>
    </w:p>
    <w:p w:rsidR="00695555" w:rsidRDefault="00695555" w:rsidP="00695555">
      <w:pPr>
        <w:keepNext/>
        <w:keepLines/>
        <w:spacing w:before="120" w:after="120" w:line="240" w:lineRule="auto"/>
        <w:outlineLvl w:val="1"/>
        <w:rPr>
          <w:rFonts w:ascii="Cambria" w:eastAsia="SimSun" w:hAnsi="Cambria"/>
          <w:bCs/>
          <w:i/>
          <w:sz w:val="24"/>
          <w:szCs w:val="24"/>
        </w:rPr>
      </w:pPr>
      <w:r>
        <w:rPr>
          <w:rFonts w:ascii="Cambria" w:eastAsia="SimSun" w:hAnsi="Cambria"/>
          <w:bCs/>
          <w:i/>
          <w:sz w:val="24"/>
          <w:szCs w:val="24"/>
        </w:rPr>
        <w:t>More one-to-one counselling</w:t>
      </w:r>
      <w:r w:rsidRPr="00633842">
        <w:rPr>
          <w:rFonts w:ascii="Cambria" w:eastAsia="SimSun" w:hAnsi="Cambria"/>
          <w:bCs/>
          <w:i/>
          <w:sz w:val="24"/>
          <w:szCs w:val="24"/>
        </w:rPr>
        <w:t xml:space="preserve"> </w:t>
      </w:r>
    </w:p>
    <w:p w:rsidR="00695555" w:rsidRPr="0027206A" w:rsidRDefault="00695555" w:rsidP="00695555">
      <w:pPr>
        <w:pStyle w:val="FAREnormaltext"/>
      </w:pPr>
      <w:r>
        <w:t>Several</w:t>
      </w:r>
      <w:r w:rsidRPr="0027206A">
        <w:t xml:space="preserve"> participants </w:t>
      </w:r>
      <w:r>
        <w:t xml:space="preserve">expressed dissatisfaction with the lack of one-to-one counselling available during residential care. Whilst recognising the benefits of group counselling such as learning from peers and sharing experiences, they felt that their personal needs were not sufficiently met in this </w:t>
      </w:r>
      <w:r>
        <w:lastRenderedPageBreak/>
        <w:t>format. Often they had anticipated that individual counselling would be part of the treatment and those that did receive some felt more</w:t>
      </w:r>
      <w:r w:rsidR="00243A06">
        <w:t xml:space="preserve"> counselling</w:t>
      </w:r>
      <w:r>
        <w:t xml:space="preserve"> would have been beneficial. </w:t>
      </w:r>
    </w:p>
    <w:p w:rsidR="00695555" w:rsidRPr="00633842" w:rsidRDefault="00695555" w:rsidP="00695555">
      <w:pPr>
        <w:keepNext/>
        <w:keepLines/>
        <w:spacing w:before="120" w:after="120" w:line="240" w:lineRule="auto"/>
        <w:outlineLvl w:val="1"/>
        <w:rPr>
          <w:rFonts w:ascii="Cambria" w:eastAsia="SimSun" w:hAnsi="Cambria"/>
          <w:bCs/>
          <w:i/>
          <w:sz w:val="24"/>
          <w:szCs w:val="24"/>
        </w:rPr>
      </w:pPr>
      <w:r w:rsidRPr="00633842">
        <w:rPr>
          <w:rFonts w:ascii="Cambria" w:eastAsia="SimSun" w:hAnsi="Cambria"/>
          <w:bCs/>
          <w:i/>
          <w:sz w:val="24"/>
          <w:szCs w:val="24"/>
        </w:rPr>
        <w:t>Identify and be trained to manage multiple needs</w:t>
      </w:r>
    </w:p>
    <w:p w:rsidR="00695555" w:rsidRPr="00621EF0" w:rsidRDefault="00695555" w:rsidP="00695555">
      <w:pPr>
        <w:pStyle w:val="FAREnormaltext"/>
      </w:pPr>
      <w:r>
        <w:t xml:space="preserve">Some participants </w:t>
      </w:r>
      <w:r w:rsidRPr="00633842">
        <w:t xml:space="preserve">expressed concern that their multiple issues were not adequately understood or managed by treatment staff, and that staff packaged this as a concern </w:t>
      </w:r>
      <w:r w:rsidR="003C2544">
        <w:t xml:space="preserve">in terms of the </w:t>
      </w:r>
      <w:r w:rsidRPr="00633842">
        <w:t>impact the client’s behaviour may have o</w:t>
      </w:r>
      <w:r w:rsidR="006D29AE">
        <w:t>n other</w:t>
      </w:r>
      <w:r>
        <w:t xml:space="preserve">s. Participants </w:t>
      </w:r>
      <w:r w:rsidRPr="00633842">
        <w:t>suggested an improved understanding of why people misuse substances, of mental health problems, and the interconnectedness of mental health and drug and alcohol use</w:t>
      </w:r>
      <w:r w:rsidRPr="007C4DE4">
        <w:t xml:space="preserve"> </w:t>
      </w:r>
      <w:r w:rsidRPr="00633842">
        <w:t xml:space="preserve">is required, and clinicians who are trained in mental health and AOD. </w:t>
      </w:r>
    </w:p>
    <w:p w:rsidR="00695555" w:rsidRPr="00633842" w:rsidRDefault="00695555" w:rsidP="00695555">
      <w:pPr>
        <w:keepNext/>
        <w:keepLines/>
        <w:spacing w:before="120" w:after="120" w:line="240" w:lineRule="auto"/>
        <w:outlineLvl w:val="1"/>
        <w:rPr>
          <w:rFonts w:ascii="Cambria" w:eastAsia="SimSun" w:hAnsi="Cambria"/>
          <w:bCs/>
          <w:i/>
          <w:sz w:val="24"/>
          <w:szCs w:val="24"/>
        </w:rPr>
      </w:pPr>
      <w:r>
        <w:rPr>
          <w:rFonts w:ascii="Cambria" w:eastAsia="SimSun" w:hAnsi="Cambria"/>
          <w:bCs/>
          <w:i/>
          <w:sz w:val="24"/>
          <w:szCs w:val="24"/>
        </w:rPr>
        <w:t>Adopt</w:t>
      </w:r>
      <w:r w:rsidRPr="00633842">
        <w:rPr>
          <w:rFonts w:ascii="Cambria" w:eastAsia="SimSun" w:hAnsi="Cambria"/>
          <w:bCs/>
          <w:i/>
          <w:sz w:val="24"/>
          <w:szCs w:val="24"/>
        </w:rPr>
        <w:t xml:space="preserve"> a holistic approach to recovery</w:t>
      </w:r>
    </w:p>
    <w:p w:rsidR="00695555" w:rsidRPr="00621EF0" w:rsidRDefault="00243A06" w:rsidP="00695555">
      <w:pPr>
        <w:pStyle w:val="FAREnormaltext"/>
      </w:pPr>
      <w:r>
        <w:t xml:space="preserve">The need to adopt a </w:t>
      </w:r>
      <w:r w:rsidR="00695555" w:rsidRPr="00633842">
        <w:t xml:space="preserve">holistic approach to treatment and recovery is important. Whilst </w:t>
      </w:r>
      <w:r w:rsidR="00695555">
        <w:t xml:space="preserve">few </w:t>
      </w:r>
      <w:r w:rsidR="00695555" w:rsidRPr="00633842">
        <w:t>participants discussed this</w:t>
      </w:r>
      <w:r w:rsidR="00695555">
        <w:t xml:space="preserve"> explicitly, some </w:t>
      </w:r>
      <w:r w:rsidR="00695555" w:rsidRPr="00633842">
        <w:t>identified that care pathways need to include a</w:t>
      </w:r>
      <w:r>
        <w:t xml:space="preserve"> </w:t>
      </w:r>
      <w:r w:rsidR="00695555" w:rsidRPr="00633842">
        <w:t xml:space="preserve">holistic approach, ensuring that AOD treatment occurs simultaneously with support in addressing their other needs, for example, mental health. One participant felt that this would facilitate increased quality and sustainability of recovery. </w:t>
      </w:r>
    </w:p>
    <w:p w:rsidR="00695555" w:rsidRPr="00633842" w:rsidRDefault="00695555" w:rsidP="00695555">
      <w:pPr>
        <w:keepNext/>
        <w:keepLines/>
        <w:spacing w:before="120" w:after="120" w:line="240" w:lineRule="auto"/>
        <w:outlineLvl w:val="1"/>
        <w:rPr>
          <w:rFonts w:ascii="Cambria" w:eastAsia="SimSun" w:hAnsi="Cambria"/>
          <w:bCs/>
          <w:i/>
          <w:sz w:val="24"/>
          <w:szCs w:val="24"/>
        </w:rPr>
      </w:pPr>
      <w:r w:rsidRPr="00633842">
        <w:rPr>
          <w:rFonts w:ascii="Cambria" w:eastAsia="SimSun" w:hAnsi="Cambria"/>
          <w:bCs/>
          <w:i/>
          <w:sz w:val="24"/>
          <w:szCs w:val="24"/>
        </w:rPr>
        <w:t xml:space="preserve">Improve inter-agency communication about </w:t>
      </w:r>
      <w:r>
        <w:rPr>
          <w:rFonts w:ascii="Cambria" w:eastAsia="SimSun" w:hAnsi="Cambria"/>
          <w:bCs/>
          <w:i/>
          <w:sz w:val="24"/>
          <w:szCs w:val="24"/>
        </w:rPr>
        <w:t xml:space="preserve">participant </w:t>
      </w:r>
      <w:r w:rsidRPr="00633842">
        <w:rPr>
          <w:rFonts w:ascii="Cambria" w:eastAsia="SimSun" w:hAnsi="Cambria"/>
          <w:bCs/>
          <w:i/>
          <w:sz w:val="24"/>
          <w:szCs w:val="24"/>
        </w:rPr>
        <w:t>care plans and history</w:t>
      </w:r>
    </w:p>
    <w:p w:rsidR="00695555" w:rsidRPr="00633842" w:rsidRDefault="00695555" w:rsidP="00695555">
      <w:pPr>
        <w:pStyle w:val="FAREnormaltext"/>
      </w:pPr>
      <w:r w:rsidRPr="00633842">
        <w:t xml:space="preserve">Central to the notion of a holistic approach to care and recovery is that of clear communication and links between the various areas of assistance the </w:t>
      </w:r>
      <w:r>
        <w:t xml:space="preserve">participant </w:t>
      </w:r>
      <w:r w:rsidRPr="00633842">
        <w:t>may need.  Some participa</w:t>
      </w:r>
      <w:r>
        <w:t>nts</w:t>
      </w:r>
      <w:r w:rsidRPr="00633842">
        <w:t xml:space="preserve"> felt that the process of referral was sound</w:t>
      </w:r>
      <w:r>
        <w:t>;</w:t>
      </w:r>
      <w:r w:rsidRPr="00633842">
        <w:t xml:space="preserve"> however</w:t>
      </w:r>
      <w:r>
        <w:t>,</w:t>
      </w:r>
      <w:r w:rsidRPr="00633842">
        <w:t xml:space="preserve"> in reality, agencies did not communicate well enough (or at all) about </w:t>
      </w:r>
      <w:r>
        <w:t xml:space="preserve">participant </w:t>
      </w:r>
      <w:r w:rsidRPr="00633842">
        <w:t>needs, experience</w:t>
      </w:r>
      <w:r w:rsidR="003C2544">
        <w:t xml:space="preserve">s and treatment effectiveness. </w:t>
      </w:r>
      <w:r w:rsidRPr="00633842">
        <w:t>Frustration was expressed at the lack of a central database/system that shared client information to facilitate greater understanding of a</w:t>
      </w:r>
      <w:r w:rsidR="003C2544">
        <w:t xml:space="preserve">n individual’s </w:t>
      </w:r>
      <w:r w:rsidRPr="00633842">
        <w:t>personal and treatment history.</w:t>
      </w:r>
    </w:p>
    <w:p w:rsidR="00695555" w:rsidRPr="004E02E3" w:rsidRDefault="00695555" w:rsidP="00695555">
      <w:pPr>
        <w:ind w:left="720"/>
        <w:rPr>
          <w:rFonts w:asciiTheme="minorHAnsi" w:hAnsiTheme="minorHAnsi"/>
          <w:i/>
        </w:rPr>
      </w:pPr>
      <w:r w:rsidRPr="004E02E3">
        <w:rPr>
          <w:rFonts w:asciiTheme="minorHAnsi" w:hAnsiTheme="minorHAnsi"/>
          <w:i/>
        </w:rPr>
        <w:t>Yes, they do talk, if you let them talk to each about what's happening with you.  But yeah, maybe there needs to be a care plan or a case management thing so that when this person comes in they go, we've tried this, try this, maybe we can go here (</w:t>
      </w:r>
      <w:r>
        <w:rPr>
          <w:rFonts w:asciiTheme="minorHAnsi" w:hAnsiTheme="minorHAnsi"/>
          <w:i/>
        </w:rPr>
        <w:t>Interviewee</w:t>
      </w:r>
      <w:r w:rsidRPr="00806DE5">
        <w:rPr>
          <w:rFonts w:asciiTheme="minorHAnsi" w:hAnsiTheme="minorHAnsi"/>
          <w:i/>
        </w:rPr>
        <w:t xml:space="preserve"> </w:t>
      </w:r>
      <w:r>
        <w:rPr>
          <w:rFonts w:asciiTheme="minorHAnsi" w:hAnsiTheme="minorHAnsi"/>
          <w:i/>
        </w:rPr>
        <w:t>9</w:t>
      </w:r>
      <w:r w:rsidRPr="004E02E3">
        <w:rPr>
          <w:rFonts w:asciiTheme="minorHAnsi" w:hAnsiTheme="minorHAnsi"/>
          <w:i/>
        </w:rPr>
        <w:t>).</w:t>
      </w:r>
    </w:p>
    <w:p w:rsidR="00695555" w:rsidRPr="004E02E3" w:rsidRDefault="00695555" w:rsidP="00695555">
      <w:pPr>
        <w:ind w:left="720"/>
        <w:rPr>
          <w:rFonts w:asciiTheme="minorHAnsi" w:hAnsiTheme="minorHAnsi"/>
          <w:i/>
        </w:rPr>
      </w:pPr>
      <w:r w:rsidRPr="004E02E3">
        <w:rPr>
          <w:rFonts w:asciiTheme="minorHAnsi" w:hAnsiTheme="minorHAnsi"/>
          <w:i/>
        </w:rPr>
        <w:t xml:space="preserve">So that is, a crisis happens, it's like, okay, so this is - maybe this is what she's done before, she's gone to </w:t>
      </w:r>
      <w:r w:rsidR="00B96F07">
        <w:rPr>
          <w:rFonts w:asciiTheme="minorHAnsi" w:hAnsiTheme="minorHAnsi"/>
          <w:i/>
        </w:rPr>
        <w:t>[AOD service E]</w:t>
      </w:r>
      <w:r w:rsidRPr="004E02E3">
        <w:rPr>
          <w:rFonts w:asciiTheme="minorHAnsi" w:hAnsiTheme="minorHAnsi"/>
          <w:i/>
        </w:rPr>
        <w:t>, she's detoxed, she's been off alcohol for so many months.  This crisis has happened again, how can we help her this time?  This worked, and that didn’t work (</w:t>
      </w:r>
      <w:r>
        <w:rPr>
          <w:rFonts w:asciiTheme="minorHAnsi" w:hAnsiTheme="minorHAnsi"/>
          <w:i/>
        </w:rPr>
        <w:t>Interviewee</w:t>
      </w:r>
      <w:r w:rsidRPr="00806DE5">
        <w:rPr>
          <w:rFonts w:asciiTheme="minorHAnsi" w:hAnsiTheme="minorHAnsi"/>
          <w:i/>
        </w:rPr>
        <w:t xml:space="preserve"> </w:t>
      </w:r>
      <w:r>
        <w:rPr>
          <w:rFonts w:asciiTheme="minorHAnsi" w:hAnsiTheme="minorHAnsi"/>
          <w:i/>
        </w:rPr>
        <w:t>41</w:t>
      </w:r>
      <w:r w:rsidRPr="004E02E3">
        <w:rPr>
          <w:rFonts w:asciiTheme="minorHAnsi" w:hAnsiTheme="minorHAnsi"/>
          <w:i/>
        </w:rPr>
        <w:t>).</w:t>
      </w:r>
    </w:p>
    <w:p w:rsidR="00695555" w:rsidRPr="00633842" w:rsidRDefault="00695555" w:rsidP="00695555">
      <w:pPr>
        <w:keepNext/>
        <w:keepLines/>
        <w:spacing w:before="120" w:after="120" w:line="240" w:lineRule="auto"/>
        <w:outlineLvl w:val="1"/>
        <w:rPr>
          <w:rFonts w:ascii="Cambria" w:eastAsia="SimSun" w:hAnsi="Cambria"/>
          <w:bCs/>
          <w:i/>
          <w:sz w:val="24"/>
          <w:szCs w:val="24"/>
        </w:rPr>
      </w:pPr>
      <w:r w:rsidRPr="00633842">
        <w:rPr>
          <w:rFonts w:ascii="Cambria" w:eastAsia="SimSun" w:hAnsi="Cambria"/>
          <w:bCs/>
          <w:i/>
          <w:sz w:val="24"/>
          <w:szCs w:val="24"/>
        </w:rPr>
        <w:t>Improve communication with clients about their planned care</w:t>
      </w:r>
    </w:p>
    <w:p w:rsidR="00695555" w:rsidRPr="00633842" w:rsidRDefault="00695555" w:rsidP="00695555">
      <w:pPr>
        <w:pStyle w:val="FAREnormaltext"/>
      </w:pPr>
      <w:r w:rsidRPr="00633842">
        <w:t>In keeping with this perceived lack of communication acro</w:t>
      </w:r>
      <w:r>
        <w:t>ss agencies, some participants</w:t>
      </w:r>
      <w:r w:rsidRPr="00633842">
        <w:t xml:space="preserve"> felt that there was a lack of transparency and communication with clients about their planned care, especially where that care involved multiple agencies, departments or clinicians.  </w:t>
      </w:r>
    </w:p>
    <w:p w:rsidR="00695555" w:rsidRPr="004E02E3" w:rsidRDefault="00695555" w:rsidP="00695555">
      <w:pPr>
        <w:ind w:left="720"/>
        <w:rPr>
          <w:rFonts w:asciiTheme="minorHAnsi" w:hAnsiTheme="minorHAnsi"/>
          <w:i/>
        </w:rPr>
      </w:pPr>
      <w:r w:rsidRPr="004E02E3">
        <w:rPr>
          <w:rFonts w:asciiTheme="minorHAnsi" w:hAnsiTheme="minorHAnsi"/>
          <w:i/>
        </w:rPr>
        <w:t xml:space="preserve">Yes, as a client I would like to learn an overall picture, all these different departments doing their best.  I would actually like to learn an overall, whereas at the moment </w:t>
      </w:r>
      <w:proofErr w:type="gramStart"/>
      <w:r w:rsidRPr="004E02E3">
        <w:rPr>
          <w:rFonts w:asciiTheme="minorHAnsi" w:hAnsiTheme="minorHAnsi"/>
          <w:i/>
        </w:rPr>
        <w:t>it's</w:t>
      </w:r>
      <w:proofErr w:type="gramEnd"/>
      <w:r w:rsidRPr="004E02E3">
        <w:rPr>
          <w:rFonts w:asciiTheme="minorHAnsi" w:hAnsiTheme="minorHAnsi"/>
          <w:i/>
        </w:rPr>
        <w:t xml:space="preserve"> like this person's got that and that person's got</w:t>
      </w:r>
      <w:r w:rsidR="00A83DA9">
        <w:rPr>
          <w:rFonts w:asciiTheme="minorHAnsi" w:hAnsiTheme="minorHAnsi"/>
          <w:i/>
        </w:rPr>
        <w:t xml:space="preserve"> that, blah, blah, blah, blah. </w:t>
      </w:r>
      <w:r w:rsidRPr="004E02E3">
        <w:rPr>
          <w:rFonts w:asciiTheme="minorHAnsi" w:hAnsiTheme="minorHAnsi"/>
          <w:i/>
        </w:rPr>
        <w:t>It's all segmented (</w:t>
      </w:r>
      <w:r>
        <w:rPr>
          <w:rFonts w:asciiTheme="minorHAnsi" w:hAnsiTheme="minorHAnsi"/>
          <w:i/>
        </w:rPr>
        <w:t>Interviewee</w:t>
      </w:r>
      <w:r w:rsidRPr="00806DE5">
        <w:rPr>
          <w:rFonts w:asciiTheme="minorHAnsi" w:hAnsiTheme="minorHAnsi"/>
          <w:i/>
        </w:rPr>
        <w:t xml:space="preserve"> </w:t>
      </w:r>
      <w:r>
        <w:rPr>
          <w:rFonts w:asciiTheme="minorHAnsi" w:hAnsiTheme="minorHAnsi"/>
          <w:i/>
        </w:rPr>
        <w:t>17).</w:t>
      </w:r>
    </w:p>
    <w:p w:rsidR="00CC7B45" w:rsidRDefault="00CC7B45" w:rsidP="003C21FE"/>
    <w:p w:rsidR="003C21FE" w:rsidRDefault="003C21FE">
      <w:pPr>
        <w:spacing w:after="120" w:line="240" w:lineRule="auto"/>
        <w:ind w:left="1191" w:hanging="1134"/>
        <w:jc w:val="both"/>
        <w:rPr>
          <w:rFonts w:eastAsia="Times New Roman"/>
          <w:b/>
          <w:bCs/>
          <w:noProof/>
          <w:kern w:val="32"/>
          <w:sz w:val="36"/>
          <w:szCs w:val="36"/>
          <w:lang w:val="en-US"/>
        </w:rPr>
      </w:pPr>
      <w:r>
        <w:lastRenderedPageBreak/>
        <w:br w:type="page"/>
      </w:r>
    </w:p>
    <w:p w:rsidR="00EF5EE7" w:rsidRDefault="005C7C60" w:rsidP="00C2662D">
      <w:pPr>
        <w:pStyle w:val="Heading1"/>
      </w:pPr>
      <w:bookmarkStart w:id="143" w:name="_Toc398105052"/>
      <w:r>
        <w:lastRenderedPageBreak/>
        <w:t>Patient Pathways Priority 2a: Data linkage</w:t>
      </w:r>
      <w:bookmarkEnd w:id="143"/>
    </w:p>
    <w:p w:rsidR="005C7C60" w:rsidRPr="002143E0" w:rsidRDefault="005C7C60" w:rsidP="00173B16">
      <w:pPr>
        <w:pStyle w:val="FAREH2Nbr"/>
      </w:pPr>
      <w:bookmarkStart w:id="144" w:name="_Toc398105053"/>
      <w:r>
        <w:t>Introduction</w:t>
      </w:r>
      <w:bookmarkEnd w:id="144"/>
      <w:r>
        <w:t xml:space="preserve"> </w:t>
      </w:r>
    </w:p>
    <w:p w:rsidR="005C7C60" w:rsidRPr="00D17DB6" w:rsidRDefault="005C7C60" w:rsidP="005C7C60">
      <w:pPr>
        <w:pStyle w:val="FAREnormaltext"/>
        <w:rPr>
          <w:lang w:val="en-AU"/>
        </w:rPr>
      </w:pPr>
      <w:r w:rsidRPr="00D17DB6">
        <w:rPr>
          <w:lang w:val="en-AU"/>
        </w:rPr>
        <w:t>This chapte</w:t>
      </w:r>
      <w:r>
        <w:rPr>
          <w:lang w:val="en-AU"/>
        </w:rPr>
        <w:t xml:space="preserve">r focuses on the Victorian data </w:t>
      </w:r>
      <w:r w:rsidRPr="00D17DB6">
        <w:rPr>
          <w:lang w:val="en-AU"/>
        </w:rPr>
        <w:t xml:space="preserve">linkage component of the </w:t>
      </w:r>
      <w:r>
        <w:rPr>
          <w:i/>
          <w:lang w:val="en-AU"/>
        </w:rPr>
        <w:t xml:space="preserve">Patient Pathways Project, </w:t>
      </w:r>
      <w:r>
        <w:rPr>
          <w:lang w:val="en-AU"/>
        </w:rPr>
        <w:t>which involved linking Victorian alcohol and drug treatment s</w:t>
      </w:r>
      <w:r w:rsidRPr="00D17DB6">
        <w:rPr>
          <w:lang w:val="en-AU"/>
        </w:rPr>
        <w:t>ervice data, em</w:t>
      </w:r>
      <w:r>
        <w:rPr>
          <w:lang w:val="en-AU"/>
        </w:rPr>
        <w:t>ergency department presentations data</w:t>
      </w:r>
      <w:r w:rsidRPr="00D17DB6">
        <w:rPr>
          <w:lang w:val="en-AU"/>
        </w:rPr>
        <w:t xml:space="preserve"> and hospital admitted episodes data across three years. </w:t>
      </w:r>
    </w:p>
    <w:p w:rsidR="005C7C60" w:rsidRPr="00D17DB6" w:rsidRDefault="005C7C60" w:rsidP="005C7C60">
      <w:pPr>
        <w:pStyle w:val="FAREnormaltext"/>
        <w:rPr>
          <w:lang w:val="en-AU"/>
        </w:rPr>
      </w:pPr>
      <w:r>
        <w:rPr>
          <w:lang w:val="en-AU"/>
        </w:rPr>
        <w:t>The aim of the</w:t>
      </w:r>
      <w:r w:rsidRPr="00D17DB6">
        <w:rPr>
          <w:lang w:val="en-AU"/>
        </w:rPr>
        <w:t xml:space="preserve"> data linkage component was to provide evidence on people’s engagement with medical and clinical services</w:t>
      </w:r>
      <w:r w:rsidR="006D1FD5">
        <w:rPr>
          <w:lang w:val="en-AU"/>
        </w:rPr>
        <w:t xml:space="preserve"> prior to and following engagement with specialist AOD treatment,</w:t>
      </w:r>
      <w:r w:rsidR="006D1FD5" w:rsidRPr="00D17DB6">
        <w:rPr>
          <w:lang w:val="en-AU"/>
        </w:rPr>
        <w:t xml:space="preserve"> </w:t>
      </w:r>
      <w:r w:rsidRPr="00D17DB6">
        <w:rPr>
          <w:lang w:val="en-AU"/>
        </w:rPr>
        <w:t>and to obtain a better understanding of service utilisation by clients</w:t>
      </w:r>
      <w:r w:rsidR="006D1FD5">
        <w:rPr>
          <w:lang w:val="en-AU"/>
        </w:rPr>
        <w:t xml:space="preserve"> prior to, during and following</w:t>
      </w:r>
      <w:r w:rsidRPr="00D17DB6">
        <w:rPr>
          <w:lang w:val="en-AU"/>
        </w:rPr>
        <w:t xml:space="preserve"> AOD </w:t>
      </w:r>
      <w:r w:rsidR="006D1FD5">
        <w:rPr>
          <w:lang w:val="en-AU"/>
        </w:rPr>
        <w:t>treatment engagement</w:t>
      </w:r>
      <w:r w:rsidRPr="00D17DB6">
        <w:rPr>
          <w:lang w:val="en-AU"/>
        </w:rPr>
        <w:t>. The objectives are threefold.</w:t>
      </w:r>
    </w:p>
    <w:p w:rsidR="005C7C60" w:rsidRPr="00D17DB6" w:rsidRDefault="005C7C60" w:rsidP="0026107A">
      <w:pPr>
        <w:pStyle w:val="FAREnormaltext"/>
        <w:numPr>
          <w:ilvl w:val="0"/>
          <w:numId w:val="14"/>
        </w:numPr>
        <w:rPr>
          <w:lang w:val="en-AU"/>
        </w:rPr>
      </w:pPr>
      <w:r w:rsidRPr="00D17DB6">
        <w:rPr>
          <w:lang w:val="en-AU"/>
        </w:rPr>
        <w:t xml:space="preserve">To describe client characteristics, the proportion of clients that presented at hospital emergency departments, and the proportion of clients </w:t>
      </w:r>
      <w:proofErr w:type="gramStart"/>
      <w:r w:rsidRPr="00D17DB6">
        <w:rPr>
          <w:lang w:val="en-AU"/>
        </w:rPr>
        <w:t>that become</w:t>
      </w:r>
      <w:proofErr w:type="gramEnd"/>
      <w:r w:rsidRPr="00D17DB6">
        <w:rPr>
          <w:lang w:val="en-AU"/>
        </w:rPr>
        <w:t xml:space="preserve"> hospital inpatients. </w:t>
      </w:r>
    </w:p>
    <w:p w:rsidR="005C7C60" w:rsidRPr="00D17DB6" w:rsidRDefault="005C7C60" w:rsidP="0026107A">
      <w:pPr>
        <w:pStyle w:val="FAREnormaltext"/>
        <w:numPr>
          <w:ilvl w:val="0"/>
          <w:numId w:val="14"/>
        </w:numPr>
        <w:rPr>
          <w:lang w:val="en-AU"/>
        </w:rPr>
      </w:pPr>
      <w:r w:rsidRPr="00D17DB6">
        <w:rPr>
          <w:lang w:val="en-AU"/>
        </w:rPr>
        <w:t xml:space="preserve">To compare the health service utilisation by variables such as severity of problem, patient demographics, and </w:t>
      </w:r>
      <w:r w:rsidR="00EF61D6" w:rsidRPr="00EF61D6">
        <w:rPr>
          <w:lang w:val="en-AU"/>
        </w:rPr>
        <w:t>AOD specialist</w:t>
      </w:r>
      <w:r w:rsidRPr="00D17DB6">
        <w:rPr>
          <w:lang w:val="en-AU"/>
        </w:rPr>
        <w:t xml:space="preserve"> service use.</w:t>
      </w:r>
    </w:p>
    <w:p w:rsidR="005C7C60" w:rsidRPr="00D17DB6" w:rsidRDefault="005C7C60" w:rsidP="0026107A">
      <w:pPr>
        <w:pStyle w:val="FAREnormaltext"/>
        <w:numPr>
          <w:ilvl w:val="0"/>
          <w:numId w:val="14"/>
        </w:numPr>
        <w:rPr>
          <w:lang w:val="en-AU"/>
        </w:rPr>
      </w:pPr>
      <w:r w:rsidRPr="00D17DB6">
        <w:rPr>
          <w:lang w:val="en-AU"/>
        </w:rPr>
        <w:t xml:space="preserve">To compare the health service utilisation between two jurisdictions in Australia. </w:t>
      </w:r>
    </w:p>
    <w:p w:rsidR="00805034" w:rsidRPr="00A22F07" w:rsidRDefault="00805034" w:rsidP="00805034">
      <w:pPr>
        <w:pStyle w:val="FAREnormaltext"/>
        <w:rPr>
          <w:lang w:val="en-AU"/>
        </w:rPr>
      </w:pPr>
      <w:r w:rsidRPr="00A22F07">
        <w:rPr>
          <w:lang w:val="en-AU"/>
        </w:rPr>
        <w:t xml:space="preserve">The third objective was not achievable as WA data could not be accessed. </w:t>
      </w:r>
      <w:r>
        <w:rPr>
          <w:lang w:val="en-AU"/>
        </w:rPr>
        <w:t>An alternative was considered using</w:t>
      </w:r>
      <w:r w:rsidRPr="00A22F07">
        <w:rPr>
          <w:lang w:val="en-AU"/>
        </w:rPr>
        <w:t xml:space="preserve"> Queensland</w:t>
      </w:r>
      <w:r>
        <w:rPr>
          <w:lang w:val="en-AU"/>
        </w:rPr>
        <w:t xml:space="preserve"> data,</w:t>
      </w:r>
      <w:r w:rsidRPr="00A22F07">
        <w:rPr>
          <w:lang w:val="en-AU"/>
        </w:rPr>
        <w:t xml:space="preserve"> however timely access was not possible. As an alternative</w:t>
      </w:r>
      <w:r>
        <w:rPr>
          <w:lang w:val="en-AU"/>
        </w:rPr>
        <w:t xml:space="preserve"> to presenting data for an additional jurisdiction,</w:t>
      </w:r>
      <w:r w:rsidRPr="00A22F07">
        <w:rPr>
          <w:lang w:val="en-AU"/>
        </w:rPr>
        <w:t xml:space="preserve"> </w:t>
      </w:r>
      <w:r>
        <w:rPr>
          <w:lang w:val="en-AU"/>
        </w:rPr>
        <w:t>analyses ha</w:t>
      </w:r>
      <w:r w:rsidR="00410E52">
        <w:rPr>
          <w:lang w:val="en-AU"/>
        </w:rPr>
        <w:t>ve</w:t>
      </w:r>
      <w:r>
        <w:rPr>
          <w:lang w:val="en-AU"/>
        </w:rPr>
        <w:t xml:space="preserve"> been undertaken examining characteristics and patterns of ED and hospital utilisation for four sub</w:t>
      </w:r>
      <w:r w:rsidRPr="00A22F07">
        <w:rPr>
          <w:lang w:val="en-AU"/>
        </w:rPr>
        <w:t>populations</w:t>
      </w:r>
      <w:r>
        <w:rPr>
          <w:lang w:val="en-AU"/>
        </w:rPr>
        <w:t xml:space="preserve"> with risk factors for elevated rates of harm</w:t>
      </w:r>
      <w:r w:rsidRPr="00A22F07">
        <w:rPr>
          <w:lang w:val="en-AU"/>
        </w:rPr>
        <w:t xml:space="preserve"> – </w:t>
      </w:r>
      <w:r w:rsidR="00410E52">
        <w:rPr>
          <w:lang w:val="en-AU"/>
        </w:rPr>
        <w:t>(</w:t>
      </w:r>
      <w:proofErr w:type="spellStart"/>
      <w:r w:rsidR="00410E52">
        <w:rPr>
          <w:lang w:val="en-AU"/>
        </w:rPr>
        <w:t>i</w:t>
      </w:r>
      <w:proofErr w:type="spellEnd"/>
      <w:r w:rsidR="00410E52">
        <w:rPr>
          <w:lang w:val="en-AU"/>
        </w:rPr>
        <w:t xml:space="preserve">) </w:t>
      </w:r>
      <w:r>
        <w:rPr>
          <w:lang w:val="en-AU"/>
        </w:rPr>
        <w:t xml:space="preserve">AOD clients engaging in </w:t>
      </w:r>
      <w:proofErr w:type="spellStart"/>
      <w:r w:rsidRPr="00A22F07">
        <w:rPr>
          <w:lang w:val="en-AU"/>
        </w:rPr>
        <w:t>polydrug</w:t>
      </w:r>
      <w:proofErr w:type="spellEnd"/>
      <w:r w:rsidRPr="00A22F07">
        <w:rPr>
          <w:lang w:val="en-AU"/>
        </w:rPr>
        <w:t xml:space="preserve"> use</w:t>
      </w:r>
      <w:r>
        <w:rPr>
          <w:lang w:val="en-AU"/>
        </w:rPr>
        <w:t xml:space="preserve"> on entry into treatment</w:t>
      </w:r>
      <w:r w:rsidRPr="00A22F07">
        <w:rPr>
          <w:lang w:val="en-AU"/>
        </w:rPr>
        <w:t xml:space="preserve">, </w:t>
      </w:r>
      <w:r w:rsidR="00410E52">
        <w:rPr>
          <w:lang w:val="en-AU"/>
        </w:rPr>
        <w:t xml:space="preserve">(ii) </w:t>
      </w:r>
      <w:r>
        <w:rPr>
          <w:lang w:val="en-AU"/>
        </w:rPr>
        <w:t xml:space="preserve">AOD clients who had recently engaged in </w:t>
      </w:r>
      <w:r w:rsidRPr="00A22F07">
        <w:rPr>
          <w:lang w:val="en-AU"/>
        </w:rPr>
        <w:t>injecting drug use</w:t>
      </w:r>
      <w:r>
        <w:rPr>
          <w:lang w:val="en-AU"/>
        </w:rPr>
        <w:t xml:space="preserve"> on entry into treatment</w:t>
      </w:r>
      <w:r w:rsidRPr="00A22F07">
        <w:rPr>
          <w:lang w:val="en-AU"/>
        </w:rPr>
        <w:t xml:space="preserve">, </w:t>
      </w:r>
      <w:r w:rsidR="00410E52">
        <w:rPr>
          <w:lang w:val="en-AU"/>
        </w:rPr>
        <w:t xml:space="preserve">(iii) </w:t>
      </w:r>
      <w:r>
        <w:rPr>
          <w:lang w:val="en-AU"/>
        </w:rPr>
        <w:t xml:space="preserve">AOD clients who were </w:t>
      </w:r>
      <w:r w:rsidRPr="00A22F07">
        <w:rPr>
          <w:lang w:val="en-AU"/>
        </w:rPr>
        <w:t>homeless</w:t>
      </w:r>
      <w:r>
        <w:rPr>
          <w:lang w:val="en-AU"/>
        </w:rPr>
        <w:t xml:space="preserve"> on entry into treatment and </w:t>
      </w:r>
      <w:r w:rsidR="00410E52">
        <w:rPr>
          <w:lang w:val="en-AU"/>
        </w:rPr>
        <w:t xml:space="preserve">(iv) </w:t>
      </w:r>
      <w:r>
        <w:rPr>
          <w:lang w:val="en-AU"/>
        </w:rPr>
        <w:t xml:space="preserve">forensic clients. These results provide important information regarding outcomes and service utilisation for high risk populations, and are provided in the linkage supplementary report. </w:t>
      </w:r>
      <w:r w:rsidRPr="00A22F07">
        <w:rPr>
          <w:lang w:val="en-AU"/>
        </w:rPr>
        <w:t xml:space="preserve"> </w:t>
      </w:r>
    </w:p>
    <w:p w:rsidR="005C7C60" w:rsidRPr="002358B5" w:rsidRDefault="005C7C60" w:rsidP="00173B16">
      <w:pPr>
        <w:pStyle w:val="FAREH2Nbr"/>
      </w:pPr>
      <w:bookmarkStart w:id="145" w:name="_Toc350884496"/>
      <w:bookmarkStart w:id="146" w:name="_Toc387244617"/>
      <w:bookmarkStart w:id="147" w:name="_Toc398105054"/>
      <w:r>
        <w:t>Method</w:t>
      </w:r>
      <w:bookmarkStart w:id="148" w:name="OLE_LINK1"/>
      <w:bookmarkStart w:id="149" w:name="OLE_LINK2"/>
      <w:bookmarkEnd w:id="145"/>
      <w:bookmarkEnd w:id="146"/>
      <w:bookmarkEnd w:id="147"/>
    </w:p>
    <w:p w:rsidR="005C7C60" w:rsidRPr="005F1A33" w:rsidRDefault="005C7C60" w:rsidP="005C7C60">
      <w:pPr>
        <w:pStyle w:val="FAREnormaltext"/>
      </w:pPr>
      <w:r w:rsidRPr="005F1A33">
        <w:t>Th</w:t>
      </w:r>
      <w:bookmarkEnd w:id="148"/>
      <w:bookmarkEnd w:id="149"/>
      <w:r w:rsidRPr="005F1A33">
        <w:t xml:space="preserve">e use of administrative datasets provides cost-effective population level data for analysis of health, disease, treatment and service utilisation. Extending this use to record or data linkage in health research improves data utility. While Victorian AOD treatment, ED and hospitalisation datasets are available, data linkage has not </w:t>
      </w:r>
      <w:r w:rsidR="00E86E6C">
        <w:t xml:space="preserve">been </w:t>
      </w:r>
      <w:r w:rsidRPr="005F1A33">
        <w:t xml:space="preserve">used </w:t>
      </w:r>
      <w:r w:rsidR="00E86E6C">
        <w:t xml:space="preserve">to date </w:t>
      </w:r>
      <w:r w:rsidRPr="005F1A33">
        <w:t xml:space="preserve">to explore health service utilisation by Victorian AOD treatment clients. </w:t>
      </w:r>
      <w:r w:rsidR="006D1FD5">
        <w:t>Data are presented examining patterns and characteristics of ED presentations and hospital admissions across three years – the year prior to AOD treatment engagement (2009/10), the year of AOD treatment engagement (2010/11) and the year following AOD treatment engagement (2011/12) – in order to determine change following treatment for AOD clients at a whole-of-population level.</w:t>
      </w:r>
    </w:p>
    <w:p w:rsidR="005C7C60" w:rsidRPr="00492AD6" w:rsidRDefault="005C7C60" w:rsidP="0034684A">
      <w:pPr>
        <w:pStyle w:val="FAREH3"/>
      </w:pPr>
      <w:bookmarkStart w:id="150" w:name="_Toc387244618"/>
      <w:r w:rsidRPr="00492AD6">
        <w:t>Data sources</w:t>
      </w:r>
      <w:bookmarkEnd w:id="150"/>
    </w:p>
    <w:p w:rsidR="00CA7A60" w:rsidRPr="005F1A33" w:rsidRDefault="00CA7A60" w:rsidP="00CA7A60">
      <w:pPr>
        <w:pStyle w:val="FAREnormaltext"/>
      </w:pPr>
      <w:r w:rsidRPr="005F1A33">
        <w:t xml:space="preserve">Three data sources are used: </w:t>
      </w:r>
    </w:p>
    <w:p w:rsidR="00CA7A60" w:rsidRPr="004F17CB" w:rsidRDefault="00CA7A60" w:rsidP="0026107A">
      <w:pPr>
        <w:pStyle w:val="FAREnormaltext"/>
        <w:numPr>
          <w:ilvl w:val="0"/>
          <w:numId w:val="15"/>
        </w:numPr>
      </w:pPr>
      <w:r w:rsidRPr="004F17CB">
        <w:t xml:space="preserve">Victorian Alcohol and Drug Information System (ADIS), </w:t>
      </w:r>
    </w:p>
    <w:p w:rsidR="00CA7A60" w:rsidRPr="004F17CB" w:rsidRDefault="00CA7A60" w:rsidP="0026107A">
      <w:pPr>
        <w:pStyle w:val="FAREnormaltext"/>
        <w:numPr>
          <w:ilvl w:val="0"/>
          <w:numId w:val="15"/>
        </w:numPr>
      </w:pPr>
      <w:r w:rsidRPr="004F17CB">
        <w:lastRenderedPageBreak/>
        <w:t xml:space="preserve">Victorian Emergency Minimum Dataset (VEMD), and </w:t>
      </w:r>
    </w:p>
    <w:p w:rsidR="00CA7A60" w:rsidRPr="004F17CB" w:rsidRDefault="00CA7A60" w:rsidP="0026107A">
      <w:pPr>
        <w:pStyle w:val="FAREnormaltext"/>
        <w:numPr>
          <w:ilvl w:val="0"/>
          <w:numId w:val="15"/>
        </w:numPr>
      </w:pPr>
      <w:r w:rsidRPr="004F17CB">
        <w:t>Victorian Ad</w:t>
      </w:r>
      <w:bookmarkStart w:id="151" w:name="_Toc385863938"/>
      <w:r w:rsidRPr="004F17CB">
        <w:t>mitted Episodes Dataset (VAED).</w:t>
      </w:r>
    </w:p>
    <w:p w:rsidR="00CA7A60" w:rsidRPr="00CA7A60" w:rsidRDefault="00CA7A60" w:rsidP="00CA7A60">
      <w:pPr>
        <w:keepNext/>
        <w:keepLines/>
        <w:spacing w:before="120" w:after="120" w:line="240" w:lineRule="auto"/>
        <w:outlineLvl w:val="1"/>
        <w:rPr>
          <w:rFonts w:ascii="Cambria" w:eastAsia="SimSun" w:hAnsi="Cambria"/>
          <w:bCs/>
          <w:i/>
          <w:sz w:val="24"/>
          <w:szCs w:val="24"/>
        </w:rPr>
      </w:pPr>
      <w:r w:rsidRPr="00CA7A60">
        <w:rPr>
          <w:rFonts w:ascii="Cambria" w:eastAsia="SimSun" w:hAnsi="Cambria"/>
          <w:bCs/>
          <w:i/>
          <w:sz w:val="24"/>
          <w:szCs w:val="24"/>
        </w:rPr>
        <w:t>Victorian Alcohol and Drug Information System (ADIS)</w:t>
      </w:r>
      <w:bookmarkEnd w:id="151"/>
      <w:r w:rsidRPr="00CA7A60">
        <w:rPr>
          <w:rFonts w:ascii="Cambria" w:eastAsia="SimSun" w:hAnsi="Cambria"/>
          <w:bCs/>
          <w:i/>
          <w:sz w:val="24"/>
          <w:szCs w:val="24"/>
        </w:rPr>
        <w:t xml:space="preserve"> </w:t>
      </w:r>
    </w:p>
    <w:p w:rsidR="00CA7A60" w:rsidRPr="00723FAA" w:rsidRDefault="00E86E6C" w:rsidP="00CA7A60">
      <w:pPr>
        <w:pStyle w:val="FAREnormaltext"/>
      </w:pPr>
      <w:r>
        <w:t xml:space="preserve">The Victorian Department of </w:t>
      </w:r>
      <w:r w:rsidR="00430F99">
        <w:t>Health</w:t>
      </w:r>
      <w:r w:rsidR="00CA7A60" w:rsidRPr="005F1A33">
        <w:t xml:space="preserve"> funds community-</w:t>
      </w:r>
      <w:r w:rsidR="00CA7A60" w:rsidRPr="00723FAA">
        <w:t xml:space="preserve">based agencies to provide specialist alcohol and drug treatment services across the state. The collection of client information is a mandatory requirement, and data is collated in ADIS. The ADIS database is a register of </w:t>
      </w:r>
      <w:r>
        <w:t xml:space="preserve">client-level data from </w:t>
      </w:r>
      <w:r w:rsidR="00CA7A60" w:rsidRPr="00723FAA">
        <w:t xml:space="preserve">government-funded, specialist AOD treatment services in Victoria. In this report, we present data </w:t>
      </w:r>
      <w:r w:rsidR="00CA7A60">
        <w:t>from ADIS clients with a course of treatment start</w:t>
      </w:r>
      <w:r w:rsidR="00CA7A60" w:rsidRPr="00723FAA">
        <w:t xml:space="preserve"> date between 1 July 2010 and 30 June 2011</w:t>
      </w:r>
      <w:r w:rsidR="00FA4534">
        <w:t xml:space="preserve"> (index year)</w:t>
      </w:r>
      <w:r w:rsidR="00CA7A60" w:rsidRPr="00723FAA">
        <w:t xml:space="preserve">. </w:t>
      </w:r>
      <w:r w:rsidR="00CA7A60">
        <w:rPr>
          <w:lang w:val="en-AU"/>
        </w:rPr>
        <w:t>A course of</w:t>
      </w:r>
      <w:r w:rsidR="00CA7A60" w:rsidRPr="00D61DAE">
        <w:rPr>
          <w:lang w:val="en-AU"/>
        </w:rPr>
        <w:t xml:space="preserve"> treatment </w:t>
      </w:r>
      <w:r w:rsidR="00CA7A60">
        <w:rPr>
          <w:lang w:val="en-AU"/>
        </w:rPr>
        <w:t xml:space="preserve">is defined </w:t>
      </w:r>
      <w:r w:rsidR="00CA7A60" w:rsidRPr="00D61DAE">
        <w:rPr>
          <w:lang w:val="en-AU"/>
        </w:rPr>
        <w:t>as the period of contact within defined dates of commencement and cessation between a client and a treatment provider or team of providers</w:t>
      </w:r>
      <w:r w:rsidR="00CA7A60">
        <w:rPr>
          <w:lang w:val="en-AU"/>
        </w:rPr>
        <w:t xml:space="preserve">. </w:t>
      </w:r>
      <w:r w:rsidR="00CA7A60" w:rsidRPr="00D61DAE">
        <w:rPr>
          <w:lang w:val="en-AU"/>
        </w:rPr>
        <w:t>Consequently any one client may have undertaken</w:t>
      </w:r>
      <w:r w:rsidR="00CA7A60">
        <w:rPr>
          <w:lang w:val="en-AU"/>
        </w:rPr>
        <w:t xml:space="preserve"> multiple</w:t>
      </w:r>
      <w:r w:rsidR="00CA7A60" w:rsidRPr="00D61DAE">
        <w:rPr>
          <w:lang w:val="en-AU"/>
        </w:rPr>
        <w:t xml:space="preserve"> courses of treatment</w:t>
      </w:r>
      <w:r w:rsidR="00CA7A60">
        <w:rPr>
          <w:lang w:val="en-AU"/>
        </w:rPr>
        <w:t xml:space="preserve"> in a given year, or across multiple years</w:t>
      </w:r>
      <w:r w:rsidR="00CA7A60" w:rsidRPr="00D61DAE">
        <w:rPr>
          <w:lang w:val="en-AU"/>
        </w:rPr>
        <w:t>.</w:t>
      </w:r>
    </w:p>
    <w:p w:rsidR="00CA7A60" w:rsidRPr="00CA7A60" w:rsidRDefault="00CA7A60" w:rsidP="00CA7A60">
      <w:pPr>
        <w:keepNext/>
        <w:keepLines/>
        <w:spacing w:before="120" w:after="120" w:line="240" w:lineRule="auto"/>
        <w:outlineLvl w:val="1"/>
        <w:rPr>
          <w:rFonts w:ascii="Cambria" w:eastAsia="SimSun" w:hAnsi="Cambria"/>
          <w:bCs/>
          <w:i/>
          <w:sz w:val="24"/>
          <w:szCs w:val="24"/>
        </w:rPr>
      </w:pPr>
      <w:bookmarkStart w:id="152" w:name="_Toc385863939"/>
      <w:r w:rsidRPr="00CA7A60">
        <w:rPr>
          <w:rFonts w:ascii="Cambria" w:eastAsia="SimSun" w:hAnsi="Cambria"/>
          <w:bCs/>
          <w:i/>
          <w:sz w:val="24"/>
          <w:szCs w:val="24"/>
        </w:rPr>
        <w:t>Victorian Emergency Minimum Dataset (VEMD)</w:t>
      </w:r>
      <w:bookmarkEnd w:id="152"/>
      <w:r w:rsidRPr="00CA7A60">
        <w:rPr>
          <w:rFonts w:ascii="Cambria" w:eastAsia="SimSun" w:hAnsi="Cambria"/>
          <w:bCs/>
          <w:i/>
          <w:sz w:val="24"/>
          <w:szCs w:val="24"/>
        </w:rPr>
        <w:t xml:space="preserve"> </w:t>
      </w:r>
    </w:p>
    <w:p w:rsidR="00CA7A60" w:rsidRPr="005F1A33" w:rsidRDefault="00CA7A60" w:rsidP="00CA7A60">
      <w:pPr>
        <w:pStyle w:val="FAREnormaltext"/>
      </w:pPr>
      <w:r w:rsidRPr="005F1A33">
        <w:t xml:space="preserve">VEMD contains demographic, administrative and clinical data detailing all presentations to Victorian public hospitals with </w:t>
      </w:r>
      <w:r w:rsidR="00E86E6C">
        <w:t xml:space="preserve">a </w:t>
      </w:r>
      <w:r w:rsidRPr="005F1A33">
        <w:t xml:space="preserve">24-hour </w:t>
      </w:r>
      <w:r w:rsidR="00FF21E3">
        <w:t>Emergency Department (</w:t>
      </w:r>
      <w:r w:rsidRPr="005F1A33">
        <w:t>ED</w:t>
      </w:r>
      <w:r w:rsidR="00FF21E3">
        <w:t>)</w:t>
      </w:r>
      <w:r w:rsidRPr="005F1A33">
        <w:t xml:space="preserve">. </w:t>
      </w:r>
      <w:bookmarkStart w:id="153" w:name="OLE_LINK63"/>
      <w:bookmarkStart w:id="154" w:name="OLE_LINK64"/>
      <w:r>
        <w:t>VEMD data were</w:t>
      </w:r>
      <w:r w:rsidRPr="005F1A33">
        <w:t xml:space="preserve"> </w:t>
      </w:r>
      <w:bookmarkStart w:id="155" w:name="OLE_LINK61"/>
      <w:bookmarkStart w:id="156" w:name="OLE_LINK62"/>
      <w:r w:rsidRPr="005F1A33">
        <w:t xml:space="preserve">included from 01 July 2009 through to 30 June 2012. </w:t>
      </w:r>
      <w:bookmarkEnd w:id="153"/>
      <w:bookmarkEnd w:id="154"/>
      <w:bookmarkEnd w:id="155"/>
      <w:bookmarkEnd w:id="156"/>
      <w:r w:rsidRPr="005F1A33">
        <w:t xml:space="preserve">The VEMD contains a range of information regarding each presentation. This includes three fields for International Classification of Disease-10 (ICD-10) diagnoses and a series of data items relating to injury surveillance. </w:t>
      </w:r>
      <w:r>
        <w:t>There are around 1.4 million VEMD presentations per annum for all diagnoses.</w:t>
      </w:r>
    </w:p>
    <w:p w:rsidR="00CA7A60" w:rsidRPr="00CA7A60" w:rsidRDefault="00CA7A60" w:rsidP="00CA7A60">
      <w:pPr>
        <w:keepNext/>
        <w:keepLines/>
        <w:spacing w:before="120" w:after="120" w:line="240" w:lineRule="auto"/>
        <w:outlineLvl w:val="1"/>
        <w:rPr>
          <w:rFonts w:ascii="Cambria" w:eastAsia="SimSun" w:hAnsi="Cambria"/>
          <w:bCs/>
          <w:i/>
          <w:sz w:val="24"/>
          <w:szCs w:val="24"/>
        </w:rPr>
      </w:pPr>
      <w:bookmarkStart w:id="157" w:name="_Toc385863940"/>
      <w:r w:rsidRPr="00CA7A60">
        <w:rPr>
          <w:rFonts w:ascii="Cambria" w:eastAsia="SimSun" w:hAnsi="Cambria"/>
          <w:bCs/>
          <w:i/>
          <w:sz w:val="24"/>
          <w:szCs w:val="24"/>
        </w:rPr>
        <w:t>Victorian Admitted Episodes Dataset (VAED)</w:t>
      </w:r>
      <w:bookmarkEnd w:id="157"/>
    </w:p>
    <w:p w:rsidR="00CA7A60" w:rsidRDefault="00CA7A60" w:rsidP="00CA7A60">
      <w:pPr>
        <w:pStyle w:val="FAREnormaltext"/>
      </w:pPr>
      <w:r w:rsidRPr="005F1A33">
        <w:t>Hospitalisations were obtained from the Victorian Admitted Episodes Dataset (VAED), a database maintained by the Victorian DH. VAED records all acute hospital statistical separations</w:t>
      </w:r>
      <w:r w:rsidR="00FF21E3">
        <w:t xml:space="preserve"> (i.e. inpatient treatment episodes)</w:t>
      </w:r>
      <w:r w:rsidRPr="005F1A33">
        <w:t xml:space="preserve"> in Victoria, and includes information on causes of admission (ICD-10 coding), age and sex. Statistical separations include admissions to different parts of the hospital (e.g. ICU discharge to general ward admissions). Separations are used as a proxy measure for hospitalisations. The term ‘acute hospitals’ refers to public, private and denominational hospitals, acute rehabilitation and extended care (sub-acute) facilities, day procedure centres and designated acute psychiatric units in public hospitals. Residential care (nursing homes), hostels, supported residential services and state managed psychiatric institutions are not included in the VAED. VAED data was included from 01 July 2009 through to 30 June 2012. </w:t>
      </w:r>
      <w:r>
        <w:t>There are around 2.1 million VAED separations per annum.</w:t>
      </w:r>
    </w:p>
    <w:p w:rsidR="00CA7A60" w:rsidRPr="002358B5" w:rsidRDefault="00CA7A60" w:rsidP="0034684A">
      <w:pPr>
        <w:pStyle w:val="FAREH3"/>
      </w:pPr>
      <w:r>
        <w:t>Measures</w:t>
      </w:r>
    </w:p>
    <w:p w:rsidR="00CA7A60" w:rsidRDefault="00CA7A60" w:rsidP="00CA7A60">
      <w:pPr>
        <w:pStyle w:val="FAREnormaltext"/>
      </w:pPr>
      <w:r w:rsidRPr="005F1A33">
        <w:t xml:space="preserve">The datasets included client’s encrypted identifier, demographics (e.g. gender, age groups, country of birth, and indigenous status), socioeconomic variables (e.g. employment status, living arrangement), </w:t>
      </w:r>
      <w:r>
        <w:t xml:space="preserve">AOD treatment variables (e.g. treatment type, primary drug of concern), </w:t>
      </w:r>
      <w:r w:rsidRPr="005F1A33">
        <w:t>admission, and diagnosti</w:t>
      </w:r>
      <w:r>
        <w:t xml:space="preserve">c variables for ED and hospital admissions (e.g. ICD-10 code for </w:t>
      </w:r>
      <w:r w:rsidR="006D1FD5">
        <w:t>principal</w:t>
      </w:r>
      <w:r>
        <w:t xml:space="preserve"> diagnosis) (see Appendix </w:t>
      </w:r>
      <w:r w:rsidR="00430F99">
        <w:t xml:space="preserve">3.1 </w:t>
      </w:r>
      <w:r>
        <w:t xml:space="preserve">for detailed information of measures used in the report.) </w:t>
      </w:r>
    </w:p>
    <w:p w:rsidR="00CA7A60" w:rsidRDefault="00CA7A60" w:rsidP="00CA7A60">
      <w:pPr>
        <w:spacing w:after="120" w:line="240" w:lineRule="auto"/>
        <w:ind w:left="1191" w:hanging="1134"/>
        <w:jc w:val="both"/>
        <w:rPr>
          <w:lang w:val="en-GB"/>
        </w:rPr>
      </w:pPr>
      <w:r>
        <w:br w:type="page"/>
      </w:r>
    </w:p>
    <w:p w:rsidR="00CA7A60" w:rsidRPr="001657FE" w:rsidRDefault="00CA7A60" w:rsidP="0034684A">
      <w:pPr>
        <w:pStyle w:val="FAREH3"/>
      </w:pPr>
      <w:r>
        <w:lastRenderedPageBreak/>
        <w:t>Data Linkage Manipulation and Analysis</w:t>
      </w:r>
    </w:p>
    <w:p w:rsidR="00CA7A60" w:rsidRPr="00CA7A60" w:rsidRDefault="00CA7A60" w:rsidP="00CA7A60">
      <w:pPr>
        <w:keepNext/>
        <w:keepLines/>
        <w:spacing w:before="120" w:after="120" w:line="240" w:lineRule="auto"/>
        <w:outlineLvl w:val="1"/>
        <w:rPr>
          <w:rFonts w:ascii="Cambria" w:eastAsia="SimSun" w:hAnsi="Cambria"/>
          <w:bCs/>
          <w:i/>
          <w:sz w:val="24"/>
          <w:szCs w:val="24"/>
        </w:rPr>
      </w:pPr>
      <w:r w:rsidRPr="00CA7A60">
        <w:rPr>
          <w:rFonts w:ascii="Cambria" w:eastAsia="SimSun" w:hAnsi="Cambria"/>
          <w:bCs/>
          <w:i/>
          <w:sz w:val="24"/>
          <w:szCs w:val="24"/>
        </w:rPr>
        <w:t xml:space="preserve">Data linkage </w:t>
      </w:r>
    </w:p>
    <w:p w:rsidR="00CA7A60" w:rsidRPr="005F1A33" w:rsidRDefault="00CA7A60" w:rsidP="00CA7A60">
      <w:pPr>
        <w:pStyle w:val="FAREnormaltext"/>
      </w:pPr>
      <w:r w:rsidRPr="005F1A33">
        <w:t xml:space="preserve">The linkage of the three selected datasets (ADIS, VEMD, and VAED) involved a series of processes designed to maximise the number of cases linked, but minimise the risk of incorrectly linked unrelated cases across the service settings included. </w:t>
      </w:r>
    </w:p>
    <w:p w:rsidR="00CA7A60" w:rsidRPr="005F1A33" w:rsidRDefault="00CA7A60" w:rsidP="00CA7A60">
      <w:pPr>
        <w:pStyle w:val="FAREnormaltext"/>
      </w:pPr>
      <w:r w:rsidRPr="005F1A33">
        <w:t xml:space="preserve">The Victorian Data Linkages (VDL) at </w:t>
      </w:r>
      <w:r>
        <w:t>Department of Health (</w:t>
      </w:r>
      <w:r w:rsidRPr="005F1A33">
        <w:t>DH</w:t>
      </w:r>
      <w:r>
        <w:t>)</w:t>
      </w:r>
      <w:r w:rsidRPr="005F1A33">
        <w:t xml:space="preserve"> linked all three datasets (of which the DH is the data custodians). Linkage involved a probabilistic and deterministic matching, in a two-step process at VDL. First, the VEMD and VAED datasets underwent data cleaning via probabilistic matching, where multiple ED presentations or hospitalisations were identified for a single client. Second, deterministic matching was used to link ADIS to VEMD and VAED.  </w:t>
      </w:r>
    </w:p>
    <w:p w:rsidR="00CA7A60" w:rsidRDefault="00CA7A60" w:rsidP="00CA7A60">
      <w:pPr>
        <w:pStyle w:val="FAREnormaltext"/>
        <w:tabs>
          <w:tab w:val="left" w:pos="1134"/>
        </w:tabs>
      </w:pPr>
      <w:r w:rsidRPr="005F1A33">
        <w:t>A statistical linkage key (SLK) was created based on aspects of family name, given name, date of birth and gende</w:t>
      </w:r>
      <w:r>
        <w:t>r,</w:t>
      </w:r>
      <w:r w:rsidRPr="005F1A33">
        <w:t xml:space="preserve"> with </w:t>
      </w:r>
      <w:r w:rsidR="00FF21E3">
        <w:t xml:space="preserve">actual </w:t>
      </w:r>
      <w:r w:rsidRPr="005F1A33">
        <w:t>names and dates of birth omitted</w:t>
      </w:r>
      <w:r>
        <w:t>. VDL provided ADIS, VAED and VEMD records data files and SLK files separately</w:t>
      </w:r>
      <w:r w:rsidRPr="005F1A33">
        <w:t xml:space="preserve"> to Turning Point via an online secure data exchange facility. </w:t>
      </w:r>
      <w:r>
        <w:t xml:space="preserve">VDL provided datasets were linked by Turning Point staff in two stages: </w:t>
      </w:r>
    </w:p>
    <w:p w:rsidR="00CA7A60" w:rsidRDefault="00CA7A60" w:rsidP="0026107A">
      <w:pPr>
        <w:pStyle w:val="FAREnormaltext"/>
        <w:numPr>
          <w:ilvl w:val="0"/>
          <w:numId w:val="16"/>
        </w:numPr>
      </w:pPr>
      <w:r>
        <w:t xml:space="preserve">Records datasets were linked with SLK files. </w:t>
      </w:r>
      <w:r w:rsidR="00FF21E3">
        <w:t xml:space="preserve">The </w:t>
      </w:r>
      <w:r>
        <w:t xml:space="preserve">ADIS dataset was linked with </w:t>
      </w:r>
      <w:r w:rsidR="00FF21E3">
        <w:t xml:space="preserve">the </w:t>
      </w:r>
      <w:r>
        <w:t xml:space="preserve">ADIS SLK file using ADIS outlet ID and ADIS episode ID. </w:t>
      </w:r>
      <w:r w:rsidR="00FF21E3">
        <w:t xml:space="preserve">The </w:t>
      </w:r>
      <w:r>
        <w:t xml:space="preserve">VAED dataset was linked with </w:t>
      </w:r>
      <w:r w:rsidR="00FF21E3">
        <w:t xml:space="preserve">the </w:t>
      </w:r>
      <w:r>
        <w:t xml:space="preserve">VAED SLK file using VAED ID. </w:t>
      </w:r>
      <w:r w:rsidR="00FF21E3">
        <w:t xml:space="preserve">The </w:t>
      </w:r>
      <w:r>
        <w:t xml:space="preserve">VEMD dataset was linked with </w:t>
      </w:r>
      <w:r w:rsidR="00FF21E3">
        <w:t xml:space="preserve">the </w:t>
      </w:r>
      <w:r>
        <w:t>VEMD SLK file using VEMD ID</w:t>
      </w:r>
    </w:p>
    <w:p w:rsidR="00CA7A60" w:rsidRPr="00B91DC2" w:rsidRDefault="00FF21E3" w:rsidP="0026107A">
      <w:pPr>
        <w:pStyle w:val="FAREnormaltext"/>
        <w:numPr>
          <w:ilvl w:val="0"/>
          <w:numId w:val="16"/>
        </w:numPr>
      </w:pPr>
      <w:r>
        <w:t xml:space="preserve">The </w:t>
      </w:r>
      <w:r w:rsidR="00CA7A60">
        <w:t xml:space="preserve">ADIS dataset was linked with VAED and VEMD separately using SLK </w:t>
      </w:r>
    </w:p>
    <w:p w:rsidR="00CA7A60" w:rsidRPr="00CA7A60" w:rsidRDefault="00CA7A60" w:rsidP="00CA7A60">
      <w:pPr>
        <w:keepNext/>
        <w:keepLines/>
        <w:spacing w:before="120" w:after="120" w:line="240" w:lineRule="auto"/>
        <w:outlineLvl w:val="1"/>
        <w:rPr>
          <w:rFonts w:ascii="Cambria" w:eastAsia="SimSun" w:hAnsi="Cambria"/>
          <w:bCs/>
          <w:i/>
          <w:sz w:val="24"/>
          <w:szCs w:val="24"/>
        </w:rPr>
      </w:pPr>
      <w:r w:rsidRPr="00CA7A60">
        <w:rPr>
          <w:rFonts w:ascii="Cambria" w:eastAsia="SimSun" w:hAnsi="Cambria"/>
          <w:bCs/>
          <w:i/>
          <w:sz w:val="24"/>
          <w:szCs w:val="24"/>
        </w:rPr>
        <w:t>Data cleaning</w:t>
      </w:r>
    </w:p>
    <w:p w:rsidR="00CA7A60" w:rsidRPr="00C33491" w:rsidRDefault="00CA7A60" w:rsidP="00CA7A60">
      <w:pPr>
        <w:pStyle w:val="FAREnormaltext"/>
      </w:pPr>
      <w:r w:rsidRPr="00C33491">
        <w:t xml:space="preserve">The research team at Turning Point undertook extensive data cleaning and preparation </w:t>
      </w:r>
      <w:r>
        <w:t>of</w:t>
      </w:r>
      <w:r w:rsidRPr="00C33491">
        <w:t xml:space="preserve"> ADIS, VEMD, and VAED datasets.</w:t>
      </w:r>
    </w:p>
    <w:p w:rsidR="00CA7A60" w:rsidRPr="00C33491" w:rsidRDefault="00CA7A60" w:rsidP="00CA7A60">
      <w:pPr>
        <w:pStyle w:val="FAREnormaltext"/>
      </w:pPr>
      <w:r w:rsidRPr="00C33491">
        <w:t>Al</w:t>
      </w:r>
      <w:r w:rsidR="00FA4534">
        <w:t>l</w:t>
      </w:r>
      <w:r w:rsidRPr="00C33491">
        <w:t xml:space="preserve"> data files received from VDL were first cleaned </w:t>
      </w:r>
      <w:r>
        <w:t>for</w:t>
      </w:r>
      <w:r w:rsidRPr="00C33491">
        <w:t xml:space="preserve"> missing values and </w:t>
      </w:r>
      <w:proofErr w:type="spellStart"/>
      <w:r w:rsidRPr="00C33491">
        <w:t>mis</w:t>
      </w:r>
      <w:proofErr w:type="spellEnd"/>
      <w:r>
        <w:t>-</w:t>
      </w:r>
      <w:r w:rsidRPr="00C33491">
        <w:t xml:space="preserve">coding (e.g. </w:t>
      </w:r>
      <w:r>
        <w:t>treatment</w:t>
      </w:r>
      <w:r w:rsidRPr="00C33491">
        <w:t xml:space="preserve"> start date was after </w:t>
      </w:r>
      <w:r>
        <w:t>treatment</w:t>
      </w:r>
      <w:r w:rsidRPr="00C33491">
        <w:t xml:space="preserve"> termination day). Then all data files were checked whether the record </w:t>
      </w:r>
      <w:r>
        <w:t>ID</w:t>
      </w:r>
      <w:r w:rsidR="00FF21E3">
        <w:t>s</w:t>
      </w:r>
      <w:r w:rsidRPr="00C33491">
        <w:t xml:space="preserve"> were </w:t>
      </w:r>
      <w:r w:rsidR="00FF21E3">
        <w:t xml:space="preserve">all </w:t>
      </w:r>
      <w:r w:rsidRPr="00C33491">
        <w:t>unique identifier</w:t>
      </w:r>
      <w:r>
        <w:t>s</w:t>
      </w:r>
      <w:r w:rsidRPr="00C33491">
        <w:t xml:space="preserve"> (</w:t>
      </w:r>
      <w:r>
        <w:t>ADIS outlet ID, ADIS episode ID</w:t>
      </w:r>
      <w:r w:rsidRPr="00C33491">
        <w:t>,</w:t>
      </w:r>
      <w:r>
        <w:t xml:space="preserve"> VAED ID</w:t>
      </w:r>
      <w:r w:rsidRPr="00C33491">
        <w:t xml:space="preserve"> and</w:t>
      </w:r>
      <w:r>
        <w:t xml:space="preserve"> VEMD ID</w:t>
      </w:r>
      <w:r w:rsidRPr="00C33491">
        <w:t>)</w:t>
      </w:r>
      <w:r>
        <w:t>. Records with duplicate record ID</w:t>
      </w:r>
      <w:r w:rsidR="00FF21E3">
        <w:t>s</w:t>
      </w:r>
      <w:r w:rsidRPr="00C33491">
        <w:t xml:space="preserve"> were removed to </w:t>
      </w:r>
      <w:r>
        <w:t>e</w:t>
      </w:r>
      <w:r w:rsidRPr="00C33491">
        <w:t xml:space="preserve">nsure correct links of record data files with SLK files. After record data files </w:t>
      </w:r>
      <w:r>
        <w:t>were</w:t>
      </w:r>
      <w:r w:rsidRPr="00C33491">
        <w:t xml:space="preserve"> linked to SLK files, we were able to identify multiple records from one client. </w:t>
      </w:r>
    </w:p>
    <w:p w:rsidR="00CA7A60" w:rsidRDefault="00CA7A60" w:rsidP="00CA7A60">
      <w:pPr>
        <w:pStyle w:val="FAREnormaltext"/>
      </w:pPr>
      <w:r w:rsidRPr="00C33491">
        <w:t xml:space="preserve">Data were </w:t>
      </w:r>
      <w:r>
        <w:t>then</w:t>
      </w:r>
      <w:r w:rsidRPr="00C33491">
        <w:t xml:space="preserve"> </w:t>
      </w:r>
      <w:r w:rsidR="00FF21E3">
        <w:t>checked</w:t>
      </w:r>
      <w:r w:rsidRPr="00C33491">
        <w:t xml:space="preserve"> for un-matched gender and age group</w:t>
      </w:r>
      <w:r w:rsidR="00FF21E3">
        <w:t xml:space="preserve"> codes</w:t>
      </w:r>
      <w:r w:rsidRPr="00C33491">
        <w:t xml:space="preserve"> for </w:t>
      </w:r>
      <w:r>
        <w:t>individual</w:t>
      </w:r>
      <w:r w:rsidRPr="00C33491">
        <w:t xml:space="preserve"> client</w:t>
      </w:r>
      <w:r>
        <w:t>s</w:t>
      </w:r>
      <w:r w:rsidR="00FF21E3">
        <w:t>,</w:t>
      </w:r>
      <w:r w:rsidRPr="00C33491">
        <w:t xml:space="preserve"> to reduce possible mismatched cases introduced by probabilistic matching. Consistent age and gender for patients were first checked in the ADIS dataset, including different genders, jump of client’s age groups in three years (e.g.</w:t>
      </w:r>
      <w:r>
        <w:t xml:space="preserve"> client’s age group changed </w:t>
      </w:r>
      <w:r w:rsidRPr="00C33491">
        <w:t xml:space="preserve">from 5-9 years old in 09/10 to 15-19 years old in 10/11) or client’s age in a year was older than the year after. Client records with mismatched age and gender </w:t>
      </w:r>
      <w:r>
        <w:t>were</w:t>
      </w:r>
      <w:r w:rsidRPr="00C33491">
        <w:t xml:space="preserve"> deleted in ADIS. The ADIS dataset was</w:t>
      </w:r>
      <w:r>
        <w:t xml:space="preserve"> then</w:t>
      </w:r>
      <w:r w:rsidRPr="00C33491">
        <w:t xml:space="preserve"> linked with both VAED and VEMD using the SLK, and was used as a reference dataset for cleaning mismatched records in VAED and VEMD data (inconsistent gender and age group from multiple records of the same client). Patient characteristics, treatment types and drug</w:t>
      </w:r>
      <w:r>
        <w:t xml:space="preserve"> use variables</w:t>
      </w:r>
      <w:r w:rsidRPr="00C33491">
        <w:t xml:space="preserve"> in ADIS dataset </w:t>
      </w:r>
      <w:r w:rsidR="00FF21E3">
        <w:t>were</w:t>
      </w:r>
      <w:r w:rsidRPr="00C33491">
        <w:t xml:space="preserve"> also re-grouped to reduce reporting groups contain numbers less than five (see </w:t>
      </w:r>
      <w:r>
        <w:t xml:space="preserve">Appendix </w:t>
      </w:r>
      <w:r w:rsidR="006E5906">
        <w:t>3.1).</w:t>
      </w:r>
    </w:p>
    <w:p w:rsidR="00CA7A60" w:rsidRPr="00CA7A60" w:rsidRDefault="00CA7A60" w:rsidP="008D2CC2">
      <w:pPr>
        <w:keepNext/>
        <w:keepLines/>
        <w:spacing w:before="120" w:after="120" w:line="240" w:lineRule="auto"/>
        <w:outlineLvl w:val="0"/>
        <w:rPr>
          <w:rFonts w:ascii="Cambria" w:eastAsia="SimSun" w:hAnsi="Cambria"/>
          <w:bCs/>
          <w:i/>
          <w:sz w:val="24"/>
          <w:szCs w:val="24"/>
        </w:rPr>
      </w:pPr>
      <w:bookmarkStart w:id="158" w:name="OLE_LINK6"/>
      <w:bookmarkStart w:id="159" w:name="OLE_LINK7"/>
      <w:bookmarkStart w:id="160" w:name="OLE_LINK8"/>
      <w:bookmarkStart w:id="161" w:name="OLE_LINK9"/>
      <w:r w:rsidRPr="00CA7A60">
        <w:rPr>
          <w:rFonts w:ascii="Cambria" w:eastAsia="SimSun" w:hAnsi="Cambria"/>
          <w:bCs/>
          <w:i/>
          <w:sz w:val="24"/>
          <w:szCs w:val="24"/>
        </w:rPr>
        <w:lastRenderedPageBreak/>
        <w:t>Data analysis</w:t>
      </w:r>
    </w:p>
    <w:p w:rsidR="00CA7A60" w:rsidRDefault="00CA7A60" w:rsidP="00CA7A60">
      <w:pPr>
        <w:pStyle w:val="FAREnormaltext"/>
      </w:pPr>
      <w:r>
        <w:rPr>
          <w:rFonts w:asciiTheme="minorHAnsi" w:hAnsiTheme="minorHAnsi"/>
        </w:rPr>
        <w:t xml:space="preserve">STATA 12 was used to conduct descriptive </w:t>
      </w:r>
      <w:r>
        <w:t xml:space="preserve">analysis. Chi square tests and associated p values were used to measure independence between variables. A categorical variable was created for each AOD client indicating whether the client had no ED presentation, presentation in a given year only (09/10, 10/11, 11/12) or </w:t>
      </w:r>
      <w:r w:rsidR="00FF21E3">
        <w:t xml:space="preserve">in </w:t>
      </w:r>
      <w:r>
        <w:t>multiple years. Client socio</w:t>
      </w:r>
      <w:r w:rsidRPr="006C0F3D">
        <w:t>demographic</w:t>
      </w:r>
      <w:r>
        <w:t>, treatment type and drug using characteristics were compared against the created variable to indicate possible client subpopulations engaging with higher emergency services use. Number and percentage of AOD clients with ED presentations, median frequency of ED visit</w:t>
      </w:r>
      <w:r w:rsidR="00FF21E3">
        <w:t>s</w:t>
      </w:r>
      <w:r>
        <w:t xml:space="preserve">, </w:t>
      </w:r>
      <w:proofErr w:type="gramStart"/>
      <w:r>
        <w:t>median</w:t>
      </w:r>
      <w:proofErr w:type="gramEnd"/>
      <w:r>
        <w:t xml:space="preserve"> length of stay in ED in each of three years were also described by client socio</w:t>
      </w:r>
      <w:r w:rsidRPr="006C0F3D">
        <w:t>demographic</w:t>
      </w:r>
      <w:r>
        <w:t xml:space="preserve">, treatment type and drug using characteristics. The same method is adopted for hospital admissions. </w:t>
      </w:r>
    </w:p>
    <w:p w:rsidR="00CA7A60" w:rsidRDefault="00CA7A60" w:rsidP="00CA7A60">
      <w:pPr>
        <w:pStyle w:val="FAREnormaltext"/>
      </w:pPr>
      <w:r>
        <w:t xml:space="preserve">Each ED presentation /hospital admission was categorized to alcohol-related acute conditions, other drugs-related acute conditions, alcohol-related chronic conditions and non-AOD-related conditions according to </w:t>
      </w:r>
      <w:r w:rsidR="00FF21E3">
        <w:t xml:space="preserve">the </w:t>
      </w:r>
      <w:r>
        <w:t xml:space="preserve">ICD-10 code for principal diagnosis (see </w:t>
      </w:r>
      <w:r w:rsidR="00381191">
        <w:fldChar w:fldCharType="begin"/>
      </w:r>
      <w:r w:rsidR="00381191">
        <w:instrText xml:space="preserve"> REF _Ref387229638 \h  \* MERGEFORMAT </w:instrText>
      </w:r>
      <w:r w:rsidR="00381191">
        <w:fldChar w:fldCharType="separate"/>
      </w:r>
      <w:r w:rsidR="00E150CA" w:rsidRPr="00E41BCC">
        <w:t xml:space="preserve">Table </w:t>
      </w:r>
      <w:r w:rsidR="00E150CA">
        <w:t>4</w:t>
      </w:r>
      <w:r w:rsidR="00E150CA" w:rsidRPr="00E41BCC">
        <w:t>.</w:t>
      </w:r>
      <w:r w:rsidR="00E150CA">
        <w:t>1</w:t>
      </w:r>
      <w:r w:rsidR="00381191">
        <w:fldChar w:fldCharType="end"/>
      </w:r>
      <w:r w:rsidR="006D29AE">
        <w:t xml:space="preserve">). </w:t>
      </w:r>
      <w:r>
        <w:t xml:space="preserve">ED presentations with injury causes and hospital admissions with injury ICD-10 codes in other primary diagnoses (see </w:t>
      </w:r>
      <w:r w:rsidR="00381191">
        <w:fldChar w:fldCharType="begin"/>
      </w:r>
      <w:r w:rsidR="00381191">
        <w:instrText xml:space="preserve"> REF _Ref387229638 \h  \* MERGEFORMAT </w:instrText>
      </w:r>
      <w:r w:rsidR="00381191">
        <w:fldChar w:fldCharType="separate"/>
      </w:r>
      <w:r w:rsidR="00E150CA" w:rsidRPr="00E41BCC">
        <w:t xml:space="preserve">Table </w:t>
      </w:r>
      <w:r w:rsidR="00E150CA">
        <w:t>4</w:t>
      </w:r>
      <w:r w:rsidR="00E150CA" w:rsidRPr="00E41BCC">
        <w:t>.</w:t>
      </w:r>
      <w:r w:rsidR="00E150CA">
        <w:t>1</w:t>
      </w:r>
      <w:r w:rsidR="00381191">
        <w:fldChar w:fldCharType="end"/>
      </w:r>
      <w:r>
        <w:t>) were categorized as injuries. Numbers and proportions of AOD client alcohol-related acute, other drugs-related acute, injuries alcohol-related, or chronic conditions and non-AOD-related ED presentations and hospital admissions in a given year were compared among clients with different treatment characteristics and primary drug of concern.</w:t>
      </w:r>
    </w:p>
    <w:p w:rsidR="00CA7A60" w:rsidRPr="00E41BCC" w:rsidRDefault="00CA7A60" w:rsidP="00E41BCC">
      <w:pPr>
        <w:pStyle w:val="FAREtableheading"/>
      </w:pPr>
      <w:bookmarkStart w:id="162" w:name="_Ref387229638"/>
      <w:bookmarkStart w:id="163" w:name="_Toc387244625"/>
      <w:bookmarkStart w:id="164" w:name="_Toc398105084"/>
      <w:proofErr w:type="gramStart"/>
      <w:r w:rsidRPr="00E41BCC">
        <w:t xml:space="preserve">Table </w:t>
      </w:r>
      <w:r w:rsidR="00BE3D19" w:rsidRPr="00E41BCC">
        <w:fldChar w:fldCharType="begin"/>
      </w:r>
      <w:r w:rsidRPr="00E41BCC">
        <w:instrText xml:space="preserve"> STYLEREF 1 \s </w:instrText>
      </w:r>
      <w:r w:rsidR="00BE3D19" w:rsidRPr="00E41BCC">
        <w:fldChar w:fldCharType="separate"/>
      </w:r>
      <w:r w:rsidR="00E150CA">
        <w:rPr>
          <w:noProof/>
        </w:rPr>
        <w:t>4</w:t>
      </w:r>
      <w:r w:rsidR="00BE3D19" w:rsidRPr="00E41BCC">
        <w:fldChar w:fldCharType="end"/>
      </w:r>
      <w:r w:rsidRPr="00E41BCC">
        <w:t>.</w:t>
      </w:r>
      <w:proofErr w:type="gramEnd"/>
      <w:r w:rsidR="00BE3D19" w:rsidRPr="00E41BCC">
        <w:fldChar w:fldCharType="begin"/>
      </w:r>
      <w:r w:rsidRPr="00E41BCC">
        <w:instrText xml:space="preserve"> SEQ Table \* ARABIC \s 1 </w:instrText>
      </w:r>
      <w:r w:rsidR="00BE3D19" w:rsidRPr="00E41BCC">
        <w:fldChar w:fldCharType="separate"/>
      </w:r>
      <w:r w:rsidR="00E150CA">
        <w:rPr>
          <w:noProof/>
        </w:rPr>
        <w:t>1</w:t>
      </w:r>
      <w:r w:rsidR="00BE3D19" w:rsidRPr="00E41BCC">
        <w:fldChar w:fldCharType="end"/>
      </w:r>
      <w:bookmarkEnd w:id="162"/>
      <w:r w:rsidR="00E41BCC">
        <w:t xml:space="preserve"> </w:t>
      </w:r>
      <w:r w:rsidRPr="00E41BCC">
        <w:t xml:space="preserve"> Definition of disease categories for emergency department and</w:t>
      </w:r>
      <w:bookmarkEnd w:id="163"/>
      <w:r w:rsidRPr="00E41BCC">
        <w:t xml:space="preserve"> hospital diagnoses</w:t>
      </w:r>
      <w:bookmarkEnd w:id="164"/>
    </w:p>
    <w:tbl>
      <w:tblPr>
        <w:tblStyle w:val="TableGrid"/>
        <w:tblW w:w="5000" w:type="pct"/>
        <w:tblBorders>
          <w:left w:val="none" w:sz="0" w:space="0" w:color="auto"/>
          <w:right w:val="none" w:sz="0" w:space="0" w:color="auto"/>
          <w:insideV w:val="none" w:sz="0" w:space="0" w:color="auto"/>
        </w:tblBorders>
        <w:tblLook w:val="04A0" w:firstRow="1" w:lastRow="0" w:firstColumn="1" w:lastColumn="0" w:noHBand="0" w:noVBand="1"/>
        <w:tblCaption w:val="Table 4.1  Definition of disease categories for emergency department and hospital diagnoses"/>
        <w:tblDescription w:val="Table 4.1  Definition of disease categories for emergency department and hospital diagnoses"/>
      </w:tblPr>
      <w:tblGrid>
        <w:gridCol w:w="3268"/>
        <w:gridCol w:w="5974"/>
      </w:tblGrid>
      <w:tr w:rsidR="00CA7A60" w:rsidRPr="00B032A2" w:rsidTr="00046CCA">
        <w:trPr>
          <w:tblHeader/>
        </w:trPr>
        <w:tc>
          <w:tcPr>
            <w:tcW w:w="1768" w:type="pct"/>
            <w:vAlign w:val="center"/>
          </w:tcPr>
          <w:p w:rsidR="00CA7A60" w:rsidRPr="00937961" w:rsidRDefault="00CA7A60" w:rsidP="00CA7A60">
            <w:pPr>
              <w:pStyle w:val="FAREnormaltext"/>
              <w:spacing w:after="0"/>
              <w:jc w:val="left"/>
              <w:rPr>
                <w:rFonts w:asciiTheme="minorHAnsi" w:hAnsiTheme="minorHAnsi"/>
                <w:b/>
              </w:rPr>
            </w:pPr>
            <w:r w:rsidRPr="00937961">
              <w:rPr>
                <w:rFonts w:asciiTheme="minorHAnsi" w:hAnsiTheme="minorHAnsi"/>
                <w:b/>
              </w:rPr>
              <w:t>Disease categories</w:t>
            </w:r>
          </w:p>
        </w:tc>
        <w:tc>
          <w:tcPr>
            <w:tcW w:w="3232" w:type="pct"/>
            <w:vAlign w:val="center"/>
          </w:tcPr>
          <w:p w:rsidR="00CA7A60" w:rsidRPr="00937961" w:rsidRDefault="00CA7A60" w:rsidP="00CA7A60">
            <w:pPr>
              <w:pStyle w:val="FAREnormaltext"/>
              <w:spacing w:after="0"/>
              <w:jc w:val="center"/>
              <w:rPr>
                <w:rFonts w:asciiTheme="minorHAnsi" w:hAnsiTheme="minorHAnsi"/>
                <w:b/>
              </w:rPr>
            </w:pPr>
            <w:r w:rsidRPr="00937961">
              <w:rPr>
                <w:rFonts w:asciiTheme="minorHAnsi" w:hAnsiTheme="minorHAnsi"/>
                <w:b/>
              </w:rPr>
              <w:t>ICD-10</w:t>
            </w:r>
          </w:p>
        </w:tc>
      </w:tr>
      <w:tr w:rsidR="00CA7A60" w:rsidRPr="00B032A2" w:rsidTr="00CA7A60">
        <w:tc>
          <w:tcPr>
            <w:tcW w:w="1768" w:type="pct"/>
            <w:vAlign w:val="center"/>
          </w:tcPr>
          <w:p w:rsidR="00CA7A60" w:rsidRPr="00937961" w:rsidRDefault="00CA7A60" w:rsidP="00CA7A60">
            <w:pPr>
              <w:pStyle w:val="FAREnormaltext"/>
              <w:spacing w:after="0"/>
              <w:jc w:val="left"/>
              <w:rPr>
                <w:rFonts w:asciiTheme="minorHAnsi" w:hAnsiTheme="minorHAnsi"/>
                <w:b/>
              </w:rPr>
            </w:pPr>
            <w:r w:rsidRPr="00937961">
              <w:rPr>
                <w:rFonts w:asciiTheme="minorHAnsi" w:hAnsiTheme="minorHAnsi"/>
                <w:b/>
              </w:rPr>
              <w:t>Alcohol-related acute conditions</w:t>
            </w:r>
          </w:p>
        </w:tc>
        <w:tc>
          <w:tcPr>
            <w:tcW w:w="3232" w:type="pct"/>
            <w:vAlign w:val="center"/>
          </w:tcPr>
          <w:p w:rsidR="00CA7A60" w:rsidRPr="00B032A2" w:rsidRDefault="00CA7A60" w:rsidP="00CA7A60">
            <w:pPr>
              <w:pStyle w:val="FAREnormaltext"/>
              <w:spacing w:after="0"/>
              <w:jc w:val="left"/>
              <w:rPr>
                <w:rFonts w:asciiTheme="minorHAnsi" w:hAnsiTheme="minorHAnsi"/>
              </w:rPr>
            </w:pPr>
            <w:r w:rsidRPr="00B032A2">
              <w:rPr>
                <w:rFonts w:asciiTheme="minorHAnsi" w:hAnsiTheme="minorHAnsi"/>
              </w:rPr>
              <w:t>Mental and behavioural disorders due to use of alcohol [F10], toxic effect of alcohol [T51.0, T51.1, T51.8, T51.9]</w:t>
            </w:r>
          </w:p>
        </w:tc>
      </w:tr>
      <w:tr w:rsidR="00CA7A60" w:rsidRPr="00B032A2" w:rsidTr="00CA7A60">
        <w:tc>
          <w:tcPr>
            <w:tcW w:w="1768" w:type="pct"/>
            <w:vAlign w:val="center"/>
          </w:tcPr>
          <w:p w:rsidR="00CA7A60" w:rsidRPr="00937961" w:rsidRDefault="00CA7A60" w:rsidP="00CA7A60">
            <w:pPr>
              <w:pStyle w:val="FAREnormaltext"/>
              <w:spacing w:after="0"/>
              <w:jc w:val="left"/>
              <w:rPr>
                <w:rFonts w:asciiTheme="minorHAnsi" w:hAnsiTheme="minorHAnsi"/>
                <w:b/>
              </w:rPr>
            </w:pPr>
            <w:r>
              <w:rPr>
                <w:rFonts w:asciiTheme="minorHAnsi" w:hAnsiTheme="minorHAnsi"/>
                <w:b/>
              </w:rPr>
              <w:t>Other drugs-</w:t>
            </w:r>
            <w:r w:rsidRPr="00937961">
              <w:rPr>
                <w:rFonts w:asciiTheme="minorHAnsi" w:hAnsiTheme="minorHAnsi"/>
                <w:b/>
              </w:rPr>
              <w:t>related acute conditions</w:t>
            </w:r>
          </w:p>
        </w:tc>
        <w:tc>
          <w:tcPr>
            <w:tcW w:w="3232" w:type="pct"/>
            <w:vAlign w:val="center"/>
          </w:tcPr>
          <w:p w:rsidR="00CA7A60" w:rsidRPr="00B032A2" w:rsidRDefault="00CA7A60" w:rsidP="00CA7A60">
            <w:pPr>
              <w:pStyle w:val="FAREnormaltext"/>
              <w:spacing w:after="0"/>
              <w:jc w:val="left"/>
              <w:rPr>
                <w:rFonts w:asciiTheme="minorHAnsi" w:hAnsiTheme="minorHAnsi"/>
              </w:rPr>
            </w:pPr>
            <w:r w:rsidRPr="00B032A2">
              <w:rPr>
                <w:rFonts w:asciiTheme="minorHAnsi" w:hAnsiTheme="minorHAnsi"/>
              </w:rPr>
              <w:t>Mental and behavioural disorders due to use of  other drugs [F11-F19], toxic effect of other drugs [T36-T50]</w:t>
            </w:r>
          </w:p>
        </w:tc>
      </w:tr>
      <w:tr w:rsidR="00CA7A60" w:rsidRPr="00B032A2" w:rsidTr="00CA7A60">
        <w:tc>
          <w:tcPr>
            <w:tcW w:w="1768" w:type="pct"/>
            <w:vAlign w:val="center"/>
          </w:tcPr>
          <w:p w:rsidR="00CA7A60" w:rsidRPr="00937961" w:rsidRDefault="00CA7A60" w:rsidP="00CA7A60">
            <w:pPr>
              <w:pStyle w:val="FAREnormaltext"/>
              <w:spacing w:after="0"/>
              <w:jc w:val="left"/>
              <w:rPr>
                <w:rFonts w:asciiTheme="minorHAnsi" w:hAnsiTheme="minorHAnsi"/>
                <w:b/>
              </w:rPr>
            </w:pPr>
            <w:r w:rsidRPr="00937961">
              <w:rPr>
                <w:rFonts w:asciiTheme="minorHAnsi" w:hAnsiTheme="minorHAnsi"/>
                <w:b/>
              </w:rPr>
              <w:t>Alcohol-related chronic conditions</w:t>
            </w:r>
          </w:p>
        </w:tc>
        <w:tc>
          <w:tcPr>
            <w:tcW w:w="3232" w:type="pct"/>
            <w:vAlign w:val="center"/>
          </w:tcPr>
          <w:p w:rsidR="00CA7A60" w:rsidRPr="00B032A2" w:rsidRDefault="00CA7A60" w:rsidP="00CA7A60">
            <w:pPr>
              <w:pStyle w:val="FAREnormaltext"/>
              <w:spacing w:after="0"/>
              <w:jc w:val="left"/>
              <w:rPr>
                <w:rFonts w:asciiTheme="minorHAnsi" w:hAnsiTheme="minorHAnsi"/>
              </w:rPr>
            </w:pPr>
            <w:r w:rsidRPr="00B032A2">
              <w:rPr>
                <w:rFonts w:asciiTheme="minorHAnsi" w:hAnsiTheme="minorHAnsi"/>
              </w:rPr>
              <w:t>Breast cancer [C50], colon cancer [C18], larynx cancer [C32], Liver cancer [C22], oesophagus cancer [C15], oral cavity and pharynx cancer [C00-C14], rectum cancer [C19-21], alcohol cardiomyopathy [I42.6], cardiac arrhythmias [I47-I49], haemorrhagic stroke [I60-I62, I69.0, I69.1, I69.2], hypertensive disease [I10-I15], ischaemic heart disease [I20-I25], ischaemic stroke</w:t>
            </w:r>
            <w:r w:rsidRPr="00B032A2">
              <w:rPr>
                <w:rFonts w:asciiTheme="minorHAnsi" w:hAnsiTheme="minorHAnsi"/>
              </w:rPr>
              <w:tab/>
              <w:t>[I63-I67, I69.3], alcoholic gastritis [K29.2], liver Cirrhosis [K70, K73-K74], pancreatitis [K85, K86.0, K86.1], HIV [B20-B24], lower respiratory infections [J10-J22], tuberculosis [A15-A19, B90]</w:t>
            </w:r>
          </w:p>
        </w:tc>
      </w:tr>
      <w:tr w:rsidR="00CA7A60" w:rsidRPr="00B032A2" w:rsidTr="00CA7A60">
        <w:tc>
          <w:tcPr>
            <w:tcW w:w="1768" w:type="pct"/>
            <w:vAlign w:val="center"/>
          </w:tcPr>
          <w:p w:rsidR="00CA7A60" w:rsidRPr="00937961" w:rsidRDefault="00CA7A60" w:rsidP="00CA7A60">
            <w:pPr>
              <w:pStyle w:val="FAREnormaltext"/>
              <w:spacing w:after="0"/>
              <w:jc w:val="left"/>
              <w:rPr>
                <w:rFonts w:asciiTheme="minorHAnsi" w:hAnsiTheme="minorHAnsi"/>
                <w:b/>
              </w:rPr>
            </w:pPr>
            <w:r w:rsidRPr="00937961">
              <w:rPr>
                <w:rFonts w:asciiTheme="minorHAnsi" w:hAnsiTheme="minorHAnsi"/>
                <w:b/>
              </w:rPr>
              <w:t>Injuries</w:t>
            </w:r>
          </w:p>
        </w:tc>
        <w:tc>
          <w:tcPr>
            <w:tcW w:w="3232" w:type="pct"/>
            <w:vAlign w:val="center"/>
          </w:tcPr>
          <w:p w:rsidR="00CA7A60" w:rsidRPr="00B032A2" w:rsidRDefault="00CA7A60" w:rsidP="00CA7A60">
            <w:pPr>
              <w:pStyle w:val="FAREnormaltext"/>
              <w:spacing w:after="0"/>
              <w:rPr>
                <w:rFonts w:asciiTheme="minorHAnsi" w:hAnsiTheme="minorHAnsi"/>
              </w:rPr>
            </w:pPr>
            <w:r w:rsidRPr="00B032A2">
              <w:rPr>
                <w:rFonts w:asciiTheme="minorHAnsi" w:hAnsiTheme="minorHAnsi"/>
              </w:rPr>
              <w:t>Transport accidents [V01-V99], falls[W00-W19], drowning [W65-W74],</w:t>
            </w:r>
            <w:r>
              <w:rPr>
                <w:rFonts w:asciiTheme="minorHAnsi" w:hAnsiTheme="minorHAnsi"/>
              </w:rPr>
              <w:t xml:space="preserve"> </w:t>
            </w:r>
            <w:r w:rsidRPr="00B032A2">
              <w:rPr>
                <w:rFonts w:asciiTheme="minorHAnsi" w:hAnsiTheme="minorHAnsi"/>
              </w:rPr>
              <w:t>fires [X00-X09], poisonings [X40-X49,Y10-Y14,Y16-Y19], Self-inflected injuries [X60-X64, X66-X84, Y87.0],</w:t>
            </w:r>
            <w:r>
              <w:rPr>
                <w:rFonts w:asciiTheme="minorHAnsi" w:hAnsiTheme="minorHAnsi"/>
              </w:rPr>
              <w:t xml:space="preserve"> </w:t>
            </w:r>
            <w:r w:rsidRPr="00B032A2">
              <w:rPr>
                <w:rFonts w:asciiTheme="minorHAnsi" w:hAnsiTheme="minorHAnsi"/>
              </w:rPr>
              <w:t>violence [X85-Y09,Y87.1]</w:t>
            </w:r>
            <w:r>
              <w:rPr>
                <w:rFonts w:asciiTheme="minorHAnsi" w:hAnsiTheme="minorHAnsi"/>
              </w:rPr>
              <w:t xml:space="preserve">, </w:t>
            </w:r>
            <w:r w:rsidRPr="00B032A2">
              <w:rPr>
                <w:rFonts w:asciiTheme="minorHAnsi" w:hAnsiTheme="minorHAnsi"/>
              </w:rPr>
              <w:t xml:space="preserve"> other unintentional injuries [W20-W64, W75-W99, X10-X39, X50-X59, Y40-Y86, Y88, and Y89], other intentional injury [Y35], other injures with unknown intent [Y20-Y34] (ICD-10 code for injuries is not included in VEMD data and injuries w</w:t>
            </w:r>
            <w:r>
              <w:rPr>
                <w:rFonts w:asciiTheme="minorHAnsi" w:hAnsiTheme="minorHAnsi"/>
              </w:rPr>
              <w:t>ere extracted from injury cause</w:t>
            </w:r>
            <w:r w:rsidRPr="00B032A2">
              <w:rPr>
                <w:rFonts w:asciiTheme="minorHAnsi" w:hAnsiTheme="minorHAnsi"/>
              </w:rPr>
              <w:t xml:space="preserve">) </w:t>
            </w:r>
          </w:p>
        </w:tc>
      </w:tr>
      <w:tr w:rsidR="00CA7A60" w:rsidRPr="00B032A2" w:rsidTr="00CA7A60">
        <w:tc>
          <w:tcPr>
            <w:tcW w:w="1768" w:type="pct"/>
            <w:vAlign w:val="center"/>
          </w:tcPr>
          <w:p w:rsidR="00CA7A60" w:rsidRPr="00937961" w:rsidRDefault="00CA7A60" w:rsidP="00CA7A60">
            <w:pPr>
              <w:pStyle w:val="FAREnormaltext"/>
              <w:spacing w:after="0"/>
              <w:jc w:val="left"/>
              <w:rPr>
                <w:rFonts w:asciiTheme="minorHAnsi" w:hAnsiTheme="minorHAnsi"/>
                <w:b/>
              </w:rPr>
            </w:pPr>
            <w:r w:rsidRPr="00937961">
              <w:rPr>
                <w:rFonts w:asciiTheme="minorHAnsi" w:hAnsiTheme="minorHAnsi"/>
                <w:b/>
              </w:rPr>
              <w:t>Non-AOD-related conditions</w:t>
            </w:r>
          </w:p>
        </w:tc>
        <w:tc>
          <w:tcPr>
            <w:tcW w:w="3232" w:type="pct"/>
            <w:vAlign w:val="center"/>
          </w:tcPr>
          <w:p w:rsidR="00CA7A60" w:rsidRPr="00B032A2" w:rsidRDefault="00CA7A60" w:rsidP="00CA7A60">
            <w:pPr>
              <w:pStyle w:val="FAREnormaltext"/>
              <w:spacing w:after="0"/>
              <w:rPr>
                <w:rFonts w:asciiTheme="minorHAnsi" w:hAnsiTheme="minorHAnsi"/>
              </w:rPr>
            </w:pPr>
            <w:r w:rsidRPr="00B032A2">
              <w:rPr>
                <w:rFonts w:asciiTheme="minorHAnsi" w:hAnsiTheme="minorHAnsi"/>
              </w:rPr>
              <w:t xml:space="preserve">Other ICD-10 codes not listed above </w:t>
            </w:r>
          </w:p>
        </w:tc>
      </w:tr>
    </w:tbl>
    <w:p w:rsidR="00CA7A60" w:rsidRDefault="00CA7A60" w:rsidP="00CA7A60">
      <w:pPr>
        <w:pStyle w:val="Body"/>
        <w:spacing w:before="120" w:after="120" w:line="276" w:lineRule="auto"/>
        <w:rPr>
          <w:rFonts w:ascii="Calibri" w:hAnsi="Calibri"/>
          <w:b/>
        </w:rPr>
      </w:pPr>
    </w:p>
    <w:p w:rsidR="00CA7A60" w:rsidRDefault="00CA7A60" w:rsidP="00CA7A60">
      <w:pPr>
        <w:pStyle w:val="Body"/>
        <w:spacing w:before="120" w:after="120" w:line="276" w:lineRule="auto"/>
        <w:rPr>
          <w:rFonts w:ascii="Calibri" w:hAnsi="Calibri"/>
          <w:b/>
        </w:rPr>
      </w:pPr>
    </w:p>
    <w:p w:rsidR="00CA7A60" w:rsidRPr="00DC0AE2" w:rsidRDefault="00CA7A60" w:rsidP="00173B16">
      <w:pPr>
        <w:pStyle w:val="FAREH2Nbr"/>
      </w:pPr>
      <w:bookmarkStart w:id="165" w:name="_Toc387244619"/>
      <w:bookmarkStart w:id="166" w:name="_Toc398105055"/>
      <w:bookmarkEnd w:id="158"/>
      <w:bookmarkEnd w:id="159"/>
      <w:bookmarkEnd w:id="160"/>
      <w:bookmarkEnd w:id="161"/>
      <w:r>
        <w:lastRenderedPageBreak/>
        <w:t>Results</w:t>
      </w:r>
      <w:bookmarkEnd w:id="165"/>
      <w:bookmarkEnd w:id="166"/>
      <w:r>
        <w:t xml:space="preserve"> </w:t>
      </w:r>
    </w:p>
    <w:p w:rsidR="006D29AE" w:rsidRPr="006D29AE" w:rsidRDefault="00CA7A60" w:rsidP="0034684A">
      <w:pPr>
        <w:pStyle w:val="FAREH3"/>
      </w:pPr>
      <w:r>
        <w:t>Client characterstics and emergency department presentations</w:t>
      </w:r>
    </w:p>
    <w:p w:rsidR="00CA7A60" w:rsidRDefault="00BE3D19" w:rsidP="00CA7A60">
      <w:pPr>
        <w:pStyle w:val="FAREnormaltext"/>
      </w:pPr>
      <w:r>
        <w:fldChar w:fldCharType="begin"/>
      </w:r>
      <w:r w:rsidR="00CA7A60">
        <w:instrText xml:space="preserve"> REF _Ref345512122 \h </w:instrText>
      </w:r>
      <w:r>
        <w:fldChar w:fldCharType="separate"/>
      </w:r>
      <w:r w:rsidR="00E150CA" w:rsidRPr="007B5F43">
        <w:t xml:space="preserve">Table </w:t>
      </w:r>
      <w:r w:rsidR="00E150CA">
        <w:rPr>
          <w:noProof/>
        </w:rPr>
        <w:t>4</w:t>
      </w:r>
      <w:r w:rsidR="00E150CA">
        <w:t>.</w:t>
      </w:r>
      <w:r w:rsidR="00E150CA">
        <w:rPr>
          <w:noProof/>
        </w:rPr>
        <w:t>2</w:t>
      </w:r>
      <w:r>
        <w:fldChar w:fldCharType="end"/>
      </w:r>
      <w:r w:rsidR="00CA7A60">
        <w:t xml:space="preserve"> </w:t>
      </w:r>
      <w:r w:rsidR="00CA7A60" w:rsidRPr="007B5F43">
        <w:t>s</w:t>
      </w:r>
      <w:r w:rsidR="00CA7A60">
        <w:t>hows the socio</w:t>
      </w:r>
      <w:r w:rsidR="00CA7A60" w:rsidRPr="006C0F3D">
        <w:t>demographic</w:t>
      </w:r>
      <w:r w:rsidR="00CA7A60" w:rsidRPr="007B5F43">
        <w:t xml:space="preserve"> characteri</w:t>
      </w:r>
      <w:r w:rsidR="00CA7A60">
        <w:t>stics of AOD clients in 2010/</w:t>
      </w:r>
      <w:r w:rsidR="00CA7A60" w:rsidRPr="007B5F43">
        <w:t>11 (index year)</w:t>
      </w:r>
      <w:r w:rsidR="00CA7A60">
        <w:t xml:space="preserve"> and their ED engagement from 2009/10 to 2011/12</w:t>
      </w:r>
      <w:r w:rsidR="00CA7A60" w:rsidRPr="007B5F43">
        <w:t xml:space="preserve">. </w:t>
      </w:r>
      <w:r w:rsidR="00CA7A60">
        <w:t>There were 25,229 AOD</w:t>
      </w:r>
      <w:r w:rsidR="00CA7A60" w:rsidRPr="007B5F43">
        <w:t xml:space="preserve"> </w:t>
      </w:r>
      <w:r w:rsidR="00CA7A60">
        <w:t>clients who started treatment in the index year. Over</w:t>
      </w:r>
      <w:r w:rsidR="00CA7A60" w:rsidRPr="007B5F43">
        <w:t xml:space="preserve"> two-thirds (68%) were male, wi</w:t>
      </w:r>
      <w:r w:rsidR="00CA7A60">
        <w:t>th the</w:t>
      </w:r>
      <w:r w:rsidR="00CA7A60" w:rsidRPr="007B5F43">
        <w:t xml:space="preserve"> highest prop</w:t>
      </w:r>
      <w:r w:rsidR="00CA7A60">
        <w:t xml:space="preserve">ortion of clients within the 25 to </w:t>
      </w:r>
      <w:r w:rsidR="00CA7A60" w:rsidRPr="007B5F43">
        <w:t>34</w:t>
      </w:r>
      <w:r w:rsidR="00CA7A60">
        <w:t xml:space="preserve"> year</w:t>
      </w:r>
      <w:r w:rsidR="00CA7A60" w:rsidRPr="007B5F43">
        <w:t xml:space="preserve"> age</w:t>
      </w:r>
      <w:r w:rsidR="00CA7A60">
        <w:t xml:space="preserve"> group (29%). The majority of AOD clients were unemployed, living with family and residing in a private residence. Only half of the cohort resided in metropolitan Melbourne. While a</w:t>
      </w:r>
      <w:r w:rsidR="00CA7A60" w:rsidRPr="007B5F43">
        <w:t xml:space="preserve"> minority of clients were either Aboriginal and/or T</w:t>
      </w:r>
      <w:r w:rsidR="00CA7A60">
        <w:t xml:space="preserve">orres </w:t>
      </w:r>
      <w:r w:rsidR="00CA7A60" w:rsidRPr="007B5F43">
        <w:t>S</w:t>
      </w:r>
      <w:r w:rsidR="00CA7A60">
        <w:t xml:space="preserve">trait </w:t>
      </w:r>
      <w:r w:rsidR="00CA7A60" w:rsidRPr="007B5F43">
        <w:t>I</w:t>
      </w:r>
      <w:r w:rsidR="00CA7A60">
        <w:t>slander</w:t>
      </w:r>
      <w:r w:rsidR="00CA7A60" w:rsidRPr="007B5F43">
        <w:t xml:space="preserve"> (7%)</w:t>
      </w:r>
      <w:r w:rsidR="00CA7A60">
        <w:t>, this is a higher proportion than the population distribution in Victoria</w:t>
      </w:r>
      <w:r w:rsidR="00CA7A60" w:rsidRPr="007B5F43">
        <w:t xml:space="preserve">. </w:t>
      </w:r>
    </w:p>
    <w:p w:rsidR="00CA7A60" w:rsidRDefault="00CA7A60" w:rsidP="00CA7A60">
      <w:pPr>
        <w:pStyle w:val="FAREnormaltext"/>
      </w:pPr>
      <w:r>
        <w:t>More than half (52%) of the AOD clients did not present to ED over the three years. However, almost one-quarter (23%) presented on multiple occasions over the three years. These patterns varied across sociodemographic groups. Of note, 26% of females had multiple ED presentations, while 2</w:t>
      </w:r>
      <w:r w:rsidR="00727B57">
        <w:t>2</w:t>
      </w:r>
      <w:r>
        <w:t xml:space="preserve">% of males presented to ED on multiple occasions. The </w:t>
      </w:r>
      <w:r w:rsidR="00EF61D6">
        <w:t>un</w:t>
      </w:r>
      <w:r>
        <w:t>employed had higher proportions of multiple ED presentations tha</w:t>
      </w:r>
      <w:r w:rsidR="00FF21E3">
        <w:t>n</w:t>
      </w:r>
      <w:r>
        <w:t xml:space="preserve"> the employed. Those living alone had higher proportions of multiple ED presentations </w:t>
      </w:r>
      <w:r w:rsidR="00FA0968">
        <w:t>than</w:t>
      </w:r>
      <w:r>
        <w:t xml:space="preserve"> those living with family or others. Being homeless was associated with higher proportions of multiple ED presentations, as was living in metropolitan Melbourne compared with the remainder of the state. </w:t>
      </w:r>
    </w:p>
    <w:p w:rsidR="00CA7A60" w:rsidRDefault="00BE3D19" w:rsidP="00CA7A60">
      <w:pPr>
        <w:pStyle w:val="FAREnormaltext"/>
      </w:pPr>
      <w:r>
        <w:fldChar w:fldCharType="begin"/>
      </w:r>
      <w:r w:rsidR="00CA7A60">
        <w:instrText xml:space="preserve"> REF _Ref386792679 \h </w:instrText>
      </w:r>
      <w:r>
        <w:fldChar w:fldCharType="separate"/>
      </w:r>
      <w:r w:rsidR="00E150CA" w:rsidRPr="007B5F43">
        <w:t xml:space="preserve">Table </w:t>
      </w:r>
      <w:r w:rsidR="00E150CA">
        <w:rPr>
          <w:noProof/>
        </w:rPr>
        <w:t>4</w:t>
      </w:r>
      <w:r w:rsidR="00E150CA">
        <w:t>.</w:t>
      </w:r>
      <w:r w:rsidR="00E150CA">
        <w:rPr>
          <w:noProof/>
        </w:rPr>
        <w:t>3</w:t>
      </w:r>
      <w:r>
        <w:fldChar w:fldCharType="end"/>
      </w:r>
      <w:r w:rsidR="00CA7A60">
        <w:t xml:space="preserve"> shows these same sociodemographic characteristics by ED presentation, and indicates changes pre- and post-treatment. In general, the proportions of pre-AOD treatment ED presentations (2009/10) were higher than the proportions of post-AOD treatment ED presentations (2011/12); this is true with respect to gender, age groups (with the exception of clients under 15 years), country of birth, Indigenous status, employment type (except ‘other’), living status, accommodation status (except for ‘in custody’), homeless status and region. Comparatively greater reductions in ED presentations were shown for AOD clients who were homeless than those with a home as well as for those with unstable accommodation than those living in a private residence. </w:t>
      </w:r>
    </w:p>
    <w:p w:rsidR="00CA7A60" w:rsidRPr="005F1A33" w:rsidRDefault="00CA7A60" w:rsidP="00CA7A60">
      <w:pPr>
        <w:pStyle w:val="FAREnormaltext"/>
      </w:pPr>
    </w:p>
    <w:p w:rsidR="00CA7A60" w:rsidRDefault="00CA7A60" w:rsidP="00CA7A60">
      <w:pPr>
        <w:pStyle w:val="FAREnormaltext"/>
        <w:sectPr w:rsidR="00CA7A60" w:rsidSect="00B27533">
          <w:footerReference w:type="default" r:id="rId32"/>
          <w:pgSz w:w="11906" w:h="16838"/>
          <w:pgMar w:top="1440" w:right="1440" w:bottom="1440" w:left="1440" w:header="708" w:footer="595" w:gutter="0"/>
          <w:pgNumType w:start="1"/>
          <w:cols w:space="708"/>
          <w:docGrid w:linePitch="360"/>
        </w:sectPr>
      </w:pPr>
    </w:p>
    <w:p w:rsidR="00CA7A60" w:rsidRDefault="00CA7A60" w:rsidP="00A126E3">
      <w:pPr>
        <w:pStyle w:val="FAREtableheading"/>
      </w:pPr>
      <w:bookmarkStart w:id="167" w:name="_Ref345512122"/>
      <w:bookmarkStart w:id="168" w:name="_Ref386238734"/>
      <w:bookmarkStart w:id="169" w:name="_Toc387244626"/>
      <w:bookmarkStart w:id="170" w:name="_Toc398105085"/>
      <w:proofErr w:type="gramStart"/>
      <w:r w:rsidRPr="007B5F43">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2</w:t>
      </w:r>
      <w:r w:rsidR="00BE3D19">
        <w:rPr>
          <w:noProof/>
        </w:rPr>
        <w:fldChar w:fldCharType="end"/>
      </w:r>
      <w:bookmarkEnd w:id="167"/>
      <w:bookmarkEnd w:id="168"/>
      <w:r w:rsidRPr="007B5F43">
        <w:t xml:space="preserve"> </w:t>
      </w:r>
      <w:r w:rsidR="00E41BCC">
        <w:t xml:space="preserve"> </w:t>
      </w:r>
      <w:r>
        <w:t>Socio</w:t>
      </w:r>
      <w:r w:rsidRPr="007B5F43">
        <w:t xml:space="preserve">demographic characteristics </w:t>
      </w:r>
      <w:r>
        <w:t>by ED presentations, 2009/10 to 2011/12</w:t>
      </w:r>
      <w:bookmarkStart w:id="171" w:name="OLE_LINK14"/>
      <w:bookmarkStart w:id="172" w:name="OLE_LINK15"/>
      <w:bookmarkEnd w:id="169"/>
      <w:r w:rsidR="00FA0968">
        <w:t>, among those who were AOD clients in 2010/11</w:t>
      </w:r>
      <w:bookmarkEnd w:id="170"/>
    </w:p>
    <w:tbl>
      <w:tblPr>
        <w:tblW w:w="5000" w:type="pct"/>
        <w:tblLook w:val="04A0" w:firstRow="1" w:lastRow="0" w:firstColumn="1" w:lastColumn="0" w:noHBand="0" w:noVBand="1"/>
      </w:tblPr>
      <w:tblGrid>
        <w:gridCol w:w="4725"/>
        <w:gridCol w:w="1504"/>
        <w:gridCol w:w="1666"/>
        <w:gridCol w:w="1677"/>
        <w:gridCol w:w="1677"/>
        <w:gridCol w:w="2097"/>
        <w:gridCol w:w="828"/>
      </w:tblGrid>
      <w:tr w:rsidR="00CA7A60" w:rsidRPr="006F35E1" w:rsidTr="00FA4534">
        <w:trPr>
          <w:trHeight w:val="300"/>
          <w:tblHeader/>
        </w:trPr>
        <w:tc>
          <w:tcPr>
            <w:tcW w:w="1667" w:type="pct"/>
            <w:vMerge w:val="restart"/>
            <w:tcBorders>
              <w:top w:val="single" w:sz="12" w:space="0" w:color="auto"/>
              <w:left w:val="nil"/>
              <w:bottom w:val="single" w:sz="12" w:space="0" w:color="000000"/>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 </w:t>
            </w:r>
          </w:p>
        </w:tc>
        <w:tc>
          <w:tcPr>
            <w:tcW w:w="3333" w:type="pct"/>
            <w:gridSpan w:val="6"/>
            <w:tcBorders>
              <w:top w:val="single" w:sz="12" w:space="0" w:color="auto"/>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 xml:space="preserve"> Number of  AOD clients </w:t>
            </w:r>
          </w:p>
        </w:tc>
      </w:tr>
      <w:tr w:rsidR="00CA7A60" w:rsidRPr="006F35E1" w:rsidTr="00FA4534">
        <w:trPr>
          <w:trHeight w:val="300"/>
          <w:tblHeader/>
        </w:trPr>
        <w:tc>
          <w:tcPr>
            <w:tcW w:w="1667" w:type="pct"/>
            <w:vMerge/>
            <w:tcBorders>
              <w:top w:val="single" w:sz="12" w:space="0" w:color="auto"/>
              <w:left w:val="nil"/>
              <w:bottom w:val="single" w:sz="12" w:space="0" w:color="000000"/>
              <w:right w:val="nil"/>
            </w:tcBorders>
            <w:vAlign w:val="center"/>
            <w:hideMark/>
          </w:tcPr>
          <w:p w:rsidR="00CA7A60" w:rsidRPr="006F35E1" w:rsidRDefault="00CA7A60" w:rsidP="00CA7A60">
            <w:pPr>
              <w:spacing w:after="0" w:line="240" w:lineRule="auto"/>
              <w:rPr>
                <w:rFonts w:eastAsia="Times New Roman"/>
                <w:b/>
                <w:bCs/>
                <w:color w:val="000000"/>
                <w:lang w:eastAsia="zh-CN"/>
              </w:rPr>
            </w:pPr>
          </w:p>
        </w:tc>
        <w:tc>
          <w:tcPr>
            <w:tcW w:w="531"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No ED (%)</w:t>
            </w:r>
          </w:p>
        </w:tc>
        <w:tc>
          <w:tcPr>
            <w:tcW w:w="588"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ED 09/10 only (%)</w:t>
            </w:r>
          </w:p>
        </w:tc>
        <w:tc>
          <w:tcPr>
            <w:tcW w:w="592"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ED 10/11 only (%)</w:t>
            </w:r>
          </w:p>
        </w:tc>
        <w:tc>
          <w:tcPr>
            <w:tcW w:w="592"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ED 11/12 only (%)</w:t>
            </w:r>
          </w:p>
        </w:tc>
        <w:tc>
          <w:tcPr>
            <w:tcW w:w="740"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ED in multiple years (%)</w:t>
            </w:r>
          </w:p>
        </w:tc>
        <w:tc>
          <w:tcPr>
            <w:tcW w:w="292"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p</w:t>
            </w:r>
          </w:p>
        </w:tc>
      </w:tr>
      <w:tr w:rsidR="00CA7A60" w:rsidRPr="006F35E1" w:rsidTr="00FA4534">
        <w:trPr>
          <w:trHeight w:val="300"/>
        </w:trPr>
        <w:tc>
          <w:tcPr>
            <w:tcW w:w="1667"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 xml:space="preserve">Total </w:t>
            </w:r>
            <w:r w:rsidRPr="00A35D65">
              <w:rPr>
                <w:rFonts w:eastAsia="Times New Roman"/>
                <w:color w:val="000000"/>
                <w:lang w:eastAsia="zh-CN"/>
              </w:rPr>
              <w:t>(n=25229)</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13228 (52.4%)</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2348 (9.3%)</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1958 (7.8%)</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1867 (7.4%)</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5828 (23.1%)</w:t>
            </w:r>
          </w:p>
        </w:tc>
        <w:tc>
          <w:tcPr>
            <w:tcW w:w="292"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 xml:space="preserve">Gender </w:t>
            </w:r>
          </w:p>
        </w:tc>
        <w:tc>
          <w:tcPr>
            <w:tcW w:w="531"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88"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2"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2"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740"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Male (n=17198; 68.2%)</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9163 (53.3%)</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1662 (9.7%)</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1362 (7.9%)</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1293 (7.5%)</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3718 (21.6%)</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FA4534" w:rsidRPr="006F35E1" w:rsidTr="00FA4534">
        <w:trPr>
          <w:trHeight w:val="300"/>
        </w:trPr>
        <w:tc>
          <w:tcPr>
            <w:tcW w:w="1667"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rPr>
                <w:rFonts w:eastAsia="Times New Roman"/>
                <w:color w:val="000000"/>
                <w:lang w:eastAsia="zh-CN"/>
              </w:rPr>
            </w:pPr>
            <w:r w:rsidRPr="006F35E1">
              <w:rPr>
                <w:rFonts w:eastAsia="Times New Roman"/>
                <w:color w:val="000000"/>
                <w:lang w:eastAsia="zh-CN"/>
              </w:rPr>
              <w:t>Female (n=7982; 31.6%)</w:t>
            </w:r>
          </w:p>
        </w:tc>
        <w:tc>
          <w:tcPr>
            <w:tcW w:w="531"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4016 (50.3%)</w:t>
            </w:r>
          </w:p>
        </w:tc>
        <w:tc>
          <w:tcPr>
            <w:tcW w:w="588"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686 (8.6%)</w:t>
            </w:r>
          </w:p>
        </w:tc>
        <w:tc>
          <w:tcPr>
            <w:tcW w:w="592"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596 (7.5%)</w:t>
            </w:r>
          </w:p>
        </w:tc>
        <w:tc>
          <w:tcPr>
            <w:tcW w:w="592"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574 (7.2%)</w:t>
            </w:r>
          </w:p>
        </w:tc>
        <w:tc>
          <w:tcPr>
            <w:tcW w:w="740"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2110 (26.4%)</w:t>
            </w:r>
          </w:p>
        </w:tc>
        <w:tc>
          <w:tcPr>
            <w:tcW w:w="292"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Age group</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0-14 (n=340; 1.3%)</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202 (59.4%)</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 (4.7%)</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29 (8.5%)</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25 (7.4%)</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68 (20.0%)</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15-24 (n=6654; 26.4%)</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3485 (52.4%)</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636 (9.6%)</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504 (7.6%)</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498 (7.5%)</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1531 (23.0%)</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25-34 (n=7334; 29.1%)</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3835 (52.3%)</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691 (9.4%)</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555 (7.6%)</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534 (7.3%)</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1719 (23.4%)</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35-44 (n=6220; 24.7%)</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3276 (52.7%)</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588 (9.5%)</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477 (7.7%)</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448 (7.2%)</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1431 (23.0%)</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45-54 (n=3202; 12.7%)</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1628 (50.8%)</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300 (9.4%)</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268 (8.4%)</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249 (7.8%)</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757 (23.6%)</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55-64 (n=1102; 4.4%)</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580 (52.6%)</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90 (8.2%)</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98 (8.9%)</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88 (8.0%)</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246 (22.3%)</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65+ (n=377; 1.5%)</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222 (58.9%)</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27 (7.2%)</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27 (7.2%)</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25 (6.6%)</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76 (20.2%)</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0.183</w:t>
            </w:r>
          </w:p>
        </w:tc>
      </w:tr>
      <w:tr w:rsidR="00CA7A60" w:rsidRPr="006F35E1" w:rsidTr="00FA4534">
        <w:trPr>
          <w:trHeight w:val="300"/>
        </w:trPr>
        <w:tc>
          <w:tcPr>
            <w:tcW w:w="1667"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Country of birth</w:t>
            </w:r>
          </w:p>
        </w:tc>
        <w:tc>
          <w:tcPr>
            <w:tcW w:w="531"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88"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2"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2"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740"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92"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Australia (n=21501; 85.2%)</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11149 (51.9%)</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2010 (9.3%)</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1656 (7.7%)</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1565 (7.3%)</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5121 (23.8%)</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FA4534" w:rsidRPr="006F35E1" w:rsidTr="00FA4534">
        <w:trPr>
          <w:trHeight w:val="300"/>
        </w:trPr>
        <w:tc>
          <w:tcPr>
            <w:tcW w:w="1667"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rPr>
                <w:rFonts w:eastAsia="Times New Roman"/>
                <w:color w:val="000000"/>
                <w:lang w:eastAsia="zh-CN"/>
              </w:rPr>
            </w:pPr>
            <w:r w:rsidRPr="006F35E1">
              <w:rPr>
                <w:rFonts w:eastAsia="Times New Roman"/>
                <w:color w:val="000000"/>
                <w:lang w:eastAsia="zh-CN"/>
              </w:rPr>
              <w:t>Other (n=3728; 14.8%)</w:t>
            </w:r>
          </w:p>
        </w:tc>
        <w:tc>
          <w:tcPr>
            <w:tcW w:w="531"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2079 (55.8%)</w:t>
            </w:r>
          </w:p>
        </w:tc>
        <w:tc>
          <w:tcPr>
            <w:tcW w:w="588"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338 (9.1%)</w:t>
            </w:r>
          </w:p>
        </w:tc>
        <w:tc>
          <w:tcPr>
            <w:tcW w:w="592"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302 (8.1%)</w:t>
            </w:r>
          </w:p>
        </w:tc>
        <w:tc>
          <w:tcPr>
            <w:tcW w:w="592"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302 (8.1%)</w:t>
            </w:r>
          </w:p>
        </w:tc>
        <w:tc>
          <w:tcPr>
            <w:tcW w:w="740"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707 (19.0%)</w:t>
            </w:r>
          </w:p>
        </w:tc>
        <w:tc>
          <w:tcPr>
            <w:tcW w:w="292"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CA7A60" w:rsidRPr="006F35E1" w:rsidTr="00FA4534">
        <w:trPr>
          <w:trHeight w:val="300"/>
        </w:trPr>
        <w:tc>
          <w:tcPr>
            <w:tcW w:w="1667"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Indigenous status</w:t>
            </w:r>
          </w:p>
        </w:tc>
        <w:tc>
          <w:tcPr>
            <w:tcW w:w="531"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88"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2"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2"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740"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92"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 </w:t>
            </w: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Aboriginal and/or TSI origin (n=1832; 7.3%)</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955 (52.1%)</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164 (9.0%)</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131 (7.2%)</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126 (6.9%)</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456 (24.9%)</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Neither Aboriginal nor TSI origin (n=20927; 82.9%)</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10930 (52.2%)</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1969 (9.4%)</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1638 (7.8%)</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1521 (7.3%)</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4869 (23.3%)</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Unknown (n=2470; 9.8%)</w:t>
            </w:r>
          </w:p>
        </w:tc>
        <w:tc>
          <w:tcPr>
            <w:tcW w:w="531"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1343 (54.4%)</w:t>
            </w:r>
          </w:p>
        </w:tc>
        <w:tc>
          <w:tcPr>
            <w:tcW w:w="588"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215 (8.7%)</w:t>
            </w:r>
          </w:p>
        </w:tc>
        <w:tc>
          <w:tcPr>
            <w:tcW w:w="592"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189 (7.7%)</w:t>
            </w:r>
          </w:p>
        </w:tc>
        <w:tc>
          <w:tcPr>
            <w:tcW w:w="592"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220 (8.9%)</w:t>
            </w:r>
          </w:p>
        </w:tc>
        <w:tc>
          <w:tcPr>
            <w:tcW w:w="740"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503 (20.4%)</w:t>
            </w:r>
          </w:p>
        </w:tc>
        <w:tc>
          <w:tcPr>
            <w:tcW w:w="292"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0.002</w:t>
            </w: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Employment</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Employed (n=6239; 24.7%)</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3576 (57.3%)</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560 (9.0%)</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496 (7.9%)</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472 (7.6%)</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1135 (18.2%)</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Unemployed (n=13587; 53.9%)</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6728 (49.5%)</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1315 (9.7%)</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1050 (7.7%)</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959 (7.1%)</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3535 (26.0%)</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Other (n=4297; 17.0%)</w:t>
            </w:r>
          </w:p>
        </w:tc>
        <w:tc>
          <w:tcPr>
            <w:tcW w:w="531" w:type="pct"/>
            <w:tcBorders>
              <w:top w:val="nil"/>
              <w:left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2299 (53.5%)</w:t>
            </w:r>
          </w:p>
        </w:tc>
        <w:tc>
          <w:tcPr>
            <w:tcW w:w="588" w:type="pct"/>
            <w:tcBorders>
              <w:top w:val="nil"/>
              <w:left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371 (8.6%)</w:t>
            </w:r>
          </w:p>
        </w:tc>
        <w:tc>
          <w:tcPr>
            <w:tcW w:w="592" w:type="pct"/>
            <w:tcBorders>
              <w:top w:val="nil"/>
              <w:left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329 (7.7%)</w:t>
            </w:r>
          </w:p>
        </w:tc>
        <w:tc>
          <w:tcPr>
            <w:tcW w:w="592" w:type="pct"/>
            <w:tcBorders>
              <w:top w:val="nil"/>
              <w:left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358 (8.3%)</w:t>
            </w:r>
          </w:p>
        </w:tc>
        <w:tc>
          <w:tcPr>
            <w:tcW w:w="740" w:type="pct"/>
            <w:tcBorders>
              <w:top w:val="nil"/>
              <w:left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940 (21.9%)</w:t>
            </w:r>
          </w:p>
        </w:tc>
        <w:tc>
          <w:tcPr>
            <w:tcW w:w="292" w:type="pct"/>
            <w:tcBorders>
              <w:top w:val="nil"/>
              <w:left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FA4534" w:rsidRPr="006F35E1" w:rsidTr="00FA4534">
        <w:trPr>
          <w:trHeight w:val="300"/>
        </w:trPr>
        <w:tc>
          <w:tcPr>
            <w:tcW w:w="1667" w:type="pct"/>
            <w:tcBorders>
              <w:top w:val="nil"/>
              <w:left w:val="nil"/>
              <w:bottom w:val="single" w:sz="12" w:space="0" w:color="auto"/>
              <w:right w:val="nil"/>
            </w:tcBorders>
            <w:shd w:val="clear" w:color="auto" w:fill="auto"/>
            <w:noWrap/>
            <w:vAlign w:val="bottom"/>
            <w:hideMark/>
          </w:tcPr>
          <w:p w:rsidR="00FA4534" w:rsidRPr="006F35E1" w:rsidRDefault="00FA4534" w:rsidP="00FA4534">
            <w:pPr>
              <w:spacing w:after="0" w:line="240" w:lineRule="auto"/>
              <w:rPr>
                <w:rFonts w:eastAsia="Times New Roman"/>
                <w:color w:val="000000"/>
                <w:lang w:eastAsia="zh-CN"/>
              </w:rPr>
            </w:pPr>
            <w:r w:rsidRPr="006F35E1">
              <w:rPr>
                <w:rFonts w:eastAsia="Times New Roman"/>
                <w:color w:val="000000"/>
                <w:lang w:eastAsia="zh-CN"/>
              </w:rPr>
              <w:t>Unknown (n=1106; 4.4%)</w:t>
            </w:r>
          </w:p>
        </w:tc>
        <w:tc>
          <w:tcPr>
            <w:tcW w:w="531" w:type="pct"/>
            <w:tcBorders>
              <w:top w:val="nil"/>
              <w:left w:val="nil"/>
              <w:bottom w:val="single" w:sz="12"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625 (56.5%)</w:t>
            </w:r>
          </w:p>
        </w:tc>
        <w:tc>
          <w:tcPr>
            <w:tcW w:w="588" w:type="pct"/>
            <w:tcBorders>
              <w:top w:val="nil"/>
              <w:left w:val="nil"/>
              <w:bottom w:val="single" w:sz="12"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102 (9.2%)</w:t>
            </w:r>
          </w:p>
        </w:tc>
        <w:tc>
          <w:tcPr>
            <w:tcW w:w="592" w:type="pct"/>
            <w:tcBorders>
              <w:top w:val="nil"/>
              <w:left w:val="nil"/>
              <w:bottom w:val="single" w:sz="12"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83 (7.5%)</w:t>
            </w:r>
          </w:p>
        </w:tc>
        <w:tc>
          <w:tcPr>
            <w:tcW w:w="592" w:type="pct"/>
            <w:tcBorders>
              <w:top w:val="nil"/>
              <w:left w:val="nil"/>
              <w:bottom w:val="single" w:sz="12"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78 (7.1%)</w:t>
            </w:r>
          </w:p>
        </w:tc>
        <w:tc>
          <w:tcPr>
            <w:tcW w:w="740" w:type="pct"/>
            <w:tcBorders>
              <w:top w:val="nil"/>
              <w:left w:val="nil"/>
              <w:bottom w:val="single" w:sz="12"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218 (19.7%)</w:t>
            </w:r>
          </w:p>
        </w:tc>
        <w:tc>
          <w:tcPr>
            <w:tcW w:w="292" w:type="pct"/>
            <w:tcBorders>
              <w:top w:val="nil"/>
              <w:left w:val="nil"/>
              <w:bottom w:val="single" w:sz="12"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CA7A60" w:rsidRPr="006F35E1" w:rsidTr="00FA4534">
        <w:trPr>
          <w:trHeight w:val="300"/>
        </w:trPr>
        <w:tc>
          <w:tcPr>
            <w:tcW w:w="1667" w:type="pct"/>
            <w:tcBorders>
              <w:top w:val="single" w:sz="12" w:space="0" w:color="auto"/>
              <w:left w:val="nil"/>
              <w:bottom w:val="nil"/>
              <w:right w:val="nil"/>
            </w:tcBorders>
            <w:shd w:val="clear" w:color="auto" w:fill="auto"/>
            <w:noWrap/>
            <w:vAlign w:val="bottom"/>
            <w:hideMark/>
          </w:tcPr>
          <w:p w:rsidR="00CA7A60" w:rsidRDefault="00CA7A60" w:rsidP="00CA7A60">
            <w:pPr>
              <w:pageBreakBefore/>
              <w:spacing w:after="0" w:line="240" w:lineRule="auto"/>
              <w:rPr>
                <w:rFonts w:eastAsia="Times New Roman"/>
                <w:b/>
                <w:bCs/>
                <w:color w:val="000000"/>
                <w:lang w:eastAsia="zh-CN"/>
              </w:rPr>
            </w:pPr>
            <w:r w:rsidRPr="006F35E1">
              <w:rPr>
                <w:rFonts w:eastAsia="Times New Roman"/>
                <w:b/>
                <w:bCs/>
                <w:color w:val="000000"/>
                <w:lang w:eastAsia="zh-CN"/>
              </w:rPr>
              <w:lastRenderedPageBreak/>
              <w:t>Living status</w:t>
            </w:r>
          </w:p>
        </w:tc>
        <w:tc>
          <w:tcPr>
            <w:tcW w:w="531" w:type="pct"/>
            <w:tcBorders>
              <w:top w:val="single" w:sz="12"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88" w:type="pct"/>
            <w:tcBorders>
              <w:top w:val="single" w:sz="12"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2" w:type="pct"/>
            <w:tcBorders>
              <w:top w:val="single" w:sz="12"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2" w:type="pct"/>
            <w:tcBorders>
              <w:top w:val="single" w:sz="12"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740" w:type="pct"/>
            <w:tcBorders>
              <w:top w:val="single" w:sz="12"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92" w:type="pct"/>
            <w:tcBorders>
              <w:top w:val="single" w:sz="12" w:space="0" w:color="auto"/>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 </w:t>
            </w: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Lives alone (n=4434; 17.6%)</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2173 (49.0%)</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411 (9.3%)</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359 (8.1%)</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325 (7.3%)</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1166 (26.3%)</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Lives with family (n=13486; 53.5%)</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7323 (54.3%)</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1223 (9.1%)</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1063 (7.9%)</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973 (7.2%)</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2904 (21.5%)</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Lives with others (n=5455; 21.6%)</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2722 (49.9%)</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547 (10.0%)</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397 (7.3%)</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411 (7.5%)</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1378 (25.3%)</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FA4534" w:rsidRPr="006F35E1" w:rsidTr="00FA4534">
        <w:trPr>
          <w:trHeight w:val="300"/>
        </w:trPr>
        <w:tc>
          <w:tcPr>
            <w:tcW w:w="1667"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rPr>
                <w:rFonts w:eastAsia="Times New Roman"/>
                <w:color w:val="000000"/>
                <w:lang w:eastAsia="zh-CN"/>
              </w:rPr>
            </w:pPr>
            <w:r w:rsidRPr="006F35E1">
              <w:rPr>
                <w:rFonts w:eastAsia="Times New Roman"/>
                <w:color w:val="000000"/>
                <w:lang w:eastAsia="zh-CN"/>
              </w:rPr>
              <w:t>Unknown (n=1854; 7.3%)</w:t>
            </w:r>
          </w:p>
        </w:tc>
        <w:tc>
          <w:tcPr>
            <w:tcW w:w="531"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1010 (54.5%)</w:t>
            </w:r>
          </w:p>
        </w:tc>
        <w:tc>
          <w:tcPr>
            <w:tcW w:w="588"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167 (9.0%)</w:t>
            </w:r>
          </w:p>
        </w:tc>
        <w:tc>
          <w:tcPr>
            <w:tcW w:w="592"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139 (7.5%)</w:t>
            </w:r>
          </w:p>
        </w:tc>
        <w:tc>
          <w:tcPr>
            <w:tcW w:w="592"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158 (8.5%)</w:t>
            </w:r>
          </w:p>
        </w:tc>
        <w:tc>
          <w:tcPr>
            <w:tcW w:w="740"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sidRPr="006F35E1">
              <w:rPr>
                <w:rFonts w:eastAsia="Times New Roman"/>
                <w:color w:val="000000"/>
                <w:lang w:eastAsia="zh-CN"/>
              </w:rPr>
              <w:t>380 (20.5%)</w:t>
            </w:r>
          </w:p>
        </w:tc>
        <w:tc>
          <w:tcPr>
            <w:tcW w:w="292" w:type="pct"/>
            <w:tcBorders>
              <w:top w:val="nil"/>
              <w:left w:val="nil"/>
              <w:bottom w:val="single" w:sz="4" w:space="0" w:color="auto"/>
              <w:right w:val="nil"/>
            </w:tcBorders>
            <w:shd w:val="clear" w:color="auto" w:fill="auto"/>
            <w:noWrap/>
            <w:vAlign w:val="bottom"/>
            <w:hideMark/>
          </w:tcPr>
          <w:p w:rsidR="00FA4534" w:rsidRPr="006F35E1" w:rsidRDefault="00FA4534" w:rsidP="00FA4534">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Accommodation status</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Private residence (n=18325; 72.6%)</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9758 (53.2%)</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1667 (9.1%)</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1428 (7.8%)</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1342 (7.3%)</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4130 (22.5%)</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Unstable (n=2456; 9.7%)</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1104 (45.0%)</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241 (9.8%)</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198 (8.1%)</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159 (6.5%)</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754 (30.7%)</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In custody (n=1253; 5.0%)</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671 (53.6%)</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138 (11.0%)</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79 (6.3%)</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135 (10.8%)</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230 (18.4%)</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Other (n=1148; 4.6%)</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550 (47.9%)</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113 (9.8%)</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86 (7.5%)</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95 (8.3%)</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304 (26.5%)</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Unknown (n=2047; 8.1%)</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1145 (55.9%)</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189 (9.2%)</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167 (8.2%)</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136 (6.6%)</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410 (20.0%)</w:t>
            </w:r>
          </w:p>
        </w:tc>
        <w:tc>
          <w:tcPr>
            <w:tcW w:w="292" w:type="pct"/>
            <w:tcBorders>
              <w:top w:val="nil"/>
              <w:left w:val="nil"/>
              <w:bottom w:val="nil"/>
              <w:right w:val="nil"/>
            </w:tcBorders>
            <w:shd w:val="clear" w:color="auto" w:fill="auto"/>
            <w:noWrap/>
            <w:vAlign w:val="bottom"/>
            <w:hideMark/>
          </w:tcPr>
          <w:p w:rsidR="00CA7A60" w:rsidRPr="006F35E1" w:rsidRDefault="0090708D" w:rsidP="00CA7A60">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CA7A60" w:rsidRPr="006F35E1" w:rsidTr="00FA4534">
        <w:trPr>
          <w:trHeight w:val="300"/>
        </w:trPr>
        <w:tc>
          <w:tcPr>
            <w:tcW w:w="1667"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Homeless status</w:t>
            </w:r>
          </w:p>
        </w:tc>
        <w:tc>
          <w:tcPr>
            <w:tcW w:w="531"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88"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2"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2"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740"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92"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Homeless (n=1186; 4.7%)</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523 (44.1%)</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105 (8.9%)</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97 (8.2%)</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71 (6.0%)</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390 (32.9%)</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Not homeless (n=23118; 91.6%)</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12173 (52.7%)</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2161 (9.3%)</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1785 (7.7%)</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1734 (7.5%)</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5265 (22.8%)</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Unknown (n=925; 3.7%)</w:t>
            </w:r>
          </w:p>
        </w:tc>
        <w:tc>
          <w:tcPr>
            <w:tcW w:w="531"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532 (57.5%)</w:t>
            </w:r>
          </w:p>
        </w:tc>
        <w:tc>
          <w:tcPr>
            <w:tcW w:w="588"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82 (8.9%)</w:t>
            </w:r>
          </w:p>
        </w:tc>
        <w:tc>
          <w:tcPr>
            <w:tcW w:w="592"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76 (8.2%)</w:t>
            </w:r>
          </w:p>
        </w:tc>
        <w:tc>
          <w:tcPr>
            <w:tcW w:w="592"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62 (6.7%)</w:t>
            </w:r>
          </w:p>
        </w:tc>
        <w:tc>
          <w:tcPr>
            <w:tcW w:w="740"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173 (18.7%)</w:t>
            </w:r>
          </w:p>
        </w:tc>
        <w:tc>
          <w:tcPr>
            <w:tcW w:w="292" w:type="pct"/>
            <w:tcBorders>
              <w:top w:val="nil"/>
              <w:left w:val="nil"/>
              <w:bottom w:val="single" w:sz="4" w:space="0" w:color="auto"/>
              <w:right w:val="nil"/>
            </w:tcBorders>
            <w:shd w:val="clear" w:color="auto" w:fill="auto"/>
            <w:noWrap/>
            <w:vAlign w:val="bottom"/>
            <w:hideMark/>
          </w:tcPr>
          <w:p w:rsidR="00CA7A60" w:rsidRPr="006F35E1" w:rsidRDefault="0090708D" w:rsidP="00CA7A60">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Region</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Metro</w:t>
            </w:r>
            <w:r w:rsidR="00727B57">
              <w:rPr>
                <w:rFonts w:eastAsia="Times New Roman"/>
                <w:color w:val="000000"/>
                <w:lang w:eastAsia="zh-CN"/>
              </w:rPr>
              <w:t>politan</w:t>
            </w:r>
            <w:r w:rsidRPr="006F35E1">
              <w:rPr>
                <w:rFonts w:eastAsia="Times New Roman"/>
                <w:color w:val="000000"/>
                <w:lang w:eastAsia="zh-CN"/>
              </w:rPr>
              <w:t xml:space="preserve"> Melbourne (n=12346; 48.9%)</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6024 (48.8%)</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1203 (9.7%)</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1074 (8.7%)</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928 (7.5%)</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3117 (25.2%)</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Rest of V</w:t>
            </w:r>
            <w:r w:rsidR="00727B57">
              <w:rPr>
                <w:rFonts w:eastAsia="Times New Roman"/>
                <w:color w:val="000000"/>
                <w:lang w:eastAsia="zh-CN"/>
              </w:rPr>
              <w:t>ictoria</w:t>
            </w:r>
            <w:r w:rsidRPr="006F35E1">
              <w:rPr>
                <w:rFonts w:eastAsia="Times New Roman"/>
                <w:color w:val="000000"/>
                <w:lang w:eastAsia="zh-CN"/>
              </w:rPr>
              <w:t xml:space="preserve"> (n=7875; 31.2%)</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4556 (57.9%)</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633 (8.0%)</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513 (6.5%)</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506 (6.4%)</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1667 (21.2%)</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Interstate (n=438; 1.7%)</w:t>
            </w:r>
          </w:p>
        </w:tc>
        <w:tc>
          <w:tcPr>
            <w:tcW w:w="53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228 (52.1%)</w:t>
            </w:r>
          </w:p>
        </w:tc>
        <w:tc>
          <w:tcPr>
            <w:tcW w:w="58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39 (8.9%)</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38 (8.7%)</w:t>
            </w:r>
          </w:p>
        </w:tc>
        <w:tc>
          <w:tcPr>
            <w:tcW w:w="5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37 (8.4%)</w:t>
            </w:r>
          </w:p>
        </w:tc>
        <w:tc>
          <w:tcPr>
            <w:tcW w:w="7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96 (21.9%)</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FA4534">
        <w:trPr>
          <w:trHeight w:val="300"/>
        </w:trPr>
        <w:tc>
          <w:tcPr>
            <w:tcW w:w="1667"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Unknown (n=4570; 18.1%)</w:t>
            </w:r>
          </w:p>
        </w:tc>
        <w:tc>
          <w:tcPr>
            <w:tcW w:w="531"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2420 (53.0%)</w:t>
            </w:r>
          </w:p>
        </w:tc>
        <w:tc>
          <w:tcPr>
            <w:tcW w:w="588"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473 (10.4%)</w:t>
            </w:r>
          </w:p>
        </w:tc>
        <w:tc>
          <w:tcPr>
            <w:tcW w:w="592"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333 (7.3%)</w:t>
            </w:r>
          </w:p>
        </w:tc>
        <w:tc>
          <w:tcPr>
            <w:tcW w:w="592"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396 (8.7%)</w:t>
            </w:r>
          </w:p>
        </w:tc>
        <w:tc>
          <w:tcPr>
            <w:tcW w:w="740"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948 (20.7%)</w:t>
            </w:r>
          </w:p>
        </w:tc>
        <w:tc>
          <w:tcPr>
            <w:tcW w:w="292" w:type="pct"/>
            <w:tcBorders>
              <w:top w:val="nil"/>
              <w:left w:val="nil"/>
              <w:bottom w:val="single" w:sz="12" w:space="0" w:color="auto"/>
              <w:right w:val="nil"/>
            </w:tcBorders>
            <w:shd w:val="clear" w:color="auto" w:fill="auto"/>
            <w:noWrap/>
            <w:vAlign w:val="bottom"/>
            <w:hideMark/>
          </w:tcPr>
          <w:p w:rsidR="00CA7A60" w:rsidRPr="006F35E1" w:rsidRDefault="0090708D" w:rsidP="00CA7A60">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bookmarkEnd w:id="171"/>
      <w:bookmarkEnd w:id="172"/>
    </w:tbl>
    <w:p w:rsidR="00CA7A60" w:rsidRDefault="00CA7A60" w:rsidP="00A126E3">
      <w:pPr>
        <w:pStyle w:val="FAREtableheading"/>
        <w:sectPr w:rsidR="00CA7A60" w:rsidSect="00CA7A60">
          <w:pgSz w:w="16838" w:h="11906" w:orient="landscape"/>
          <w:pgMar w:top="1276" w:right="1440" w:bottom="1135" w:left="1440" w:header="708" w:footer="595" w:gutter="0"/>
          <w:cols w:space="708"/>
          <w:docGrid w:linePitch="360"/>
        </w:sectPr>
      </w:pPr>
    </w:p>
    <w:p w:rsidR="00CA7A60" w:rsidRDefault="00CA7A60" w:rsidP="00A126E3">
      <w:pPr>
        <w:pStyle w:val="FAREtableheading"/>
      </w:pPr>
      <w:bookmarkStart w:id="173" w:name="_Ref386792679"/>
      <w:bookmarkStart w:id="174" w:name="_Toc387244627"/>
      <w:bookmarkStart w:id="175" w:name="_Toc398105086"/>
      <w:proofErr w:type="gramStart"/>
      <w:r w:rsidRPr="007B5F43">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3</w:t>
      </w:r>
      <w:r w:rsidR="00BE3D19">
        <w:rPr>
          <w:noProof/>
        </w:rPr>
        <w:fldChar w:fldCharType="end"/>
      </w:r>
      <w:bookmarkEnd w:id="173"/>
      <w:r w:rsidRPr="007B5F43">
        <w:t xml:space="preserve"> </w:t>
      </w:r>
      <w:r w:rsidR="00E41BCC">
        <w:t xml:space="preserve"> </w:t>
      </w:r>
      <w:r w:rsidRPr="007B5F43">
        <w:t>Soci</w:t>
      </w:r>
      <w:r>
        <w:t>odemographic characteristics by ED presentations in 2009/10, 2010/11 and 2011/12</w:t>
      </w:r>
      <w:bookmarkEnd w:id="174"/>
      <w:bookmarkEnd w:id="175"/>
    </w:p>
    <w:tbl>
      <w:tblPr>
        <w:tblW w:w="5000" w:type="pct"/>
        <w:tblLook w:val="04A0" w:firstRow="1" w:lastRow="0" w:firstColumn="1" w:lastColumn="0" w:noHBand="0" w:noVBand="1"/>
      </w:tblPr>
      <w:tblGrid>
        <w:gridCol w:w="4885"/>
        <w:gridCol w:w="1453"/>
        <w:gridCol w:w="1453"/>
        <w:gridCol w:w="1451"/>
      </w:tblGrid>
      <w:tr w:rsidR="00CA7A60" w:rsidRPr="00B30EA5" w:rsidTr="00CA7A60">
        <w:trPr>
          <w:trHeight w:val="300"/>
          <w:tblHeader/>
        </w:trPr>
        <w:tc>
          <w:tcPr>
            <w:tcW w:w="2643" w:type="pct"/>
            <w:vMerge w:val="restart"/>
            <w:tcBorders>
              <w:top w:val="single" w:sz="12" w:space="0" w:color="auto"/>
              <w:left w:val="nil"/>
              <w:bottom w:val="single" w:sz="12" w:space="0" w:color="000000"/>
              <w:right w:val="nil"/>
            </w:tcBorders>
            <w:shd w:val="clear" w:color="auto" w:fill="auto"/>
            <w:noWrap/>
            <w:vAlign w:val="bottom"/>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w:t>
            </w:r>
          </w:p>
        </w:tc>
        <w:tc>
          <w:tcPr>
            <w:tcW w:w="2357" w:type="pct"/>
            <w:gridSpan w:val="3"/>
            <w:tcBorders>
              <w:top w:val="single" w:sz="12" w:space="0" w:color="auto"/>
              <w:left w:val="nil"/>
              <w:bottom w:val="single" w:sz="4" w:space="0" w:color="auto"/>
              <w:right w:val="nil"/>
            </w:tcBorders>
            <w:shd w:val="clear" w:color="auto" w:fill="auto"/>
            <w:vAlign w:val="bottom"/>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xml:space="preserve"> Number of  AOD clients </w:t>
            </w:r>
          </w:p>
        </w:tc>
      </w:tr>
      <w:tr w:rsidR="00CA7A60" w:rsidRPr="00B30EA5" w:rsidTr="00CA7A60">
        <w:trPr>
          <w:trHeight w:val="300"/>
          <w:tblHeader/>
        </w:trPr>
        <w:tc>
          <w:tcPr>
            <w:tcW w:w="2643" w:type="pct"/>
            <w:vMerge/>
            <w:tcBorders>
              <w:top w:val="single" w:sz="12" w:space="0" w:color="auto"/>
              <w:left w:val="nil"/>
              <w:bottom w:val="single" w:sz="12" w:space="0" w:color="000000"/>
              <w:right w:val="nil"/>
            </w:tcBorders>
            <w:vAlign w:val="center"/>
            <w:hideMark/>
          </w:tcPr>
          <w:p w:rsidR="00CA7A60" w:rsidRPr="00B30EA5" w:rsidRDefault="00CA7A60" w:rsidP="00CA7A60">
            <w:pPr>
              <w:spacing w:after="0" w:line="240" w:lineRule="auto"/>
              <w:rPr>
                <w:rFonts w:eastAsia="Times New Roman"/>
                <w:b/>
                <w:bCs/>
                <w:color w:val="000000"/>
                <w:lang w:eastAsia="en-AU"/>
              </w:rPr>
            </w:pPr>
          </w:p>
        </w:tc>
        <w:tc>
          <w:tcPr>
            <w:tcW w:w="786"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09/10 (%)</w:t>
            </w:r>
          </w:p>
        </w:tc>
        <w:tc>
          <w:tcPr>
            <w:tcW w:w="786"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10/11 (%)</w:t>
            </w:r>
          </w:p>
        </w:tc>
        <w:tc>
          <w:tcPr>
            <w:tcW w:w="786"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11/12 (%)</w:t>
            </w:r>
          </w:p>
        </w:tc>
      </w:tr>
      <w:tr w:rsidR="00CA7A60" w:rsidRPr="00B30EA5" w:rsidTr="00CA7A60">
        <w:trPr>
          <w:trHeight w:val="300"/>
        </w:trPr>
        <w:tc>
          <w:tcPr>
            <w:tcW w:w="2643"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Total </w:t>
            </w:r>
            <w:r w:rsidRPr="00B30EA5">
              <w:rPr>
                <w:rFonts w:eastAsia="Times New Roman"/>
                <w:bCs/>
                <w:color w:val="000000"/>
                <w:sz w:val="24"/>
                <w:szCs w:val="24"/>
                <w:lang w:eastAsia="en-AU"/>
              </w:rPr>
              <w:t>(n=25229)</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6890 (27.3%)</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6742 (26.7%)</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6356 (25.2%)</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Gender </w:t>
            </w:r>
          </w:p>
        </w:tc>
        <w:tc>
          <w:tcPr>
            <w:tcW w:w="78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8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8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Male (n=17198; 68.2%)</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4514 (26.2%)</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4390 (25.5%)</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4142 (24.1%)</w:t>
            </w:r>
          </w:p>
        </w:tc>
      </w:tr>
      <w:tr w:rsidR="00CA7A60" w:rsidRPr="00B30EA5" w:rsidTr="00CA7A60">
        <w:trPr>
          <w:trHeight w:val="300"/>
        </w:trPr>
        <w:tc>
          <w:tcPr>
            <w:tcW w:w="2643"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Female (n=7982; 31.6%)</w:t>
            </w:r>
          </w:p>
        </w:tc>
        <w:tc>
          <w:tcPr>
            <w:tcW w:w="78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2376 (29.8%)</w:t>
            </w:r>
          </w:p>
        </w:tc>
        <w:tc>
          <w:tcPr>
            <w:tcW w:w="78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2352 (29.5%)</w:t>
            </w:r>
          </w:p>
        </w:tc>
        <w:tc>
          <w:tcPr>
            <w:tcW w:w="78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2214 (27.7%)</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Age group</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0-14 (n=340; 1.3%)</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62 (18.2%)</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81 (23.8%)</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83 (24.4%)</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15-24 (n=6654; 26.4%)</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1822 (27.4%)</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1743 (26.2%)</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1693 (25.4%)</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25-34 (n=7334; 29.1%)</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2031 (27.7%)</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1957 (26.7%)</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1840 (25.1%)</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35-44 (n=6220; 24.7%)</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1699 (27.3%)</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1652 (26.6%)</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1542 (24.8%)</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45-54 (n=3202; 12.7%)</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898 (28.0%)</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903 (28.2%)</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835 (26.1%)</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55-64 (n=1102; 4.4%)</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286 (26.0%)</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313 (28.4%)</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283 (25.7%)</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65+ (n=377; 1.5%)</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92 (24.4%)</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93 (24.7%)</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80 (21.2%)</w:t>
            </w:r>
          </w:p>
        </w:tc>
      </w:tr>
      <w:tr w:rsidR="00CA7A60" w:rsidRPr="00B30EA5" w:rsidTr="00CA7A60">
        <w:trPr>
          <w:trHeight w:val="300"/>
        </w:trPr>
        <w:tc>
          <w:tcPr>
            <w:tcW w:w="2643"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Country of birth</w:t>
            </w:r>
          </w:p>
        </w:tc>
        <w:tc>
          <w:tcPr>
            <w:tcW w:w="78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8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8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Australia (n=21501; 85.2%)</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6005 (27.9%)</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5871 (27.3%)</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5523 (25.7%)</w:t>
            </w:r>
          </w:p>
        </w:tc>
      </w:tr>
      <w:tr w:rsidR="00CA7A60" w:rsidRPr="00B30EA5" w:rsidTr="00CA7A60">
        <w:trPr>
          <w:trHeight w:val="300"/>
        </w:trPr>
        <w:tc>
          <w:tcPr>
            <w:tcW w:w="2643"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(n=3728; 14.8%)</w:t>
            </w:r>
          </w:p>
        </w:tc>
        <w:tc>
          <w:tcPr>
            <w:tcW w:w="78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885 (23.7%)</w:t>
            </w:r>
          </w:p>
        </w:tc>
        <w:tc>
          <w:tcPr>
            <w:tcW w:w="78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871 (23.4%)</w:t>
            </w:r>
          </w:p>
        </w:tc>
        <w:tc>
          <w:tcPr>
            <w:tcW w:w="78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833 (22.3%)</w:t>
            </w:r>
          </w:p>
        </w:tc>
      </w:tr>
      <w:tr w:rsidR="00CA7A60" w:rsidRPr="00B30EA5" w:rsidTr="00CA7A60">
        <w:trPr>
          <w:trHeight w:val="300"/>
        </w:trPr>
        <w:tc>
          <w:tcPr>
            <w:tcW w:w="2643"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Indigenous status</w:t>
            </w:r>
          </w:p>
        </w:tc>
        <w:tc>
          <w:tcPr>
            <w:tcW w:w="78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8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8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Pr>
                <w:rFonts w:eastAsia="Times New Roman"/>
                <w:color w:val="000000"/>
                <w:lang w:eastAsia="en-AU"/>
              </w:rPr>
              <w:t>Aboriginal</w:t>
            </w:r>
            <w:r w:rsidRPr="00B30EA5">
              <w:rPr>
                <w:rFonts w:eastAsia="Times New Roman"/>
                <w:color w:val="000000"/>
                <w:lang w:eastAsia="en-AU"/>
              </w:rPr>
              <w:t xml:space="preserve"> and/or TSI origin (n=1832; 7.3%)</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544 (29.7%)</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499 (27.2%)</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486 (26.5%)</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Neither Aboriginal nor TSI origin (n=20927; 82.9%)</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5743 (27.4%)</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5645 (27.0%)</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5274 (25.2%)</w:t>
            </w:r>
          </w:p>
        </w:tc>
      </w:tr>
      <w:tr w:rsidR="00CA7A60" w:rsidRPr="00B30EA5" w:rsidTr="00CA7A60">
        <w:trPr>
          <w:trHeight w:val="300"/>
        </w:trPr>
        <w:tc>
          <w:tcPr>
            <w:tcW w:w="2643"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(n=2470; 9.8%)</w:t>
            </w:r>
          </w:p>
        </w:tc>
        <w:tc>
          <w:tcPr>
            <w:tcW w:w="78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603 (24.4%)</w:t>
            </w:r>
          </w:p>
        </w:tc>
        <w:tc>
          <w:tcPr>
            <w:tcW w:w="78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598 (24.2%)</w:t>
            </w:r>
          </w:p>
        </w:tc>
        <w:tc>
          <w:tcPr>
            <w:tcW w:w="78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596 (24.1%)</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Employment</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Employed (n=6239; 24.7%)</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1404 (22.5%)</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1402 (22.5%)</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1332 (21.3%)</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Unemployed (n=13587; 53.9%)</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4131 (30.4%)</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3988 (29.4%)</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3683 (27.1%)</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(n=4297; 17.0%)</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1080 (25.1%)</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1091 (25.4%)</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1101 (25.6%)</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(n=1106; 4.4%)</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275 (24.9%)</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261 (23.6%)</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240 (21.7%)</w:t>
            </w:r>
          </w:p>
        </w:tc>
      </w:tr>
      <w:tr w:rsidR="00CA7A60" w:rsidRPr="00B30EA5" w:rsidTr="00CA7A60">
        <w:trPr>
          <w:trHeight w:val="300"/>
        </w:trPr>
        <w:tc>
          <w:tcPr>
            <w:tcW w:w="2643"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Living status</w:t>
            </w:r>
          </w:p>
        </w:tc>
        <w:tc>
          <w:tcPr>
            <w:tcW w:w="78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8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8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Lives alone (n=4434; 17.6%)</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1350 (30.4%)</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1367 (30.8%)</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1220 (27.5%)</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Lives with family (n=13486; 53.5%)</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3458 (25.6%)</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3417 (25.3%)</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3211 (23.8%)</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Lives with others (n=5455; 21.6%)</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1622 (29.7%)</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1521 (27.9%)</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1463 (26.8%)</w:t>
            </w:r>
          </w:p>
        </w:tc>
      </w:tr>
      <w:tr w:rsidR="00CA7A60" w:rsidRPr="00B30EA5" w:rsidTr="00CA7A60">
        <w:trPr>
          <w:trHeight w:val="300"/>
        </w:trPr>
        <w:tc>
          <w:tcPr>
            <w:tcW w:w="2643"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(n=1854; 7.3%)</w:t>
            </w:r>
          </w:p>
        </w:tc>
        <w:tc>
          <w:tcPr>
            <w:tcW w:w="78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460 (24.8%)</w:t>
            </w:r>
          </w:p>
        </w:tc>
        <w:tc>
          <w:tcPr>
            <w:tcW w:w="78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437 (23.6%)</w:t>
            </w:r>
          </w:p>
        </w:tc>
        <w:tc>
          <w:tcPr>
            <w:tcW w:w="78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462 (24.9%)</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Accommodation status</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Private residence (n=18325; 72.6%)</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4874 (26.6%)</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4822 (26.3%)</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4502 (24.6%)</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Unstable (n=2456; 9.7%)</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863 (35.1%)</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842 (34.3%)</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738 (30.0%)</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In custody (n=1253; 5.0%)</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307 (24.5%)</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249 (19.9%)</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331 (26.4%)</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(n=1148; 4.6%)</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348 (30.3%)</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330 (28.7%)</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337 (29.4%)</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(n=2047; 8.1%)</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498 (24.3%)</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499 (24.4%)</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448 (21.9%)</w:t>
            </w:r>
          </w:p>
        </w:tc>
      </w:tr>
      <w:tr w:rsidR="00CA7A60" w:rsidRPr="00B30EA5" w:rsidTr="00CA7A60">
        <w:trPr>
          <w:trHeight w:val="300"/>
        </w:trPr>
        <w:tc>
          <w:tcPr>
            <w:tcW w:w="2643"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Homeless status</w:t>
            </w:r>
          </w:p>
        </w:tc>
        <w:tc>
          <w:tcPr>
            <w:tcW w:w="78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8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8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Homeless (n=1186; 4.7%)</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431 (36.3%)</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438 (36.9%)</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367 (30.9%)</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Not homeless (n=23118; 91.6%)</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6243 (27.0%)</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6089 (26.3%)</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5797 (25.1%)</w:t>
            </w:r>
          </w:p>
        </w:tc>
      </w:tr>
      <w:tr w:rsidR="00CA7A60" w:rsidRPr="00B30EA5" w:rsidTr="00CA7A60">
        <w:trPr>
          <w:trHeight w:val="300"/>
        </w:trPr>
        <w:tc>
          <w:tcPr>
            <w:tcW w:w="2643"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(n=925; 3.7%)</w:t>
            </w:r>
          </w:p>
        </w:tc>
        <w:tc>
          <w:tcPr>
            <w:tcW w:w="78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216 (23.4%)</w:t>
            </w:r>
          </w:p>
        </w:tc>
        <w:tc>
          <w:tcPr>
            <w:tcW w:w="78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215 (23.2%)</w:t>
            </w:r>
          </w:p>
        </w:tc>
        <w:tc>
          <w:tcPr>
            <w:tcW w:w="78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192 (20.8%)</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pageBreakBefore/>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lastRenderedPageBreak/>
              <w:t>Region</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Metro</w:t>
            </w:r>
            <w:r w:rsidR="00727B57">
              <w:rPr>
                <w:rFonts w:eastAsia="Times New Roman"/>
                <w:color w:val="000000"/>
                <w:lang w:eastAsia="en-AU"/>
              </w:rPr>
              <w:t>politan</w:t>
            </w:r>
            <w:r w:rsidRPr="00B30EA5">
              <w:rPr>
                <w:rFonts w:eastAsia="Times New Roman"/>
                <w:color w:val="000000"/>
                <w:lang w:eastAsia="en-AU"/>
              </w:rPr>
              <w:t xml:space="preserve"> Melbourne (n=12346; 48.9%)</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3632 (29.4%)</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3656 (29.6%)</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3319 (26.9%)</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Rest of V</w:t>
            </w:r>
            <w:r w:rsidR="00727B57">
              <w:rPr>
                <w:rFonts w:eastAsia="Times New Roman"/>
                <w:color w:val="000000"/>
                <w:lang w:eastAsia="en-AU"/>
              </w:rPr>
              <w:t>ictoria</w:t>
            </w:r>
            <w:r w:rsidRPr="00B30EA5">
              <w:rPr>
                <w:rFonts w:eastAsia="Times New Roman"/>
                <w:color w:val="000000"/>
                <w:lang w:eastAsia="en-AU"/>
              </w:rPr>
              <w:t xml:space="preserve"> (n=7875; 31.2%)</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1932 (24.5%)</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1891 (24.0%)</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1801 (22.9%)</w:t>
            </w:r>
          </w:p>
        </w:tc>
      </w:tr>
      <w:tr w:rsidR="00CA7A60" w:rsidRPr="00B30EA5" w:rsidTr="00CA7A60">
        <w:trPr>
          <w:trHeight w:val="300"/>
        </w:trPr>
        <w:tc>
          <w:tcPr>
            <w:tcW w:w="264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Interstate (n=438; 1.7%)</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120 (27.4%)</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115 (26.3%)</w:t>
            </w:r>
          </w:p>
        </w:tc>
        <w:tc>
          <w:tcPr>
            <w:tcW w:w="78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102 (23.3%)</w:t>
            </w:r>
          </w:p>
        </w:tc>
      </w:tr>
      <w:tr w:rsidR="00CA7A60" w:rsidRPr="00B30EA5" w:rsidTr="00CA7A60">
        <w:trPr>
          <w:trHeight w:val="300"/>
        </w:trPr>
        <w:tc>
          <w:tcPr>
            <w:tcW w:w="2643"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(n=4570; 18.1%)</w:t>
            </w:r>
          </w:p>
        </w:tc>
        <w:tc>
          <w:tcPr>
            <w:tcW w:w="786"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1206 (26.4%)</w:t>
            </w:r>
          </w:p>
        </w:tc>
        <w:tc>
          <w:tcPr>
            <w:tcW w:w="786"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1080 (23.6%)</w:t>
            </w:r>
          </w:p>
        </w:tc>
        <w:tc>
          <w:tcPr>
            <w:tcW w:w="786"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1134 (24.8%)</w:t>
            </w:r>
          </w:p>
        </w:tc>
      </w:tr>
    </w:tbl>
    <w:p w:rsidR="00CA7A60" w:rsidRDefault="00CA7A60" w:rsidP="00CA7A60">
      <w:pPr>
        <w:pStyle w:val="FAREnormaltext"/>
      </w:pPr>
    </w:p>
    <w:p w:rsidR="00CA7A60" w:rsidRDefault="00BE3D19" w:rsidP="00CA7A60">
      <w:pPr>
        <w:pStyle w:val="FAREnormaltext"/>
      </w:pPr>
      <w:r>
        <w:fldChar w:fldCharType="begin"/>
      </w:r>
      <w:r w:rsidR="009F30FB">
        <w:instrText xml:space="preserve"> REF _Ref386239013 </w:instrText>
      </w:r>
      <w:r>
        <w:fldChar w:fldCharType="separate"/>
      </w:r>
      <w:r w:rsidR="00E150CA">
        <w:t xml:space="preserve">Table </w:t>
      </w:r>
      <w:r w:rsidR="00E150CA">
        <w:rPr>
          <w:noProof/>
        </w:rPr>
        <w:t>4</w:t>
      </w:r>
      <w:r w:rsidR="00E150CA">
        <w:t>.</w:t>
      </w:r>
      <w:r w:rsidR="00E150CA">
        <w:rPr>
          <w:noProof/>
        </w:rPr>
        <w:t>4</w:t>
      </w:r>
      <w:r>
        <w:rPr>
          <w:noProof/>
        </w:rPr>
        <w:fldChar w:fldCharType="end"/>
      </w:r>
      <w:r w:rsidR="00CA7A60">
        <w:t xml:space="preserve"> displays the service type and treatment characteristics of AOD clients by the pattern of their ED engagement from 2009/10 to 2011/12. In terms of service type, AOD clients most commonly received counselling (47%), followed by brokerage (15%) and other withdrawal services (10%). Overall, 74%</w:t>
      </w:r>
      <w:r w:rsidR="00CA7A60" w:rsidRPr="00F52960">
        <w:t xml:space="preserve"> </w:t>
      </w:r>
      <w:r w:rsidR="00CA7A60">
        <w:t xml:space="preserve">completed their course of treatment. </w:t>
      </w:r>
    </w:p>
    <w:p w:rsidR="00CA7A60" w:rsidRDefault="00CA7A60" w:rsidP="00CA7A60">
      <w:pPr>
        <w:pStyle w:val="FAREnormaltext"/>
      </w:pPr>
      <w:r>
        <w:t>There was some variability in patterns of ED utilisation across service types, with one-third of residential withdrawal clients, and over one-quarter of specialist pharmacotherapy clients presenting to emergency departments on multiple occasions over the three years presented.</w:t>
      </w:r>
    </w:p>
    <w:p w:rsidR="00CA7A60" w:rsidRDefault="00BE3D19" w:rsidP="00CA7A60">
      <w:pPr>
        <w:pStyle w:val="FAREnormaltext"/>
      </w:pPr>
      <w:r>
        <w:fldChar w:fldCharType="begin"/>
      </w:r>
      <w:r w:rsidR="009F30FB">
        <w:instrText xml:space="preserve"> REF _Ref386796033 </w:instrText>
      </w:r>
      <w:r>
        <w:fldChar w:fldCharType="separate"/>
      </w:r>
      <w:r w:rsidR="00E150CA" w:rsidRPr="007B5F43">
        <w:t xml:space="preserve">Table </w:t>
      </w:r>
      <w:r w:rsidR="00E150CA">
        <w:rPr>
          <w:noProof/>
        </w:rPr>
        <w:t>4</w:t>
      </w:r>
      <w:r w:rsidR="00E150CA">
        <w:t>.</w:t>
      </w:r>
      <w:r w:rsidR="00E150CA">
        <w:rPr>
          <w:noProof/>
        </w:rPr>
        <w:t>5</w:t>
      </w:r>
      <w:r>
        <w:rPr>
          <w:noProof/>
        </w:rPr>
        <w:fldChar w:fldCharType="end"/>
      </w:r>
      <w:r w:rsidR="00CA7A60">
        <w:t xml:space="preserve"> shows service type and treatment characteristics for AOD clients by ED presentation by year to show whether there was a change in ED utilisation pre- and post-treatment. Proportions of pre-AOD treatment ED presentations (2009/10) were higher than the proportions post-AOD treatment (2011/12) for all service types, pharmacotherapy treatment types and treatment termination status reasons. </w:t>
      </w:r>
    </w:p>
    <w:p w:rsidR="00CA7A60" w:rsidRDefault="00CA7A60" w:rsidP="00CA7A60">
      <w:pPr>
        <w:pStyle w:val="FAREnormaltext"/>
      </w:pPr>
    </w:p>
    <w:p w:rsidR="00CA7A60" w:rsidRDefault="00CA7A60" w:rsidP="00CA7A60">
      <w:pPr>
        <w:pStyle w:val="FAREnormaltext"/>
        <w:sectPr w:rsidR="00CA7A60" w:rsidSect="00CA7A60">
          <w:pgSz w:w="11906" w:h="16838"/>
          <w:pgMar w:top="1440" w:right="1440" w:bottom="1440" w:left="1440" w:header="708" w:footer="595" w:gutter="0"/>
          <w:cols w:space="708"/>
          <w:docGrid w:linePitch="360"/>
        </w:sectPr>
      </w:pPr>
    </w:p>
    <w:p w:rsidR="00CA7A60" w:rsidRPr="006F35E1" w:rsidRDefault="00CA7A60" w:rsidP="00A126E3">
      <w:pPr>
        <w:pStyle w:val="FAREtableheading"/>
        <w:rPr>
          <w:rStyle w:val="SubtleEmphasis"/>
          <w:iCs/>
          <w:sz w:val="22"/>
          <w:szCs w:val="22"/>
          <w:lang w:val="en-AU"/>
        </w:rPr>
      </w:pPr>
      <w:bookmarkStart w:id="176" w:name="_Ref386239013"/>
      <w:bookmarkStart w:id="177" w:name="_Toc387244628"/>
      <w:bookmarkStart w:id="178" w:name="_Toc398105087"/>
      <w:proofErr w:type="gramStart"/>
      <w:r>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4</w:t>
      </w:r>
      <w:r w:rsidR="00BE3D19">
        <w:rPr>
          <w:noProof/>
        </w:rPr>
        <w:fldChar w:fldCharType="end"/>
      </w:r>
      <w:bookmarkEnd w:id="176"/>
      <w:r>
        <w:t xml:space="preserve"> </w:t>
      </w:r>
      <w:r w:rsidR="00E41BCC">
        <w:t xml:space="preserve"> </w:t>
      </w:r>
      <w:r w:rsidR="00727B57">
        <w:t>Treatment</w:t>
      </w:r>
      <w:r w:rsidRPr="00D94FA3">
        <w:t xml:space="preserve"> type and treatment characteristics </w:t>
      </w:r>
      <w:r>
        <w:t>by ED presentation</w:t>
      </w:r>
      <w:r>
        <w:rPr>
          <w:iCs/>
          <w:lang w:val="en-AU"/>
        </w:rPr>
        <w:t>, 2009/10 to 2011/12</w:t>
      </w:r>
      <w:bookmarkEnd w:id="177"/>
      <w:bookmarkEnd w:id="178"/>
    </w:p>
    <w:tbl>
      <w:tblPr>
        <w:tblW w:w="5000" w:type="pct"/>
        <w:tblLook w:val="04A0" w:firstRow="1" w:lastRow="0" w:firstColumn="1" w:lastColumn="0" w:noHBand="0" w:noVBand="1"/>
      </w:tblPr>
      <w:tblGrid>
        <w:gridCol w:w="4002"/>
        <w:gridCol w:w="1504"/>
        <w:gridCol w:w="1820"/>
        <w:gridCol w:w="1828"/>
        <w:gridCol w:w="1828"/>
        <w:gridCol w:w="2364"/>
        <w:gridCol w:w="828"/>
      </w:tblGrid>
      <w:tr w:rsidR="00CA7A60" w:rsidRPr="006F35E1" w:rsidTr="00CA7A60">
        <w:trPr>
          <w:trHeight w:val="300"/>
        </w:trPr>
        <w:tc>
          <w:tcPr>
            <w:tcW w:w="1418" w:type="pct"/>
            <w:vMerge w:val="restart"/>
            <w:tcBorders>
              <w:top w:val="single" w:sz="12" w:space="0" w:color="auto"/>
              <w:left w:val="nil"/>
              <w:bottom w:val="single" w:sz="12" w:space="0" w:color="000000"/>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p>
        </w:tc>
        <w:tc>
          <w:tcPr>
            <w:tcW w:w="3582" w:type="pct"/>
            <w:gridSpan w:val="6"/>
            <w:tcBorders>
              <w:top w:val="single" w:sz="12" w:space="0" w:color="auto"/>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 xml:space="preserve"> Number of  AOD clients </w:t>
            </w:r>
          </w:p>
        </w:tc>
      </w:tr>
      <w:tr w:rsidR="00CA7A60" w:rsidRPr="006F35E1" w:rsidTr="00A90A88">
        <w:trPr>
          <w:trHeight w:val="407"/>
        </w:trPr>
        <w:tc>
          <w:tcPr>
            <w:tcW w:w="1418" w:type="pct"/>
            <w:vMerge/>
            <w:tcBorders>
              <w:top w:val="single" w:sz="12" w:space="0" w:color="auto"/>
              <w:left w:val="nil"/>
              <w:bottom w:val="single" w:sz="12" w:space="0" w:color="000000"/>
              <w:right w:val="nil"/>
            </w:tcBorders>
            <w:vAlign w:val="center"/>
            <w:hideMark/>
          </w:tcPr>
          <w:p w:rsidR="00CA7A60" w:rsidRPr="006F35E1" w:rsidRDefault="00CA7A60" w:rsidP="00CA7A60">
            <w:pPr>
              <w:spacing w:after="0" w:line="240" w:lineRule="auto"/>
              <w:rPr>
                <w:rFonts w:eastAsia="Times New Roman"/>
                <w:b/>
                <w:bCs/>
                <w:color w:val="000000"/>
                <w:lang w:eastAsia="zh-CN"/>
              </w:rPr>
            </w:pPr>
          </w:p>
        </w:tc>
        <w:tc>
          <w:tcPr>
            <w:tcW w:w="534"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No ED (%)</w:t>
            </w:r>
          </w:p>
        </w:tc>
        <w:tc>
          <w:tcPr>
            <w:tcW w:w="651"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ED 09/10 only (%)</w:t>
            </w:r>
          </w:p>
        </w:tc>
        <w:tc>
          <w:tcPr>
            <w:tcW w:w="651"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ED 10/11 only (%)</w:t>
            </w:r>
          </w:p>
        </w:tc>
        <w:tc>
          <w:tcPr>
            <w:tcW w:w="651"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ED 11/12 only (%)</w:t>
            </w:r>
          </w:p>
        </w:tc>
        <w:tc>
          <w:tcPr>
            <w:tcW w:w="840"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ED in multiple years (%)</w:t>
            </w:r>
          </w:p>
        </w:tc>
        <w:tc>
          <w:tcPr>
            <w:tcW w:w="255"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p</w:t>
            </w:r>
          </w:p>
        </w:tc>
      </w:tr>
      <w:tr w:rsidR="00CA7A60" w:rsidRPr="006F35E1" w:rsidTr="00CA7A60">
        <w:trPr>
          <w:trHeight w:val="300"/>
        </w:trPr>
        <w:tc>
          <w:tcPr>
            <w:tcW w:w="1418"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 xml:space="preserve">Total </w:t>
            </w:r>
            <w:r w:rsidRPr="00941C94">
              <w:rPr>
                <w:rFonts w:eastAsia="Times New Roman"/>
                <w:bCs/>
                <w:color w:val="000000"/>
                <w:lang w:eastAsia="zh-CN"/>
              </w:rPr>
              <w:t>(n=25229)</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13228 (52.4%)</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2348 (9.3%)</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1958 (7.8%)</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1867 (7.4%)</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5828 (23.1%)</w:t>
            </w:r>
          </w:p>
        </w:tc>
        <w:tc>
          <w:tcPr>
            <w:tcW w:w="255"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727B57" w:rsidP="00CA7A60">
            <w:pPr>
              <w:spacing w:after="0" w:line="240" w:lineRule="auto"/>
              <w:rPr>
                <w:rFonts w:eastAsia="Times New Roman"/>
                <w:b/>
                <w:bCs/>
                <w:color w:val="000000"/>
                <w:lang w:eastAsia="zh-CN"/>
              </w:rPr>
            </w:pPr>
            <w:r>
              <w:rPr>
                <w:rFonts w:eastAsia="Times New Roman"/>
                <w:b/>
                <w:bCs/>
                <w:color w:val="000000"/>
                <w:lang w:eastAsia="zh-CN"/>
              </w:rPr>
              <w:t>Treatment</w:t>
            </w:r>
            <w:r w:rsidR="00CA7A60" w:rsidRPr="006F35E1">
              <w:rPr>
                <w:rFonts w:eastAsia="Times New Roman"/>
                <w:b/>
                <w:bCs/>
                <w:color w:val="000000"/>
                <w:lang w:eastAsia="zh-CN"/>
              </w:rPr>
              <w:t xml:space="preserve"> type</w:t>
            </w:r>
          </w:p>
        </w:tc>
        <w:tc>
          <w:tcPr>
            <w:tcW w:w="534"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51"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51"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51"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840"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Counselling (n=11919; 47.2%)</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6376 (53.5%)</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1089 (9.1%)</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930 (7.8%)</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828 (6.9%)</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2696 (22.6%)</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Residential withdrawal (n=1962; 7.8%)</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848 (43.2%)</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169 (8.6%)</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159 (8.1%)</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141 (7.2%)</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645 (32.9%)</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Other withdrawal (n=2582; 10.2%)</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1419 (55.0%)</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215 (8.3%)</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218 (8.4%)</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162 (6.3%)</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568 (22.0%)</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Outreach (n=2368; 9.4%)</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1205 (50.9%)</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230 (9.7%)</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192 (8.1%)</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193 (8.2%)</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548 (23.1%)</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Brokerage (n=3904; 15.5%)</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2066 (52.9%)</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422 (10.8%)</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269 (6.9%)</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350 (9.0%)</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797 (20.4%)</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Aboriginal services (n=733; 2.9%)</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415 (56.6%)</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60 (8.2%)</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40 (5.5%)</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49 (6.7%)</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169 (23.1%)</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Specialist pharmacotherapy (n=401; 1.6%)</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166 (41.4%)</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47 (11.7%)</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37 (9.2%)</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45 (11.2%)</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106 (26.4%)</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Residential rehabilitation (n=176; 0.7%)</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91 (51.7%)</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18 (10.2%)</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17 (9.7%)</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 (6.3%)</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39 (22.2%)</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Pr>
                <w:rFonts w:eastAsia="Times New Roman"/>
                <w:color w:val="000000"/>
                <w:lang w:eastAsia="zh-CN"/>
              </w:rPr>
              <w:t>Supported</w:t>
            </w:r>
            <w:r w:rsidRPr="006F35E1">
              <w:rPr>
                <w:rFonts w:eastAsia="Times New Roman"/>
                <w:color w:val="000000"/>
                <w:lang w:eastAsia="zh-CN"/>
              </w:rPr>
              <w:t xml:space="preserve"> accommodation (n=269; 1.1%)</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129 (48.0%)</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30 (11.2%)</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 (7.1%)</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25 (9.3%)</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66 (24.5%)</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Post withdrawal linkage (n=256; 1.0%)</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158 (61.7%)</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20 (7.8%)</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 (6.3%)</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 (6.3%)</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46 (18.0%)</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Other/unknown (n=659; 2.6%)</w:t>
            </w:r>
          </w:p>
        </w:tc>
        <w:tc>
          <w:tcPr>
            <w:tcW w:w="534"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355 (53.9%)</w:t>
            </w:r>
          </w:p>
        </w:tc>
        <w:tc>
          <w:tcPr>
            <w:tcW w:w="651"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48 (7.3%)</w:t>
            </w:r>
          </w:p>
        </w:tc>
        <w:tc>
          <w:tcPr>
            <w:tcW w:w="651"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61 (9.3%)</w:t>
            </w:r>
          </w:p>
        </w:tc>
        <w:tc>
          <w:tcPr>
            <w:tcW w:w="651"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47 (7.1%)</w:t>
            </w:r>
          </w:p>
        </w:tc>
        <w:tc>
          <w:tcPr>
            <w:tcW w:w="840"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148 (22.5%)</w:t>
            </w:r>
          </w:p>
        </w:tc>
        <w:tc>
          <w:tcPr>
            <w:tcW w:w="255" w:type="pct"/>
            <w:tcBorders>
              <w:top w:val="nil"/>
              <w:left w:val="nil"/>
              <w:bottom w:val="single" w:sz="4" w:space="0" w:color="auto"/>
              <w:right w:val="nil"/>
            </w:tcBorders>
            <w:shd w:val="clear" w:color="auto" w:fill="auto"/>
            <w:noWrap/>
            <w:vAlign w:val="bottom"/>
            <w:hideMark/>
          </w:tcPr>
          <w:p w:rsidR="00CA7A60" w:rsidRPr="006F35E1" w:rsidRDefault="003F3393" w:rsidP="00CA7A60">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Pharmacotherapy treatment</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Methadone (n=2166; 8.6%)</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1068 (49.3%)</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227 (10.5%)</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180 (8.3%)</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156 (7.2%)</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535 (24.7%)</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Buprenorphine (n=711; 2.8%)</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341 (48.0%)</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75 (10.5%)</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46 (6.5%)</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72 (10.1%)</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177 (24.9%)</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Naltrexone (n=327; 1.3%)</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174 (53.2%)</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25 (7.6%)</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20 (6.1%)</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 (4.6%)</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93 (28.4%)</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Other (n=1240; 4.9%)</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640 (51.6%)</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118 (9.5%)</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102 (8.2%)</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80 (6.5%)</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300 (24.2%)</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None (n=20785; 82.4%)</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11005 (52.9%)</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1903 (9.2%)</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1610 (7.7%)</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1544 (7.4%)</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4723 (22.7%)</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0.001</w:t>
            </w:r>
          </w:p>
        </w:tc>
      </w:tr>
      <w:tr w:rsidR="00CA7A60" w:rsidRPr="006F35E1" w:rsidTr="00CA7A60">
        <w:trPr>
          <w:trHeight w:val="300"/>
        </w:trPr>
        <w:tc>
          <w:tcPr>
            <w:tcW w:w="1418"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Treatment termination status</w:t>
            </w:r>
          </w:p>
        </w:tc>
        <w:tc>
          <w:tcPr>
            <w:tcW w:w="534"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51"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51"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51"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840"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55"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Completed treatment (n=18690; 74.1%)</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9873 (52.8%)</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1757 (9.4%)</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1454 (7.8%)</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1430 (7.7%)</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4176 (22.3%)</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Pr>
                <w:rFonts w:eastAsia="Times New Roman"/>
                <w:color w:val="000000"/>
                <w:lang w:eastAsia="zh-CN"/>
              </w:rPr>
              <w:t>Not completed</w:t>
            </w:r>
            <w:r w:rsidRPr="006F35E1">
              <w:rPr>
                <w:rFonts w:eastAsia="Times New Roman"/>
                <w:color w:val="000000"/>
                <w:lang w:eastAsia="zh-CN"/>
              </w:rPr>
              <w:t xml:space="preserve"> (n=6262; 24.8%)</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3214 (51.3%)</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558 (8.9%)</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483 (7.7%)</w:t>
            </w:r>
          </w:p>
        </w:tc>
        <w:tc>
          <w:tcPr>
            <w:tcW w:w="65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420 (6.7%)</w:t>
            </w:r>
          </w:p>
        </w:tc>
        <w:tc>
          <w:tcPr>
            <w:tcW w:w="84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1587 (25.3%)</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8"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Unknown (n=277; 1.1%)</w:t>
            </w:r>
          </w:p>
        </w:tc>
        <w:tc>
          <w:tcPr>
            <w:tcW w:w="534"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141 (50.9%)</w:t>
            </w:r>
          </w:p>
        </w:tc>
        <w:tc>
          <w:tcPr>
            <w:tcW w:w="651"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33 (11.9%)</w:t>
            </w:r>
          </w:p>
        </w:tc>
        <w:tc>
          <w:tcPr>
            <w:tcW w:w="651"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21 (7.6%)</w:t>
            </w:r>
          </w:p>
        </w:tc>
        <w:tc>
          <w:tcPr>
            <w:tcW w:w="651"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17 (6.1%)</w:t>
            </w:r>
          </w:p>
        </w:tc>
        <w:tc>
          <w:tcPr>
            <w:tcW w:w="840"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65 (23.5%)</w:t>
            </w:r>
          </w:p>
        </w:tc>
        <w:tc>
          <w:tcPr>
            <w:tcW w:w="255" w:type="pct"/>
            <w:tcBorders>
              <w:top w:val="nil"/>
              <w:left w:val="nil"/>
              <w:bottom w:val="single" w:sz="12" w:space="0" w:color="auto"/>
              <w:right w:val="nil"/>
            </w:tcBorders>
            <w:shd w:val="clear" w:color="auto" w:fill="auto"/>
            <w:noWrap/>
            <w:vAlign w:val="bottom"/>
            <w:hideMark/>
          </w:tcPr>
          <w:p w:rsidR="00CA7A60" w:rsidRPr="006F35E1" w:rsidRDefault="003F3393" w:rsidP="00CA7A60">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bl>
    <w:p w:rsidR="00CA7A60" w:rsidRDefault="00CA7A60" w:rsidP="00A126E3">
      <w:pPr>
        <w:pStyle w:val="FAREtableheading"/>
        <w:rPr>
          <w:rStyle w:val="SubtleEmphasis"/>
        </w:rPr>
      </w:pPr>
    </w:p>
    <w:p w:rsidR="00CA7A60" w:rsidRDefault="00CA7A60" w:rsidP="00A126E3">
      <w:pPr>
        <w:pStyle w:val="FAREtableheading"/>
        <w:rPr>
          <w:rStyle w:val="SubtleEmphasis"/>
        </w:rPr>
        <w:sectPr w:rsidR="00CA7A60" w:rsidSect="00CA7A60">
          <w:pgSz w:w="16838" w:h="11906" w:orient="landscape"/>
          <w:pgMar w:top="1440" w:right="1440" w:bottom="1440" w:left="1440" w:header="708" w:footer="595" w:gutter="0"/>
          <w:cols w:space="708"/>
          <w:docGrid w:linePitch="360"/>
        </w:sectPr>
      </w:pPr>
    </w:p>
    <w:p w:rsidR="00CA7A60" w:rsidRDefault="00CA7A60" w:rsidP="00A126E3">
      <w:pPr>
        <w:pStyle w:val="FAREtableheading"/>
        <w:rPr>
          <w:color w:val="FF0000"/>
        </w:rPr>
      </w:pPr>
      <w:bookmarkStart w:id="179" w:name="_Ref386796033"/>
      <w:bookmarkStart w:id="180" w:name="_Toc387244629"/>
      <w:bookmarkStart w:id="181" w:name="_Toc398105088"/>
      <w:proofErr w:type="gramStart"/>
      <w:r w:rsidRPr="007B5F43">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5</w:t>
      </w:r>
      <w:r w:rsidR="00BE3D19">
        <w:rPr>
          <w:noProof/>
        </w:rPr>
        <w:fldChar w:fldCharType="end"/>
      </w:r>
      <w:bookmarkEnd w:id="179"/>
      <w:r w:rsidR="00E41BCC">
        <w:rPr>
          <w:noProof/>
        </w:rPr>
        <w:t xml:space="preserve"> </w:t>
      </w:r>
      <w:r w:rsidRPr="007B5F43">
        <w:t xml:space="preserve"> </w:t>
      </w:r>
      <w:r w:rsidR="00727B57">
        <w:t>Treatment</w:t>
      </w:r>
      <w:r>
        <w:t xml:space="preserve"> type and treatment </w:t>
      </w:r>
      <w:r w:rsidRPr="007B5F43">
        <w:t xml:space="preserve">characteristics </w:t>
      </w:r>
      <w:r>
        <w:t>by ED presentations in 2009/10, 2010/11 and 2011/12</w:t>
      </w:r>
      <w:bookmarkEnd w:id="180"/>
      <w:bookmarkEnd w:id="181"/>
    </w:p>
    <w:tbl>
      <w:tblPr>
        <w:tblW w:w="5000" w:type="pct"/>
        <w:tblLook w:val="04A0" w:firstRow="1" w:lastRow="0" w:firstColumn="1" w:lastColumn="0" w:noHBand="0" w:noVBand="1"/>
      </w:tblPr>
      <w:tblGrid>
        <w:gridCol w:w="4504"/>
        <w:gridCol w:w="1579"/>
        <w:gridCol w:w="1579"/>
        <w:gridCol w:w="1580"/>
      </w:tblGrid>
      <w:tr w:rsidR="00CA7A60" w:rsidRPr="00B30EA5" w:rsidTr="00CA7A60">
        <w:trPr>
          <w:trHeight w:val="300"/>
        </w:trPr>
        <w:tc>
          <w:tcPr>
            <w:tcW w:w="2437" w:type="pct"/>
            <w:vMerge w:val="restart"/>
            <w:tcBorders>
              <w:top w:val="single" w:sz="12" w:space="0" w:color="auto"/>
              <w:left w:val="nil"/>
              <w:bottom w:val="single" w:sz="12" w:space="0" w:color="000000"/>
              <w:right w:val="nil"/>
            </w:tcBorders>
            <w:shd w:val="clear" w:color="auto" w:fill="auto"/>
            <w:noWrap/>
            <w:vAlign w:val="bottom"/>
            <w:hideMark/>
          </w:tcPr>
          <w:p w:rsidR="00CA7A60" w:rsidRPr="00B30EA5" w:rsidRDefault="00CA7A60" w:rsidP="00CA7A60">
            <w:pPr>
              <w:spacing w:after="0" w:line="240" w:lineRule="auto"/>
              <w:jc w:val="center"/>
              <w:rPr>
                <w:rFonts w:eastAsia="Times New Roman"/>
                <w:color w:val="000000"/>
                <w:lang w:eastAsia="en-AU"/>
              </w:rPr>
            </w:pPr>
            <w:r w:rsidRPr="00B30EA5">
              <w:rPr>
                <w:rFonts w:eastAsia="Times New Roman"/>
                <w:color w:val="000000"/>
                <w:lang w:eastAsia="en-AU"/>
              </w:rPr>
              <w:t> </w:t>
            </w:r>
          </w:p>
        </w:tc>
        <w:tc>
          <w:tcPr>
            <w:tcW w:w="2563" w:type="pct"/>
            <w:gridSpan w:val="3"/>
            <w:tcBorders>
              <w:top w:val="single" w:sz="12" w:space="0" w:color="auto"/>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xml:space="preserve"> Number of  AOD clients </w:t>
            </w:r>
          </w:p>
        </w:tc>
      </w:tr>
      <w:tr w:rsidR="00CA7A60" w:rsidRPr="00B30EA5" w:rsidTr="00CA7A60">
        <w:trPr>
          <w:trHeight w:val="300"/>
        </w:trPr>
        <w:tc>
          <w:tcPr>
            <w:tcW w:w="2437" w:type="pct"/>
            <w:vMerge/>
            <w:tcBorders>
              <w:top w:val="single" w:sz="12" w:space="0" w:color="auto"/>
              <w:left w:val="nil"/>
              <w:bottom w:val="single" w:sz="12" w:space="0" w:color="000000"/>
              <w:right w:val="nil"/>
            </w:tcBorders>
            <w:vAlign w:val="center"/>
            <w:hideMark/>
          </w:tcPr>
          <w:p w:rsidR="00CA7A60" w:rsidRPr="00B30EA5" w:rsidRDefault="00CA7A60" w:rsidP="00CA7A60">
            <w:pPr>
              <w:spacing w:after="0" w:line="240" w:lineRule="auto"/>
              <w:rPr>
                <w:rFonts w:eastAsia="Times New Roman"/>
                <w:color w:val="000000"/>
                <w:lang w:eastAsia="en-AU"/>
              </w:rPr>
            </w:pPr>
          </w:p>
        </w:tc>
        <w:tc>
          <w:tcPr>
            <w:tcW w:w="854"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09/10 (%)</w:t>
            </w:r>
          </w:p>
        </w:tc>
        <w:tc>
          <w:tcPr>
            <w:tcW w:w="854"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10/11 (%)</w:t>
            </w:r>
          </w:p>
        </w:tc>
        <w:tc>
          <w:tcPr>
            <w:tcW w:w="854"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11/12 (%)</w:t>
            </w:r>
          </w:p>
        </w:tc>
      </w:tr>
      <w:tr w:rsidR="00CA7A60" w:rsidRPr="00B30EA5" w:rsidTr="00CA7A60">
        <w:trPr>
          <w:trHeight w:val="300"/>
        </w:trPr>
        <w:tc>
          <w:tcPr>
            <w:tcW w:w="2437"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Total </w:t>
            </w:r>
            <w:r w:rsidRPr="00941C94">
              <w:rPr>
                <w:rFonts w:eastAsia="Times New Roman"/>
                <w:bCs/>
                <w:color w:val="000000"/>
                <w:sz w:val="24"/>
                <w:szCs w:val="24"/>
                <w:lang w:eastAsia="en-AU"/>
              </w:rPr>
              <w:t>(n=25229)</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6890 (27.3%)</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6742 (26.7%)</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6356 (25.2%)</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727B57" w:rsidP="00CA7A60">
            <w:pPr>
              <w:spacing w:after="0" w:line="240" w:lineRule="auto"/>
              <w:rPr>
                <w:rFonts w:eastAsia="Times New Roman"/>
                <w:b/>
                <w:bCs/>
                <w:color w:val="000000"/>
                <w:sz w:val="24"/>
                <w:szCs w:val="24"/>
                <w:lang w:eastAsia="en-AU"/>
              </w:rPr>
            </w:pPr>
            <w:r>
              <w:rPr>
                <w:rFonts w:eastAsia="Times New Roman"/>
                <w:b/>
                <w:bCs/>
                <w:color w:val="000000"/>
                <w:sz w:val="24"/>
                <w:szCs w:val="24"/>
                <w:lang w:eastAsia="en-AU"/>
              </w:rPr>
              <w:t>Treatment</w:t>
            </w:r>
            <w:r w:rsidR="00CA7A60" w:rsidRPr="00B30EA5">
              <w:rPr>
                <w:rFonts w:eastAsia="Times New Roman"/>
                <w:b/>
                <w:bCs/>
                <w:color w:val="000000"/>
                <w:sz w:val="24"/>
                <w:szCs w:val="24"/>
                <w:lang w:eastAsia="en-AU"/>
              </w:rPr>
              <w:t xml:space="preserve"> type</w:t>
            </w:r>
          </w:p>
        </w:tc>
        <w:tc>
          <w:tcPr>
            <w:tcW w:w="854"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854"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854"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Counselling (n=11919; 47.2%)</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3158 (26.5%)</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3172 (26.6%)</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2878 (24.1%)</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withdrawal (n=1962; 7.8%)</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685 (34.9%)</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705 (35.9%)</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644 (32.8%)</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withdrawal (n=2582; 10.2%)</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655 (25.4%)</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686 (26.6%)</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609 (23.6%)</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Outreach (n=2368; 9.4%)</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658 (27.8%)</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637 (26.9%)</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614 (25.9%)</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Brokerage (n=3904; 15.5%)</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1038 (26.6%)</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887 (22.7%)</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967 (24.8%)</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Aboriginal services (n=733; 2.9%)</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195 (26.6%)</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176 (24.0%)</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188 (25.6%)</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Specialist pharmacotherapy (n=401; 1.6%)</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137 (34.2%)</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122 (30.4%)</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130 (32.4%)</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rehabilitation (n=176; 0.7%)</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49 (27.8%)</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42 (23.9%)</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40 (22.7%)</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Pr>
                <w:rFonts w:eastAsia="Times New Roman"/>
                <w:color w:val="000000"/>
                <w:lang w:eastAsia="en-AU"/>
              </w:rPr>
              <w:t xml:space="preserve">Supported </w:t>
            </w:r>
            <w:r w:rsidRPr="00B30EA5">
              <w:rPr>
                <w:rFonts w:eastAsia="Times New Roman"/>
                <w:color w:val="000000"/>
                <w:lang w:eastAsia="en-AU"/>
              </w:rPr>
              <w:t>accommodation (n=269; 1.1%)</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83 (30.9%)</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74 (27.5%)</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82 (30.5%)</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Post withdrawal linkage (n=256; 1.0%)</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62 (24.2%)</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54 (21.1%)</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 (20.7%)</w:t>
            </w:r>
          </w:p>
        </w:tc>
      </w:tr>
      <w:tr w:rsidR="00CA7A60" w:rsidRPr="00B30EA5" w:rsidTr="00CA7A60">
        <w:trPr>
          <w:trHeight w:val="300"/>
        </w:trPr>
        <w:tc>
          <w:tcPr>
            <w:tcW w:w="2437"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Other/unknown (n=659; 2.6%)</w:t>
            </w:r>
          </w:p>
        </w:tc>
        <w:tc>
          <w:tcPr>
            <w:tcW w:w="854"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170 (25.8%)</w:t>
            </w:r>
          </w:p>
        </w:tc>
        <w:tc>
          <w:tcPr>
            <w:tcW w:w="854"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187 (28.4%)</w:t>
            </w:r>
          </w:p>
        </w:tc>
        <w:tc>
          <w:tcPr>
            <w:tcW w:w="854"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151 (22.9%)</w:t>
            </w:r>
          </w:p>
        </w:tc>
      </w:tr>
      <w:tr w:rsidR="00CA7A60" w:rsidRPr="00B30EA5" w:rsidTr="00CA7A60">
        <w:trPr>
          <w:trHeight w:val="300"/>
        </w:trPr>
        <w:tc>
          <w:tcPr>
            <w:tcW w:w="3291" w:type="pct"/>
            <w:gridSpan w:val="2"/>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Pharmacotherapy treatment</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Methadone (n=2166; 8.6%)</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660 (30.5%)</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603 (27.8%)</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568 (26.2%)</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Buprenorphine (n=711; 2.8%)</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211 (29.7%)</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194 (27.3%)</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201 (28.3%)</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Naltrexone (n=327; 1.3%)</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105 (32.1%)</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101 (30.9%)</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85 (26.0%)</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(n=1240; 4.9%)</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359 (29.0%)</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351 (28.3%)</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303 (24.4%)</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None (n=20785; 82.4%)</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5555 (26.7%)</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5493 (26.4%)</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5199 (25.0%)</w:t>
            </w:r>
          </w:p>
        </w:tc>
      </w:tr>
      <w:tr w:rsidR="00CA7A60" w:rsidRPr="00B30EA5" w:rsidTr="00CA7A60">
        <w:trPr>
          <w:trHeight w:val="300"/>
        </w:trPr>
        <w:tc>
          <w:tcPr>
            <w:tcW w:w="3291" w:type="pct"/>
            <w:gridSpan w:val="2"/>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Treatment termination status</w:t>
            </w:r>
          </w:p>
        </w:tc>
        <w:tc>
          <w:tcPr>
            <w:tcW w:w="854"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854"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Completed treatment (n=18690; 74.1%)</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5000 (26.8%)</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4855 (26.0%)</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4639 (24.8%)</w:t>
            </w:r>
          </w:p>
        </w:tc>
      </w:tr>
      <w:tr w:rsidR="00CA7A60" w:rsidRPr="00B30EA5" w:rsidTr="00CA7A60">
        <w:trPr>
          <w:trHeight w:val="300"/>
        </w:trPr>
        <w:tc>
          <w:tcPr>
            <w:tcW w:w="2437"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Pr>
                <w:rFonts w:eastAsia="Times New Roman"/>
                <w:color w:val="000000"/>
                <w:lang w:eastAsia="en-AU"/>
              </w:rPr>
              <w:t xml:space="preserve">Not completed </w:t>
            </w:r>
            <w:r w:rsidRPr="00B30EA5">
              <w:rPr>
                <w:rFonts w:eastAsia="Times New Roman"/>
                <w:color w:val="000000"/>
                <w:lang w:eastAsia="en-AU"/>
              </w:rPr>
              <w:t>(n=6262; 24.8%)</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1805 (28.8%)</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1817 (29.0%)</w:t>
            </w:r>
          </w:p>
        </w:tc>
        <w:tc>
          <w:tcPr>
            <w:tcW w:w="85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1652 (26.4%)</w:t>
            </w:r>
          </w:p>
        </w:tc>
      </w:tr>
      <w:tr w:rsidR="00CA7A60" w:rsidRPr="00B30EA5" w:rsidTr="00CA7A60">
        <w:trPr>
          <w:trHeight w:val="300"/>
        </w:trPr>
        <w:tc>
          <w:tcPr>
            <w:tcW w:w="2437"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(n=277; 1.1%)</w:t>
            </w:r>
          </w:p>
        </w:tc>
        <w:tc>
          <w:tcPr>
            <w:tcW w:w="854"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85 (30.7%)</w:t>
            </w:r>
          </w:p>
        </w:tc>
        <w:tc>
          <w:tcPr>
            <w:tcW w:w="854"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70 (25.3%)</w:t>
            </w:r>
          </w:p>
        </w:tc>
        <w:tc>
          <w:tcPr>
            <w:tcW w:w="854"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65 (23.5%)</w:t>
            </w:r>
          </w:p>
        </w:tc>
      </w:tr>
    </w:tbl>
    <w:p w:rsidR="00CA7A60" w:rsidRDefault="00CA7A60" w:rsidP="00CA7A60">
      <w:pPr>
        <w:pStyle w:val="FAREnormaltext"/>
        <w:rPr>
          <w:color w:val="FF0000"/>
        </w:rPr>
      </w:pPr>
    </w:p>
    <w:p w:rsidR="00CA7A60" w:rsidRPr="004F519F" w:rsidRDefault="00BE3D19" w:rsidP="00CA7A60">
      <w:pPr>
        <w:pStyle w:val="FAREnormaltext"/>
      </w:pPr>
      <w:r>
        <w:rPr>
          <w:color w:val="FF0000"/>
        </w:rPr>
        <w:fldChar w:fldCharType="begin"/>
      </w:r>
      <w:r w:rsidR="00CA7A60">
        <w:rPr>
          <w:color w:val="FF0000"/>
        </w:rPr>
        <w:instrText xml:space="preserve"> REF _Ref386523788 \h </w:instrText>
      </w:r>
      <w:r>
        <w:rPr>
          <w:color w:val="FF0000"/>
        </w:rPr>
      </w:r>
      <w:r>
        <w:rPr>
          <w:color w:val="FF0000"/>
        </w:rPr>
        <w:fldChar w:fldCharType="separate"/>
      </w:r>
      <w:r w:rsidR="00E150CA">
        <w:t xml:space="preserve">Table </w:t>
      </w:r>
      <w:r w:rsidR="00E150CA">
        <w:rPr>
          <w:noProof/>
        </w:rPr>
        <w:t>4</w:t>
      </w:r>
      <w:r w:rsidR="00E150CA">
        <w:t>.</w:t>
      </w:r>
      <w:r w:rsidR="00E150CA">
        <w:rPr>
          <w:noProof/>
        </w:rPr>
        <w:t>6</w:t>
      </w:r>
      <w:r>
        <w:rPr>
          <w:color w:val="FF0000"/>
        </w:rPr>
        <w:fldChar w:fldCharType="end"/>
      </w:r>
      <w:r w:rsidR="00CA7A60">
        <w:rPr>
          <w:color w:val="FF0000"/>
        </w:rPr>
        <w:t xml:space="preserve"> </w:t>
      </w:r>
      <w:r w:rsidR="00CA7A60">
        <w:t xml:space="preserve">shows that alcohol was most commonly the primary drug of concern (47%), followed by cannabis (22%) and heroin &amp; other opioids (15%). The majority of clients did not attend an ED across </w:t>
      </w:r>
      <w:r w:rsidR="00CA7A60" w:rsidRPr="00F46F3B">
        <w:t>the</w:t>
      </w:r>
      <w:r w:rsidR="00CA7A60">
        <w:t xml:space="preserve"> three years presented. Between 20% and 25% of all primary drug of concern groupings had multiple ED presentations, with multiple ED presentations least common among clients with </w:t>
      </w:r>
      <w:r w:rsidR="00B473EE">
        <w:t>amphetamines</w:t>
      </w:r>
      <w:r w:rsidR="00CA7A60">
        <w:t xml:space="preserve"> and other stimulants as the primary drug of concern.</w:t>
      </w:r>
    </w:p>
    <w:p w:rsidR="00CA7A60" w:rsidRDefault="00CA7A60" w:rsidP="00CA7A60">
      <w:pPr>
        <w:pStyle w:val="FAREnormaltext"/>
      </w:pPr>
      <w:r w:rsidRPr="004F519F">
        <w:t>The most common method of drug use was ingestion (49%), followed by</w:t>
      </w:r>
      <w:r w:rsidR="003F3393">
        <w:t xml:space="preserve"> smoking (20%). Injection</w:t>
      </w:r>
      <w:r>
        <w:t xml:space="preserve"> as route of administration </w:t>
      </w:r>
      <w:r w:rsidRPr="004F519F">
        <w:t>had a slightly higher prevalence of multi</w:t>
      </w:r>
      <w:r>
        <w:t>ple ED presentations compared with</w:t>
      </w:r>
      <w:r w:rsidRPr="004F519F">
        <w:t xml:space="preserve"> smoking and inhaling.</w:t>
      </w:r>
      <w:r>
        <w:t xml:space="preserve"> Those reporting no injecting drug use history accounted for over half of AOD clients. Any injecting drug use history had more ED activity, with the exception of ED presentations in 2011/12 only. Although differences were relatively small, over half (53.8%) of those who had never injected did not present to ED in the three years, and those who had not injected in the past 12 months (5</w:t>
      </w:r>
      <w:r w:rsidR="00727B57">
        <w:t>1</w:t>
      </w:r>
      <w:r>
        <w:t>%) did not present to ED in any year. However, over a quarter of those who reported injecting in the previous year (26</w:t>
      </w:r>
      <w:r w:rsidR="003F3393">
        <w:t>%</w:t>
      </w:r>
      <w:r>
        <w:t>)</w:t>
      </w:r>
      <w:r w:rsidR="00574C59">
        <w:t xml:space="preserve"> had multiple ED presentations </w:t>
      </w:r>
      <w:r>
        <w:t>(</w:t>
      </w:r>
      <w:r w:rsidR="00BE3D19">
        <w:fldChar w:fldCharType="begin"/>
      </w:r>
      <w:r>
        <w:instrText xml:space="preserve"> REF _Ref386523788 </w:instrText>
      </w:r>
      <w:r w:rsidR="00BE3D19">
        <w:fldChar w:fldCharType="separate"/>
      </w:r>
      <w:r w:rsidR="00E150CA">
        <w:t xml:space="preserve">Table </w:t>
      </w:r>
      <w:r w:rsidR="00E150CA">
        <w:rPr>
          <w:noProof/>
        </w:rPr>
        <w:t>4</w:t>
      </w:r>
      <w:r w:rsidR="00E150CA">
        <w:t>.</w:t>
      </w:r>
      <w:r w:rsidR="00E150CA">
        <w:rPr>
          <w:noProof/>
        </w:rPr>
        <w:t>6</w:t>
      </w:r>
      <w:r w:rsidR="00BE3D19">
        <w:rPr>
          <w:noProof/>
        </w:rPr>
        <w:fldChar w:fldCharType="end"/>
      </w:r>
      <w:r>
        <w:t xml:space="preserve">). </w:t>
      </w:r>
    </w:p>
    <w:p w:rsidR="00CA7A60" w:rsidRDefault="00CA7A60" w:rsidP="00CA7A60">
      <w:pPr>
        <w:pStyle w:val="FAREnormaltext"/>
      </w:pPr>
      <w:proofErr w:type="spellStart"/>
      <w:r>
        <w:lastRenderedPageBreak/>
        <w:t>Polydrug</w:t>
      </w:r>
      <w:proofErr w:type="spellEnd"/>
      <w:r>
        <w:t xml:space="preserve"> use was common, being recorded for 43% of AOD clients. There was little difference across ED presentations compared with those reporting no </w:t>
      </w:r>
      <w:proofErr w:type="spellStart"/>
      <w:r>
        <w:t>polydrug</w:t>
      </w:r>
      <w:proofErr w:type="spellEnd"/>
      <w:r>
        <w:t xml:space="preserve"> use. Those with </w:t>
      </w:r>
      <w:proofErr w:type="spellStart"/>
      <w:r>
        <w:t>polydrug</w:t>
      </w:r>
      <w:proofErr w:type="spellEnd"/>
      <w:r>
        <w:t xml:space="preserve"> use had a slightly lower proportion of ED presentations prior to treatment and higher proportion for multiple ED </w:t>
      </w:r>
      <w:proofErr w:type="gramStart"/>
      <w:r>
        <w:t>presentations,</w:t>
      </w:r>
      <w:proofErr w:type="gramEnd"/>
      <w:r>
        <w:t xml:space="preserve"> however the relationship was not statistically significant (</w:t>
      </w:r>
      <w:r w:rsidR="00BE3D19">
        <w:fldChar w:fldCharType="begin"/>
      </w:r>
      <w:r w:rsidR="009F30FB">
        <w:instrText xml:space="preserve"> REF _Ref386523788 </w:instrText>
      </w:r>
      <w:r w:rsidR="00BE3D19">
        <w:fldChar w:fldCharType="separate"/>
      </w:r>
      <w:r w:rsidR="00E150CA">
        <w:t xml:space="preserve">Table </w:t>
      </w:r>
      <w:r w:rsidR="00E150CA">
        <w:rPr>
          <w:noProof/>
        </w:rPr>
        <w:t>4</w:t>
      </w:r>
      <w:r w:rsidR="00E150CA">
        <w:t>.</w:t>
      </w:r>
      <w:r w:rsidR="00E150CA">
        <w:rPr>
          <w:noProof/>
        </w:rPr>
        <w:t>6</w:t>
      </w:r>
      <w:r w:rsidR="00BE3D19">
        <w:rPr>
          <w:noProof/>
        </w:rPr>
        <w:fldChar w:fldCharType="end"/>
      </w:r>
      <w:r>
        <w:t>).</w:t>
      </w:r>
    </w:p>
    <w:p w:rsidR="00CA7A60" w:rsidRDefault="00BE3D19" w:rsidP="00CA7A60">
      <w:pPr>
        <w:pStyle w:val="FAREnormaltext"/>
      </w:pPr>
      <w:r>
        <w:fldChar w:fldCharType="begin"/>
      </w:r>
      <w:r w:rsidR="009F30FB">
        <w:instrText xml:space="preserve"> REF _Ref386798660 </w:instrText>
      </w:r>
      <w:r>
        <w:fldChar w:fldCharType="separate"/>
      </w:r>
      <w:r w:rsidR="00E150CA">
        <w:t xml:space="preserve">Table </w:t>
      </w:r>
      <w:r w:rsidR="00E150CA">
        <w:rPr>
          <w:noProof/>
        </w:rPr>
        <w:t>4</w:t>
      </w:r>
      <w:r w:rsidR="00E150CA">
        <w:t>.</w:t>
      </w:r>
      <w:r w:rsidR="00E150CA">
        <w:rPr>
          <w:noProof/>
        </w:rPr>
        <w:t>7</w:t>
      </w:r>
      <w:r>
        <w:rPr>
          <w:noProof/>
        </w:rPr>
        <w:fldChar w:fldCharType="end"/>
      </w:r>
      <w:r w:rsidR="00CA7A60">
        <w:t xml:space="preserve"> shows these same drug characteristics for AOD clients by ED presentation across the three years – the year prior to treatment, year of treatment, and the year post-treatment. In general, the proportions of pre-AOD treatment ED presentations (2009/10) were higher than the proportions of post-AOD treatment ED presentations (2011/12) with the exception of clients with </w:t>
      </w:r>
      <w:r w:rsidR="00B473EE">
        <w:t>amphetamines</w:t>
      </w:r>
      <w:r w:rsidR="00CA7A60">
        <w:t xml:space="preserve"> and other stimulants as the primary drug of concern (no change), and inhalation as a method of use (no change). </w:t>
      </w:r>
    </w:p>
    <w:p w:rsidR="00CA7A60" w:rsidRDefault="00CA7A60" w:rsidP="00CA7A60">
      <w:pPr>
        <w:pStyle w:val="FAREnormaltext"/>
      </w:pPr>
    </w:p>
    <w:p w:rsidR="00CA7A60" w:rsidRDefault="00CA7A60" w:rsidP="00CA7A60">
      <w:pPr>
        <w:pStyle w:val="FAREnormaltext"/>
        <w:sectPr w:rsidR="00CA7A60" w:rsidSect="00CA7A60">
          <w:pgSz w:w="11906" w:h="16838"/>
          <w:pgMar w:top="1440" w:right="1440" w:bottom="1440" w:left="1440" w:header="708" w:footer="595" w:gutter="0"/>
          <w:cols w:space="708"/>
          <w:docGrid w:linePitch="360"/>
        </w:sectPr>
      </w:pPr>
    </w:p>
    <w:p w:rsidR="00CA7A60" w:rsidRDefault="00CA7A60" w:rsidP="00A126E3">
      <w:pPr>
        <w:pStyle w:val="FAREtableheading"/>
      </w:pPr>
      <w:bookmarkStart w:id="182" w:name="_Ref386523788"/>
      <w:bookmarkStart w:id="183" w:name="_Toc387244630"/>
      <w:bookmarkStart w:id="184" w:name="_Toc398105089"/>
      <w:proofErr w:type="gramStart"/>
      <w:r>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6</w:t>
      </w:r>
      <w:r w:rsidR="00BE3D19">
        <w:rPr>
          <w:noProof/>
        </w:rPr>
        <w:fldChar w:fldCharType="end"/>
      </w:r>
      <w:bookmarkEnd w:id="182"/>
      <w:r w:rsidRPr="00D94FA3">
        <w:t xml:space="preserve"> </w:t>
      </w:r>
      <w:r w:rsidR="00E41BCC">
        <w:t xml:space="preserve"> </w:t>
      </w:r>
      <w:r w:rsidRPr="00D94FA3">
        <w:t>Drug</w:t>
      </w:r>
      <w:r w:rsidR="00727B57">
        <w:t xml:space="preserve"> use</w:t>
      </w:r>
      <w:r w:rsidRPr="00D94FA3">
        <w:t xml:space="preserve"> characteristics </w:t>
      </w:r>
      <w:r>
        <w:t>by ED presentations, 2009/10 to 2011/12</w:t>
      </w:r>
      <w:bookmarkEnd w:id="183"/>
      <w:bookmarkEnd w:id="184"/>
    </w:p>
    <w:tbl>
      <w:tblPr>
        <w:tblW w:w="5000" w:type="pct"/>
        <w:tblLook w:val="04A0" w:firstRow="1" w:lastRow="0" w:firstColumn="1" w:lastColumn="0" w:noHBand="0" w:noVBand="1"/>
      </w:tblPr>
      <w:tblGrid>
        <w:gridCol w:w="4966"/>
        <w:gridCol w:w="1504"/>
        <w:gridCol w:w="1618"/>
        <w:gridCol w:w="1626"/>
        <w:gridCol w:w="1626"/>
        <w:gridCol w:w="2006"/>
        <w:gridCol w:w="828"/>
      </w:tblGrid>
      <w:tr w:rsidR="00CA7A60" w:rsidRPr="006F35E1" w:rsidTr="00CA7A60">
        <w:trPr>
          <w:trHeight w:val="300"/>
        </w:trPr>
        <w:tc>
          <w:tcPr>
            <w:tcW w:w="1758" w:type="pct"/>
            <w:vMerge w:val="restart"/>
            <w:tcBorders>
              <w:top w:val="single" w:sz="12" w:space="0" w:color="auto"/>
              <w:left w:val="nil"/>
              <w:bottom w:val="single" w:sz="12" w:space="0" w:color="000000"/>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 </w:t>
            </w:r>
          </w:p>
        </w:tc>
        <w:tc>
          <w:tcPr>
            <w:tcW w:w="3242" w:type="pct"/>
            <w:gridSpan w:val="6"/>
            <w:tcBorders>
              <w:top w:val="single" w:sz="12" w:space="0" w:color="auto"/>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 xml:space="preserve"> Number of  AOD clients </w:t>
            </w:r>
          </w:p>
        </w:tc>
      </w:tr>
      <w:tr w:rsidR="00CA7A60" w:rsidRPr="006F35E1" w:rsidTr="00CA7A60">
        <w:trPr>
          <w:trHeight w:val="300"/>
        </w:trPr>
        <w:tc>
          <w:tcPr>
            <w:tcW w:w="1758" w:type="pct"/>
            <w:vMerge/>
            <w:tcBorders>
              <w:top w:val="single" w:sz="12" w:space="0" w:color="auto"/>
              <w:left w:val="nil"/>
              <w:bottom w:val="single" w:sz="12" w:space="0" w:color="000000"/>
              <w:right w:val="nil"/>
            </w:tcBorders>
            <w:vAlign w:val="center"/>
            <w:hideMark/>
          </w:tcPr>
          <w:p w:rsidR="00CA7A60" w:rsidRPr="006F35E1" w:rsidRDefault="00CA7A60" w:rsidP="00CA7A60">
            <w:pPr>
              <w:spacing w:after="0" w:line="240" w:lineRule="auto"/>
              <w:rPr>
                <w:rFonts w:eastAsia="Times New Roman"/>
                <w:b/>
                <w:bCs/>
                <w:color w:val="000000"/>
                <w:lang w:eastAsia="zh-CN"/>
              </w:rPr>
            </w:pPr>
          </w:p>
        </w:tc>
        <w:tc>
          <w:tcPr>
            <w:tcW w:w="534"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No ED (%)</w:t>
            </w:r>
          </w:p>
        </w:tc>
        <w:tc>
          <w:tcPr>
            <w:tcW w:w="580"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ED 09/10 only (%)</w:t>
            </w:r>
          </w:p>
        </w:tc>
        <w:tc>
          <w:tcPr>
            <w:tcW w:w="580"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ED 10/11 only (%)</w:t>
            </w:r>
          </w:p>
        </w:tc>
        <w:tc>
          <w:tcPr>
            <w:tcW w:w="580"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ED 11/12 only (%)</w:t>
            </w:r>
          </w:p>
        </w:tc>
        <w:tc>
          <w:tcPr>
            <w:tcW w:w="714"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ED in multiple years (%)</w:t>
            </w:r>
          </w:p>
        </w:tc>
        <w:tc>
          <w:tcPr>
            <w:tcW w:w="255"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p</w:t>
            </w:r>
          </w:p>
        </w:tc>
      </w:tr>
      <w:tr w:rsidR="00CA7A60" w:rsidRPr="006F35E1" w:rsidTr="00CA7A60">
        <w:trPr>
          <w:trHeight w:val="300"/>
        </w:trPr>
        <w:tc>
          <w:tcPr>
            <w:tcW w:w="1758"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 xml:space="preserve">Total </w:t>
            </w:r>
            <w:r w:rsidRPr="00941C94">
              <w:rPr>
                <w:rFonts w:eastAsia="Times New Roman"/>
                <w:bCs/>
                <w:color w:val="000000"/>
                <w:lang w:eastAsia="zh-CN"/>
              </w:rPr>
              <w:t>(n=25229)</w:t>
            </w:r>
          </w:p>
        </w:tc>
        <w:tc>
          <w:tcPr>
            <w:tcW w:w="534"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13228 (52.4%)</w:t>
            </w:r>
          </w:p>
        </w:tc>
        <w:tc>
          <w:tcPr>
            <w:tcW w:w="580"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2348 (9.3%)</w:t>
            </w:r>
          </w:p>
        </w:tc>
        <w:tc>
          <w:tcPr>
            <w:tcW w:w="580"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1958 (7.8%)</w:t>
            </w:r>
          </w:p>
        </w:tc>
        <w:tc>
          <w:tcPr>
            <w:tcW w:w="580"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1867 (7.4%)</w:t>
            </w:r>
          </w:p>
        </w:tc>
        <w:tc>
          <w:tcPr>
            <w:tcW w:w="714"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5828 (23.1%)</w:t>
            </w:r>
          </w:p>
        </w:tc>
        <w:tc>
          <w:tcPr>
            <w:tcW w:w="255"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Primary drug of concern</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Alcohol (n=11912; 47.2%)</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6269 (52.6%)</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1068 (9.0%)</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887 (7.4%)</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866 (7.3%)</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2822 (23.7%)</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Cannabis (n=5663; 22.4%)</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2998 (52.9%)</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542 (9.6%)</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418 (7.4%)</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417 (7.4%)</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1288 (22.7%)</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Heroin &amp; other opioids (n=3863; 15.3%)</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1924 (49.8%)</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390 (10.1%)</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329 (8.5%)</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295 (7.6%)</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925 (23.9%)</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Amphetamine &amp; other stimulants (n=2198; 8.7%)</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1154 (52.5%)</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223 (10.1%)</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196 (8.9%)</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190 (8.6%)</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435 (19.8%)</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Benzodiazepines &amp; other tranquillisers (n=522; 2.1%)</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291 (55.7%)</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37 (7.1%)</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43 (8.2%)</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30 (5.7%)</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121 (23.2%)</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Other (n=730; 2.9%)</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403 (55.2%)</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59 (8.1%)</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55 (7.5%)</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48 (6.6%)</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165 (22.6%)</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Unknown (n=341; 1.4%)</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189 (55.4%)</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29 (8.5%)</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30 (8.8%)</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21 (6.2%)</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72 (21.1%)</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0.001</w:t>
            </w:r>
          </w:p>
        </w:tc>
      </w:tr>
      <w:tr w:rsidR="00CA7A60" w:rsidRPr="006F35E1" w:rsidTr="00CA7A60">
        <w:trPr>
          <w:trHeight w:val="300"/>
        </w:trPr>
        <w:tc>
          <w:tcPr>
            <w:tcW w:w="1758"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 xml:space="preserve">Method of use </w:t>
            </w:r>
          </w:p>
        </w:tc>
        <w:tc>
          <w:tcPr>
            <w:tcW w:w="534"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80"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80"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80"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714"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55"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Ingest (n=12461; 49.4%)</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6559 (52.6%)</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1123 (9.0%)</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946 (7.6%)</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898 (7.2%)</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2935 (23.6%)</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Smoke (n=5103; 20.2%)</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2728 (53.5%)</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493 (9.7%)</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393 (7.7%)</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386 (7.6%)</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1103 (21.6%)</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Inject (n=3632; 14.4%)</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1793 (49.4%)</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380 (10.5%)</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317 (8.7%)</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264 (7.3%)</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878 (24.2%)</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Sniff/inhale (n=1340; 5.3%)</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718 (53.6%)</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110 (8.2%)</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99 (7.4%)</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116 (8.7%)</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297 (22.2%)</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Other/unknown (n=2693; 10.7%)</w:t>
            </w:r>
          </w:p>
        </w:tc>
        <w:tc>
          <w:tcPr>
            <w:tcW w:w="534"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1430 (53.1%)</w:t>
            </w:r>
          </w:p>
        </w:tc>
        <w:tc>
          <w:tcPr>
            <w:tcW w:w="580"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242 (9.0%)</w:t>
            </w:r>
          </w:p>
        </w:tc>
        <w:tc>
          <w:tcPr>
            <w:tcW w:w="580"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203 (7.5%)</w:t>
            </w:r>
          </w:p>
        </w:tc>
        <w:tc>
          <w:tcPr>
            <w:tcW w:w="580"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203 (7.5%)</w:t>
            </w:r>
          </w:p>
        </w:tc>
        <w:tc>
          <w:tcPr>
            <w:tcW w:w="714"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615 (22.8%)</w:t>
            </w:r>
          </w:p>
        </w:tc>
        <w:tc>
          <w:tcPr>
            <w:tcW w:w="255"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0.004</w:t>
            </w: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Poly-drug use</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Yes (n=10899; 43.2%)</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5604 (51.4%)</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1024 (9.4%)</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833 (7.6%)</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824 (7.6%)</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2614 (24.0%)</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No (n=9939; 39.4%)</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5291 (53.2%)</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926 (9.3%)</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794 (8.0%)</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711 (7.2%)</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2217 (22.3%)</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Unknown (n=4391; 17.4%)</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2333 (53.1%)</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398 (9.1%)</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331 (7.5%)</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332 (7.6%)</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997 (22.7%)</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0.101</w:t>
            </w:r>
          </w:p>
        </w:tc>
      </w:tr>
      <w:tr w:rsidR="00CA7A60" w:rsidRPr="006F35E1" w:rsidTr="00CA7A60">
        <w:trPr>
          <w:trHeight w:val="300"/>
        </w:trPr>
        <w:tc>
          <w:tcPr>
            <w:tcW w:w="1758"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Injecting drug use history</w:t>
            </w:r>
          </w:p>
        </w:tc>
        <w:tc>
          <w:tcPr>
            <w:tcW w:w="534"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80"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80"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80"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714"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55"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Never injected (n=12767; 50.6%)</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6870 (53.8%)</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1174 (9.2%)</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980 (7.7%)</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982 (7.7%)</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2761 (21.6%)</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 xml:space="preserve">Within past 12 </w:t>
            </w:r>
            <w:proofErr w:type="gramStart"/>
            <w:r w:rsidRPr="006F35E1">
              <w:rPr>
                <w:rFonts w:eastAsia="Times New Roman"/>
                <w:color w:val="000000"/>
                <w:lang w:eastAsia="zh-CN"/>
              </w:rPr>
              <w:t>months  (</w:t>
            </w:r>
            <w:proofErr w:type="gramEnd"/>
            <w:r w:rsidRPr="006F35E1">
              <w:rPr>
                <w:rFonts w:eastAsia="Times New Roman"/>
                <w:color w:val="000000"/>
                <w:lang w:eastAsia="zh-CN"/>
              </w:rPr>
              <w:t>n=5135; 20.4%)</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2471 (48.1%)</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513 (10.0%)</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429 (8.4%)</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378 (7.4%)</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1344 (26.2%)</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Over 12 months ago (n=2664; 10.6%)</w:t>
            </w:r>
          </w:p>
        </w:tc>
        <w:tc>
          <w:tcPr>
            <w:tcW w:w="53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1355 (50.9%)</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264 (9.9%)</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207 (7.8%)</w:t>
            </w:r>
          </w:p>
        </w:tc>
        <w:tc>
          <w:tcPr>
            <w:tcW w:w="580"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206 (7.7%)</w:t>
            </w:r>
          </w:p>
        </w:tc>
        <w:tc>
          <w:tcPr>
            <w:tcW w:w="714"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632 (23.7%)</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758"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Unknown (n=4663; 18.5%)</w:t>
            </w:r>
          </w:p>
        </w:tc>
        <w:tc>
          <w:tcPr>
            <w:tcW w:w="534"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2532 (54.3%)</w:t>
            </w:r>
          </w:p>
        </w:tc>
        <w:tc>
          <w:tcPr>
            <w:tcW w:w="580"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397 (8.5%)</w:t>
            </w:r>
          </w:p>
        </w:tc>
        <w:tc>
          <w:tcPr>
            <w:tcW w:w="580"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342 (7.3%)</w:t>
            </w:r>
          </w:p>
        </w:tc>
        <w:tc>
          <w:tcPr>
            <w:tcW w:w="580"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301 (6.5%)</w:t>
            </w:r>
          </w:p>
        </w:tc>
        <w:tc>
          <w:tcPr>
            <w:tcW w:w="714"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1091 (23.4%)</w:t>
            </w:r>
          </w:p>
        </w:tc>
        <w:tc>
          <w:tcPr>
            <w:tcW w:w="255" w:type="pct"/>
            <w:tcBorders>
              <w:top w:val="nil"/>
              <w:left w:val="nil"/>
              <w:bottom w:val="single" w:sz="12" w:space="0" w:color="auto"/>
              <w:right w:val="nil"/>
            </w:tcBorders>
            <w:shd w:val="clear" w:color="auto" w:fill="auto"/>
            <w:noWrap/>
            <w:vAlign w:val="bottom"/>
            <w:hideMark/>
          </w:tcPr>
          <w:p w:rsidR="00CA7A60" w:rsidRPr="006F35E1" w:rsidRDefault="003F3393" w:rsidP="00CA7A60">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bl>
    <w:p w:rsidR="00CA7A60" w:rsidRDefault="00CA7A60" w:rsidP="00A126E3">
      <w:pPr>
        <w:pStyle w:val="FAREtableheading"/>
      </w:pPr>
    </w:p>
    <w:p w:rsidR="00CA7A60" w:rsidRDefault="00CA7A60" w:rsidP="00A126E3">
      <w:pPr>
        <w:pStyle w:val="FAREtableheading"/>
        <w:sectPr w:rsidR="00CA7A60" w:rsidSect="00CA7A60">
          <w:pgSz w:w="16838" w:h="11906" w:orient="landscape"/>
          <w:pgMar w:top="1440" w:right="1440" w:bottom="1440" w:left="1440" w:header="708" w:footer="595" w:gutter="0"/>
          <w:cols w:space="708"/>
          <w:docGrid w:linePitch="360"/>
        </w:sectPr>
      </w:pPr>
    </w:p>
    <w:p w:rsidR="00CA7A60" w:rsidRDefault="00CA7A60" w:rsidP="00A126E3">
      <w:pPr>
        <w:pStyle w:val="FAREtableheading"/>
      </w:pPr>
      <w:bookmarkStart w:id="185" w:name="_Ref386798660"/>
      <w:bookmarkStart w:id="186" w:name="_Toc387244631"/>
      <w:bookmarkStart w:id="187" w:name="_Toc398105090"/>
      <w:proofErr w:type="gramStart"/>
      <w:r>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7</w:t>
      </w:r>
      <w:r w:rsidR="00BE3D19">
        <w:rPr>
          <w:noProof/>
        </w:rPr>
        <w:fldChar w:fldCharType="end"/>
      </w:r>
      <w:bookmarkEnd w:id="185"/>
      <w:r w:rsidR="00E41BCC">
        <w:rPr>
          <w:noProof/>
        </w:rPr>
        <w:t xml:space="preserve"> </w:t>
      </w:r>
      <w:r w:rsidRPr="00D94FA3">
        <w:t xml:space="preserve"> Drug </w:t>
      </w:r>
      <w:r w:rsidR="00727B57">
        <w:t xml:space="preserve">use </w:t>
      </w:r>
      <w:r w:rsidRPr="00D94FA3">
        <w:t>cha</w:t>
      </w:r>
      <w:r>
        <w:t>racteristics by ED presentations in 2009/10, 2010/11 and 2011/12</w:t>
      </w:r>
      <w:bookmarkEnd w:id="186"/>
      <w:bookmarkEnd w:id="187"/>
    </w:p>
    <w:tbl>
      <w:tblPr>
        <w:tblW w:w="5000" w:type="pct"/>
        <w:tblLook w:val="04A0" w:firstRow="1" w:lastRow="0" w:firstColumn="1" w:lastColumn="0" w:noHBand="0" w:noVBand="1"/>
      </w:tblPr>
      <w:tblGrid>
        <w:gridCol w:w="5002"/>
        <w:gridCol w:w="1414"/>
        <w:gridCol w:w="1414"/>
        <w:gridCol w:w="1412"/>
      </w:tblGrid>
      <w:tr w:rsidR="00CA7A60" w:rsidRPr="00B30EA5" w:rsidTr="00CA7A60">
        <w:trPr>
          <w:trHeight w:val="300"/>
        </w:trPr>
        <w:tc>
          <w:tcPr>
            <w:tcW w:w="2706" w:type="pct"/>
            <w:vMerge w:val="restart"/>
            <w:tcBorders>
              <w:top w:val="single" w:sz="12" w:space="0" w:color="auto"/>
              <w:left w:val="nil"/>
              <w:bottom w:val="single" w:sz="12" w:space="0" w:color="000000"/>
              <w:right w:val="nil"/>
            </w:tcBorders>
            <w:shd w:val="clear" w:color="auto" w:fill="auto"/>
            <w:noWrap/>
            <w:vAlign w:val="bottom"/>
            <w:hideMark/>
          </w:tcPr>
          <w:p w:rsidR="00CA7A60" w:rsidRPr="00B30EA5" w:rsidRDefault="00CA7A60" w:rsidP="00CA7A60">
            <w:pPr>
              <w:spacing w:after="0" w:line="240" w:lineRule="auto"/>
              <w:jc w:val="center"/>
              <w:rPr>
                <w:rFonts w:eastAsia="Times New Roman"/>
                <w:color w:val="000000"/>
                <w:lang w:eastAsia="en-AU"/>
              </w:rPr>
            </w:pPr>
            <w:r w:rsidRPr="00B30EA5">
              <w:rPr>
                <w:rFonts w:eastAsia="Times New Roman"/>
                <w:color w:val="000000"/>
                <w:lang w:eastAsia="en-AU"/>
              </w:rPr>
              <w:t> </w:t>
            </w:r>
          </w:p>
        </w:tc>
        <w:tc>
          <w:tcPr>
            <w:tcW w:w="2294" w:type="pct"/>
            <w:gridSpan w:val="3"/>
            <w:tcBorders>
              <w:top w:val="single" w:sz="12" w:space="0" w:color="auto"/>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xml:space="preserve"> Number of  AOD clients </w:t>
            </w:r>
          </w:p>
        </w:tc>
      </w:tr>
      <w:tr w:rsidR="00CA7A60" w:rsidRPr="00B30EA5" w:rsidTr="00CA7A60">
        <w:trPr>
          <w:trHeight w:val="300"/>
        </w:trPr>
        <w:tc>
          <w:tcPr>
            <w:tcW w:w="2706" w:type="pct"/>
            <w:vMerge/>
            <w:tcBorders>
              <w:top w:val="single" w:sz="12" w:space="0" w:color="auto"/>
              <w:left w:val="nil"/>
              <w:bottom w:val="single" w:sz="12" w:space="0" w:color="000000"/>
              <w:right w:val="nil"/>
            </w:tcBorders>
            <w:vAlign w:val="center"/>
            <w:hideMark/>
          </w:tcPr>
          <w:p w:rsidR="00CA7A60" w:rsidRPr="00B30EA5" w:rsidRDefault="00CA7A60" w:rsidP="00CA7A60">
            <w:pPr>
              <w:spacing w:after="0" w:line="240" w:lineRule="auto"/>
              <w:rPr>
                <w:rFonts w:eastAsia="Times New Roman"/>
                <w:color w:val="000000"/>
                <w:lang w:eastAsia="en-AU"/>
              </w:rPr>
            </w:pP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09/10 (%)</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10/11 (%)</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11/12 (%)</w:t>
            </w:r>
          </w:p>
        </w:tc>
      </w:tr>
      <w:tr w:rsidR="00CA7A60" w:rsidRPr="00B30EA5" w:rsidTr="00CA7A60">
        <w:trPr>
          <w:trHeight w:val="300"/>
        </w:trPr>
        <w:tc>
          <w:tcPr>
            <w:tcW w:w="270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Total </w:t>
            </w:r>
            <w:r w:rsidRPr="00941C94">
              <w:rPr>
                <w:rFonts w:eastAsia="Times New Roman"/>
                <w:bCs/>
                <w:color w:val="000000"/>
                <w:sz w:val="24"/>
                <w:szCs w:val="24"/>
                <w:lang w:eastAsia="en-AU"/>
              </w:rPr>
              <w:t>(n=25229)</w:t>
            </w:r>
          </w:p>
        </w:tc>
        <w:tc>
          <w:tcPr>
            <w:tcW w:w="765"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6890 (27.3%)</w:t>
            </w:r>
          </w:p>
        </w:tc>
        <w:tc>
          <w:tcPr>
            <w:tcW w:w="765"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6742 (26.7%)</w:t>
            </w:r>
          </w:p>
        </w:tc>
        <w:tc>
          <w:tcPr>
            <w:tcW w:w="765"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6356 (25.2%)</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Primary drug of concern</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Alcohol (n=11912; 47.2%)</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3288 (27.6%)</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3222 (27.0%)</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3066 (25.7%)</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Cannabis (n=5663; 22.4%)</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1533 (27.1%)</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1461 (25.8%)</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1397 (24.7%)</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Heroin &amp; other opioids (n=3863; 15.3%)</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1131 (29.3%)</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1077 (27.9%)</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996 (25.8%)</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Amphetamine &amp; other stimulants (n=2198; 8.7%)</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536 (24.4%)</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548 (24.9%)</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528 (24.0%)</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Benzodiazepines &amp; other tranquillisers (n=522; 2.1%)</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130 (24.9%)</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147 (28.2%)</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119 (22.8%)</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(n=730; 2.9%)</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193 (26.4%)</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194 (26.6%)</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175 (24.0%)</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(n=341; 1.4%)</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79 (23.2%)</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93 (27.3%)</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75 (22.0%)</w:t>
            </w:r>
          </w:p>
        </w:tc>
      </w:tr>
      <w:tr w:rsidR="00CA7A60" w:rsidRPr="00B30EA5" w:rsidTr="00CA7A60">
        <w:trPr>
          <w:trHeight w:val="300"/>
        </w:trPr>
        <w:tc>
          <w:tcPr>
            <w:tcW w:w="270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Method of use </w:t>
            </w:r>
          </w:p>
        </w:tc>
        <w:tc>
          <w:tcPr>
            <w:tcW w:w="765"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65"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65"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Ingest (n=12461; 49.4%)</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3432 (27.5%)</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3386 (27.2%)</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3175 (25.5%)</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Smoke (n=5103; 20.2%)</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1330 (26.1%)</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1299 (25.5%)</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1239 (24.3%)</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Inject (n=3632; 14.4%)</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1079 (29.7%)</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1016 (28.0%)</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933 (25.7%)</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Sniff/inhale (n=1340; 5.3%)</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338 (25.2%)</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341 (25.4%)</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336 (25.1%)</w:t>
            </w:r>
          </w:p>
        </w:tc>
      </w:tr>
      <w:tr w:rsidR="00CA7A60" w:rsidRPr="00B30EA5" w:rsidTr="00CA7A60">
        <w:trPr>
          <w:trHeight w:val="300"/>
        </w:trPr>
        <w:tc>
          <w:tcPr>
            <w:tcW w:w="2706"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Other/unknown (n=2693; 10.7%)</w:t>
            </w:r>
          </w:p>
        </w:tc>
        <w:tc>
          <w:tcPr>
            <w:tcW w:w="765"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711 (26.4%)</w:t>
            </w:r>
          </w:p>
        </w:tc>
        <w:tc>
          <w:tcPr>
            <w:tcW w:w="765"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700 (26.0%)</w:t>
            </w:r>
          </w:p>
        </w:tc>
        <w:tc>
          <w:tcPr>
            <w:tcW w:w="765"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673 (25.0%)</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Poly-drug use</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Yes (n=10899; 43.2%)</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3071 (28.2%)</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2968 (27.2%)</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2853 (26.2%)</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 (n=9939; 39.4%)</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2662 (26.8%)</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2640 (26.6%)</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2398 (24.1%)</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(n=4391; 17.4%)</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1157 (26.3%)</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1134 (25.8%)</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1105 (25.2%)</w:t>
            </w:r>
          </w:p>
        </w:tc>
      </w:tr>
      <w:tr w:rsidR="00CA7A60" w:rsidRPr="00B30EA5" w:rsidTr="00CA7A60">
        <w:trPr>
          <w:trHeight w:val="300"/>
        </w:trPr>
        <w:tc>
          <w:tcPr>
            <w:tcW w:w="2706"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Injecting drug use history</w:t>
            </w:r>
          </w:p>
        </w:tc>
        <w:tc>
          <w:tcPr>
            <w:tcW w:w="765"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65"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65"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Never injected (n=12767; 50.6%)</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3309 (25.9%)</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3256 (25.5%)</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3100 (24.3%)</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Pr>
                <w:rFonts w:eastAsia="Times New Roman"/>
                <w:color w:val="000000"/>
                <w:lang w:eastAsia="en-AU"/>
              </w:rPr>
              <w:t>Within past 12 months</w:t>
            </w:r>
            <w:r w:rsidRPr="00B30EA5">
              <w:rPr>
                <w:rFonts w:eastAsia="Times New Roman"/>
                <w:color w:val="000000"/>
                <w:lang w:eastAsia="en-AU"/>
              </w:rPr>
              <w:t xml:space="preserve"> (n=5135; 20.4%)</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1588 (30.9%)</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1516 (29.5%)</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1409 (27.4%)</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Over 12 months ago (n=2664; 10.6%)</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743 (27.9%)</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728 (27.3%)</w:t>
            </w:r>
          </w:p>
        </w:tc>
        <w:tc>
          <w:tcPr>
            <w:tcW w:w="76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710 (26.7%)</w:t>
            </w:r>
          </w:p>
        </w:tc>
      </w:tr>
      <w:tr w:rsidR="00CA7A60" w:rsidRPr="00B30EA5" w:rsidTr="00CA7A60">
        <w:trPr>
          <w:trHeight w:val="300"/>
        </w:trPr>
        <w:tc>
          <w:tcPr>
            <w:tcW w:w="2706"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(n=4663; 18.5%)</w:t>
            </w:r>
          </w:p>
        </w:tc>
        <w:tc>
          <w:tcPr>
            <w:tcW w:w="765"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1250 (26.8%)</w:t>
            </w:r>
          </w:p>
        </w:tc>
        <w:tc>
          <w:tcPr>
            <w:tcW w:w="765"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1242 (26.6%)</w:t>
            </w:r>
          </w:p>
        </w:tc>
        <w:tc>
          <w:tcPr>
            <w:tcW w:w="765"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1137 (24.4%)</w:t>
            </w:r>
          </w:p>
        </w:tc>
      </w:tr>
    </w:tbl>
    <w:p w:rsidR="00CA7A60" w:rsidRDefault="00CA7A60" w:rsidP="00CA7A60">
      <w:pPr>
        <w:pStyle w:val="FAREnormaltext"/>
      </w:pPr>
    </w:p>
    <w:p w:rsidR="00CA7A60" w:rsidRDefault="008A3260" w:rsidP="00CA7A60">
      <w:pPr>
        <w:pStyle w:val="FAREnormaltext"/>
      </w:pPr>
      <w:r>
        <w:fldChar w:fldCharType="begin"/>
      </w:r>
      <w:r>
        <w:instrText xml:space="preserve"> REF _Ref386640374  \* MERGEFORMAT </w:instrText>
      </w:r>
      <w:r>
        <w:fldChar w:fldCharType="separate"/>
      </w:r>
      <w:r w:rsidR="00E150CA">
        <w:t xml:space="preserve">Table </w:t>
      </w:r>
      <w:r w:rsidR="00E150CA">
        <w:rPr>
          <w:noProof/>
        </w:rPr>
        <w:t>4.8</w:t>
      </w:r>
      <w:r>
        <w:rPr>
          <w:noProof/>
        </w:rPr>
        <w:fldChar w:fldCharType="end"/>
      </w:r>
      <w:r w:rsidR="00CA7A60" w:rsidRPr="00776A31">
        <w:rPr>
          <w:iCs/>
          <w:lang w:val="en-AU"/>
        </w:rPr>
        <w:t xml:space="preserve"> </w:t>
      </w:r>
      <w:r w:rsidR="00CA7A60" w:rsidRPr="00776A31">
        <w:t xml:space="preserve">shows </w:t>
      </w:r>
      <w:r w:rsidR="00CA7A60">
        <w:t xml:space="preserve">the overall median number of ED presentations and length of ED stay for AOD clients by year. There was no change over time, with one presentation pre- and post-treatment. Refer to </w:t>
      </w:r>
      <w:r w:rsidR="00574C59">
        <w:t>Table 3.1</w:t>
      </w:r>
      <w:r w:rsidR="00574C59">
        <w:rPr>
          <w:noProof/>
        </w:rPr>
        <w:t xml:space="preserve"> </w:t>
      </w:r>
      <w:r w:rsidR="00CA7A60">
        <w:t xml:space="preserve">to </w:t>
      </w:r>
      <w:r w:rsidR="00574C59">
        <w:t>Table 3.7</w:t>
      </w:r>
      <w:r w:rsidR="00CA7A60">
        <w:rPr>
          <w:noProof/>
        </w:rPr>
        <w:t xml:space="preserve"> in the Appendix </w:t>
      </w:r>
      <w:r w:rsidR="00574C59">
        <w:rPr>
          <w:noProof/>
        </w:rPr>
        <w:t>3.2</w:t>
      </w:r>
      <w:r w:rsidR="00CA7A60">
        <w:t xml:space="preserve"> for supplementary tables for breakdowns for client characteristics, service type and drug characteristics. </w:t>
      </w:r>
    </w:p>
    <w:p w:rsidR="00CA7A60" w:rsidRDefault="00CA7A60" w:rsidP="00A126E3">
      <w:pPr>
        <w:pStyle w:val="FAREtableheading"/>
      </w:pPr>
      <w:bookmarkStart w:id="188" w:name="_Ref386640374"/>
      <w:bookmarkStart w:id="189" w:name="_Toc387244632"/>
      <w:bookmarkStart w:id="190" w:name="_Toc398105091"/>
      <w:proofErr w:type="gramStart"/>
      <w:r>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instrText xml:space="preserve"> SEQ Table \* ARABIC \s 1 </w:instrText>
      </w:r>
      <w:r w:rsidR="00BE3D19">
        <w:fldChar w:fldCharType="separate"/>
      </w:r>
      <w:r w:rsidR="00E150CA">
        <w:rPr>
          <w:noProof/>
        </w:rPr>
        <w:t>8</w:t>
      </w:r>
      <w:r w:rsidR="00BE3D19">
        <w:rPr>
          <w:noProof/>
        </w:rPr>
        <w:fldChar w:fldCharType="end"/>
      </w:r>
      <w:bookmarkEnd w:id="188"/>
      <w:r w:rsidR="00E41BCC">
        <w:rPr>
          <w:noProof/>
        </w:rPr>
        <w:t xml:space="preserve"> </w:t>
      </w:r>
      <w:r w:rsidRPr="00D94FA3">
        <w:t xml:space="preserve"> </w:t>
      </w:r>
      <w:r>
        <w:t>Median number of ED presentations and median hours of ED stay for 2010/11 AOD clients, 2009/10 to 2011/12</w:t>
      </w:r>
      <w:bookmarkEnd w:id="189"/>
      <w:bookmarkEnd w:id="190"/>
    </w:p>
    <w:tbl>
      <w:tblPr>
        <w:tblW w:w="0" w:type="auto"/>
        <w:tblInd w:w="-34" w:type="dxa"/>
        <w:tblLook w:val="04A0" w:firstRow="1" w:lastRow="0" w:firstColumn="1" w:lastColumn="0" w:noHBand="0" w:noVBand="1"/>
      </w:tblPr>
      <w:tblGrid>
        <w:gridCol w:w="4395"/>
        <w:gridCol w:w="1573"/>
        <w:gridCol w:w="1654"/>
        <w:gridCol w:w="1654"/>
      </w:tblGrid>
      <w:tr w:rsidR="00CA7A60" w:rsidRPr="00B263E2" w:rsidTr="00CA7A60">
        <w:trPr>
          <w:trHeight w:val="615"/>
          <w:tblHeader/>
        </w:trPr>
        <w:tc>
          <w:tcPr>
            <w:tcW w:w="4395" w:type="dxa"/>
            <w:tcBorders>
              <w:top w:val="single" w:sz="12" w:space="0" w:color="auto"/>
              <w:left w:val="nil"/>
              <w:bottom w:val="single" w:sz="12" w:space="0" w:color="auto"/>
              <w:right w:val="nil"/>
            </w:tcBorders>
            <w:shd w:val="clear" w:color="auto" w:fill="auto"/>
            <w:noWrap/>
            <w:vAlign w:val="bottom"/>
            <w:hideMark/>
          </w:tcPr>
          <w:p w:rsidR="00CA7A60" w:rsidRPr="00B263E2" w:rsidRDefault="00CA7A60" w:rsidP="00CA7A60">
            <w:pPr>
              <w:spacing w:after="0" w:line="240" w:lineRule="auto"/>
              <w:rPr>
                <w:rFonts w:eastAsia="Times New Roman"/>
                <w:b/>
                <w:bCs/>
                <w:color w:val="000000"/>
                <w:lang w:eastAsia="en-AU"/>
              </w:rPr>
            </w:pPr>
            <w:r w:rsidRPr="00B263E2">
              <w:rPr>
                <w:rFonts w:eastAsia="Times New Roman"/>
                <w:b/>
                <w:bCs/>
                <w:color w:val="000000"/>
                <w:lang w:eastAsia="en-AU"/>
              </w:rPr>
              <w:t> </w:t>
            </w:r>
          </w:p>
        </w:tc>
        <w:tc>
          <w:tcPr>
            <w:tcW w:w="1573" w:type="dxa"/>
            <w:tcBorders>
              <w:top w:val="single" w:sz="12" w:space="0" w:color="auto"/>
              <w:left w:val="nil"/>
              <w:bottom w:val="single" w:sz="12" w:space="0" w:color="auto"/>
              <w:right w:val="nil"/>
            </w:tcBorders>
            <w:shd w:val="clear" w:color="auto" w:fill="auto"/>
            <w:vAlign w:val="bottom"/>
            <w:hideMark/>
          </w:tcPr>
          <w:p w:rsidR="00CA7A60" w:rsidRPr="00B263E2" w:rsidRDefault="00CA7A60" w:rsidP="00CA7A60">
            <w:pPr>
              <w:spacing w:after="0" w:line="240" w:lineRule="auto"/>
              <w:jc w:val="right"/>
              <w:rPr>
                <w:rFonts w:eastAsia="Times New Roman"/>
                <w:b/>
                <w:bCs/>
                <w:color w:val="000000"/>
                <w:lang w:eastAsia="en-AU"/>
              </w:rPr>
            </w:pPr>
            <w:r w:rsidRPr="00B263E2">
              <w:rPr>
                <w:rFonts w:eastAsia="Times New Roman"/>
                <w:b/>
                <w:bCs/>
                <w:color w:val="000000"/>
                <w:lang w:eastAsia="en-AU"/>
              </w:rPr>
              <w:t xml:space="preserve"> ED 09/10 (N=6890)</w:t>
            </w:r>
          </w:p>
        </w:tc>
        <w:tc>
          <w:tcPr>
            <w:tcW w:w="0" w:type="auto"/>
            <w:tcBorders>
              <w:top w:val="single" w:sz="12" w:space="0" w:color="auto"/>
              <w:left w:val="nil"/>
              <w:bottom w:val="single" w:sz="12" w:space="0" w:color="auto"/>
              <w:right w:val="nil"/>
            </w:tcBorders>
            <w:shd w:val="clear" w:color="auto" w:fill="auto"/>
            <w:vAlign w:val="bottom"/>
            <w:hideMark/>
          </w:tcPr>
          <w:p w:rsidR="00CA7A60" w:rsidRPr="00B263E2" w:rsidRDefault="00CA7A60" w:rsidP="00CA7A60">
            <w:pPr>
              <w:spacing w:after="0" w:line="240" w:lineRule="auto"/>
              <w:jc w:val="right"/>
              <w:rPr>
                <w:rFonts w:eastAsia="Times New Roman"/>
                <w:b/>
                <w:bCs/>
                <w:color w:val="000000"/>
                <w:lang w:eastAsia="en-AU"/>
              </w:rPr>
            </w:pPr>
            <w:r w:rsidRPr="00B263E2">
              <w:rPr>
                <w:rFonts w:eastAsia="Times New Roman"/>
                <w:b/>
                <w:bCs/>
                <w:color w:val="000000"/>
                <w:lang w:eastAsia="en-AU"/>
              </w:rPr>
              <w:t xml:space="preserve"> ED 10/11 (N=6742)</w:t>
            </w:r>
          </w:p>
        </w:tc>
        <w:tc>
          <w:tcPr>
            <w:tcW w:w="0" w:type="auto"/>
            <w:tcBorders>
              <w:top w:val="single" w:sz="12" w:space="0" w:color="auto"/>
              <w:left w:val="nil"/>
              <w:bottom w:val="single" w:sz="12" w:space="0" w:color="auto"/>
              <w:right w:val="nil"/>
            </w:tcBorders>
            <w:shd w:val="clear" w:color="auto" w:fill="auto"/>
            <w:vAlign w:val="bottom"/>
            <w:hideMark/>
          </w:tcPr>
          <w:p w:rsidR="00CA7A60" w:rsidRPr="00B263E2" w:rsidRDefault="00CA7A60" w:rsidP="00CA7A60">
            <w:pPr>
              <w:spacing w:after="0" w:line="240" w:lineRule="auto"/>
              <w:jc w:val="right"/>
              <w:rPr>
                <w:rFonts w:eastAsia="Times New Roman"/>
                <w:b/>
                <w:bCs/>
                <w:color w:val="000000"/>
                <w:lang w:eastAsia="en-AU"/>
              </w:rPr>
            </w:pPr>
            <w:r w:rsidRPr="00B263E2">
              <w:rPr>
                <w:rFonts w:eastAsia="Times New Roman"/>
                <w:b/>
                <w:bCs/>
                <w:color w:val="000000"/>
                <w:lang w:eastAsia="en-AU"/>
              </w:rPr>
              <w:t xml:space="preserve"> ED 11/12 (N=6356)</w:t>
            </w:r>
          </w:p>
        </w:tc>
      </w:tr>
      <w:tr w:rsidR="00CA7A60" w:rsidRPr="00B263E2" w:rsidTr="00CA7A60">
        <w:trPr>
          <w:trHeight w:val="585"/>
        </w:trPr>
        <w:tc>
          <w:tcPr>
            <w:tcW w:w="4395" w:type="dxa"/>
            <w:tcBorders>
              <w:top w:val="nil"/>
              <w:left w:val="nil"/>
              <w:bottom w:val="nil"/>
              <w:right w:val="nil"/>
            </w:tcBorders>
            <w:shd w:val="clear" w:color="auto" w:fill="auto"/>
            <w:vAlign w:val="center"/>
            <w:hideMark/>
          </w:tcPr>
          <w:p w:rsidR="00CA7A60" w:rsidRPr="0059221B" w:rsidRDefault="00CA7A60" w:rsidP="00CA7A60">
            <w:pPr>
              <w:spacing w:after="0" w:line="240" w:lineRule="auto"/>
              <w:rPr>
                <w:rFonts w:eastAsia="Times New Roman"/>
                <w:color w:val="000000"/>
                <w:lang w:eastAsia="en-AU"/>
              </w:rPr>
            </w:pPr>
            <w:r w:rsidRPr="0059221B">
              <w:rPr>
                <w:rFonts w:eastAsia="Times New Roman"/>
                <w:color w:val="000000"/>
                <w:lang w:eastAsia="en-AU"/>
              </w:rPr>
              <w:t xml:space="preserve">Median number of </w:t>
            </w:r>
            <w:r>
              <w:rPr>
                <w:rFonts w:eastAsia="Times New Roman"/>
                <w:color w:val="000000"/>
                <w:lang w:eastAsia="en-AU"/>
              </w:rPr>
              <w:t>ED presentations</w:t>
            </w:r>
            <w:r w:rsidRPr="0059221B">
              <w:rPr>
                <w:rFonts w:eastAsia="Times New Roman"/>
                <w:color w:val="000000"/>
                <w:lang w:eastAsia="en-AU"/>
              </w:rPr>
              <w:t xml:space="preserve"> (interquartile range)</w:t>
            </w:r>
          </w:p>
        </w:tc>
        <w:tc>
          <w:tcPr>
            <w:tcW w:w="1573" w:type="dxa"/>
            <w:tcBorders>
              <w:top w:val="nil"/>
              <w:left w:val="nil"/>
              <w:bottom w:val="nil"/>
              <w:right w:val="nil"/>
            </w:tcBorders>
            <w:shd w:val="clear" w:color="auto" w:fill="auto"/>
            <w:noWrap/>
            <w:vAlign w:val="center"/>
            <w:hideMark/>
          </w:tcPr>
          <w:p w:rsidR="00CA7A60" w:rsidRPr="00B263E2" w:rsidRDefault="00CA7A60" w:rsidP="00CA7A60">
            <w:pPr>
              <w:spacing w:after="0" w:line="240" w:lineRule="auto"/>
              <w:jc w:val="right"/>
              <w:rPr>
                <w:rFonts w:eastAsia="Times New Roman"/>
                <w:color w:val="000000"/>
                <w:lang w:eastAsia="en-AU"/>
              </w:rPr>
            </w:pPr>
            <w:r w:rsidRPr="00B263E2">
              <w:rPr>
                <w:rFonts w:eastAsia="Times New Roman"/>
                <w:color w:val="000000"/>
                <w:lang w:eastAsia="en-AU"/>
              </w:rPr>
              <w:t>1</w:t>
            </w:r>
            <w:r>
              <w:rPr>
                <w:rFonts w:eastAsia="Times New Roman"/>
                <w:color w:val="000000"/>
                <w:lang w:eastAsia="en-AU"/>
              </w:rPr>
              <w:t xml:space="preserve"> </w:t>
            </w:r>
            <w:r w:rsidRPr="00B263E2">
              <w:rPr>
                <w:rFonts w:eastAsia="Times New Roman"/>
                <w:color w:val="000000"/>
                <w:lang w:eastAsia="en-AU"/>
              </w:rPr>
              <w:t>(1,3)</w:t>
            </w:r>
          </w:p>
        </w:tc>
        <w:tc>
          <w:tcPr>
            <w:tcW w:w="0" w:type="auto"/>
            <w:tcBorders>
              <w:top w:val="nil"/>
              <w:left w:val="nil"/>
              <w:bottom w:val="nil"/>
              <w:right w:val="nil"/>
            </w:tcBorders>
            <w:shd w:val="clear" w:color="auto" w:fill="auto"/>
            <w:noWrap/>
            <w:vAlign w:val="center"/>
            <w:hideMark/>
          </w:tcPr>
          <w:p w:rsidR="00CA7A60" w:rsidRPr="00B263E2" w:rsidRDefault="00CA7A60" w:rsidP="00CA7A60">
            <w:pPr>
              <w:spacing w:after="0" w:line="240" w:lineRule="auto"/>
              <w:jc w:val="right"/>
              <w:rPr>
                <w:rFonts w:eastAsia="Times New Roman"/>
                <w:color w:val="000000"/>
                <w:lang w:eastAsia="en-AU"/>
              </w:rPr>
            </w:pPr>
            <w:r w:rsidRPr="00B263E2">
              <w:rPr>
                <w:rFonts w:eastAsia="Times New Roman"/>
                <w:color w:val="000000"/>
                <w:lang w:eastAsia="en-AU"/>
              </w:rPr>
              <w:t>2</w:t>
            </w:r>
            <w:r>
              <w:rPr>
                <w:rFonts w:eastAsia="Times New Roman"/>
                <w:color w:val="000000"/>
                <w:lang w:eastAsia="en-AU"/>
              </w:rPr>
              <w:t xml:space="preserve"> </w:t>
            </w:r>
            <w:r w:rsidRPr="00B263E2">
              <w:rPr>
                <w:rFonts w:eastAsia="Times New Roman"/>
                <w:color w:val="000000"/>
                <w:lang w:eastAsia="en-AU"/>
              </w:rPr>
              <w:t>(1,3)</w:t>
            </w:r>
          </w:p>
        </w:tc>
        <w:tc>
          <w:tcPr>
            <w:tcW w:w="0" w:type="auto"/>
            <w:tcBorders>
              <w:top w:val="nil"/>
              <w:left w:val="nil"/>
              <w:bottom w:val="nil"/>
              <w:right w:val="nil"/>
            </w:tcBorders>
            <w:shd w:val="clear" w:color="auto" w:fill="auto"/>
            <w:noWrap/>
            <w:vAlign w:val="center"/>
            <w:hideMark/>
          </w:tcPr>
          <w:p w:rsidR="00CA7A60" w:rsidRPr="00B263E2" w:rsidRDefault="00CA7A60" w:rsidP="00CA7A60">
            <w:pPr>
              <w:spacing w:after="0" w:line="240" w:lineRule="auto"/>
              <w:jc w:val="right"/>
              <w:rPr>
                <w:rFonts w:eastAsia="Times New Roman"/>
                <w:color w:val="000000"/>
                <w:lang w:eastAsia="en-AU"/>
              </w:rPr>
            </w:pPr>
            <w:r w:rsidRPr="00B263E2">
              <w:rPr>
                <w:rFonts w:eastAsia="Times New Roman"/>
                <w:color w:val="000000"/>
                <w:lang w:eastAsia="en-AU"/>
              </w:rPr>
              <w:t>1</w:t>
            </w:r>
            <w:r>
              <w:rPr>
                <w:rFonts w:eastAsia="Times New Roman"/>
                <w:color w:val="000000"/>
                <w:lang w:eastAsia="en-AU"/>
              </w:rPr>
              <w:t xml:space="preserve"> </w:t>
            </w:r>
            <w:r w:rsidRPr="00B263E2">
              <w:rPr>
                <w:rFonts w:eastAsia="Times New Roman"/>
                <w:color w:val="000000"/>
                <w:lang w:eastAsia="en-AU"/>
              </w:rPr>
              <w:t>(1,3)</w:t>
            </w:r>
          </w:p>
        </w:tc>
      </w:tr>
      <w:tr w:rsidR="00CA7A60" w:rsidRPr="00B263E2" w:rsidTr="00CA7A60">
        <w:trPr>
          <w:trHeight w:val="585"/>
        </w:trPr>
        <w:tc>
          <w:tcPr>
            <w:tcW w:w="4395" w:type="dxa"/>
            <w:tcBorders>
              <w:top w:val="nil"/>
              <w:left w:val="nil"/>
              <w:bottom w:val="single" w:sz="12" w:space="0" w:color="auto"/>
              <w:right w:val="nil"/>
            </w:tcBorders>
            <w:shd w:val="clear" w:color="auto" w:fill="auto"/>
            <w:vAlign w:val="center"/>
            <w:hideMark/>
          </w:tcPr>
          <w:p w:rsidR="00CA7A60" w:rsidRDefault="00CA7A60" w:rsidP="00CA7A60">
            <w:pPr>
              <w:spacing w:after="0" w:line="240" w:lineRule="auto"/>
              <w:rPr>
                <w:rFonts w:eastAsia="Times New Roman"/>
                <w:color w:val="000000"/>
                <w:lang w:eastAsia="en-AU"/>
              </w:rPr>
            </w:pPr>
            <w:r w:rsidRPr="0059221B">
              <w:rPr>
                <w:rFonts w:eastAsia="Times New Roman"/>
                <w:color w:val="000000"/>
                <w:lang w:eastAsia="en-AU"/>
              </w:rPr>
              <w:t xml:space="preserve">Median hours of ED stay </w:t>
            </w:r>
          </w:p>
          <w:p w:rsidR="00CA7A60" w:rsidRPr="0059221B" w:rsidRDefault="00CA7A60" w:rsidP="00CA7A60">
            <w:pPr>
              <w:spacing w:after="0" w:line="240" w:lineRule="auto"/>
              <w:rPr>
                <w:rFonts w:eastAsia="Times New Roman"/>
                <w:color w:val="000000"/>
                <w:lang w:eastAsia="en-AU"/>
              </w:rPr>
            </w:pPr>
            <w:r w:rsidRPr="0059221B">
              <w:rPr>
                <w:rFonts w:eastAsia="Times New Roman"/>
                <w:color w:val="000000"/>
                <w:lang w:eastAsia="en-AU"/>
              </w:rPr>
              <w:t>(interquartile range)</w:t>
            </w:r>
          </w:p>
        </w:tc>
        <w:tc>
          <w:tcPr>
            <w:tcW w:w="1573" w:type="dxa"/>
            <w:tcBorders>
              <w:top w:val="nil"/>
              <w:left w:val="nil"/>
              <w:bottom w:val="single" w:sz="12" w:space="0" w:color="auto"/>
              <w:right w:val="nil"/>
            </w:tcBorders>
            <w:shd w:val="clear" w:color="auto" w:fill="auto"/>
            <w:noWrap/>
            <w:vAlign w:val="center"/>
            <w:hideMark/>
          </w:tcPr>
          <w:p w:rsidR="00CA7A60" w:rsidRPr="00B263E2" w:rsidRDefault="00CA7A60" w:rsidP="00CA7A60">
            <w:pPr>
              <w:spacing w:after="0" w:line="240" w:lineRule="auto"/>
              <w:jc w:val="right"/>
              <w:rPr>
                <w:rFonts w:eastAsia="Times New Roman"/>
                <w:color w:val="000000"/>
                <w:lang w:eastAsia="en-AU"/>
              </w:rPr>
            </w:pPr>
            <w:r w:rsidRPr="00B263E2">
              <w:rPr>
                <w:rFonts w:eastAsia="Times New Roman"/>
                <w:color w:val="000000"/>
                <w:lang w:eastAsia="en-AU"/>
              </w:rPr>
              <w:t>3.2</w:t>
            </w:r>
            <w:r>
              <w:rPr>
                <w:rFonts w:eastAsia="Times New Roman"/>
                <w:color w:val="000000"/>
                <w:lang w:eastAsia="en-AU"/>
              </w:rPr>
              <w:t xml:space="preserve"> </w:t>
            </w:r>
            <w:r w:rsidRPr="00B263E2">
              <w:rPr>
                <w:rFonts w:eastAsia="Times New Roman"/>
                <w:color w:val="000000"/>
                <w:lang w:eastAsia="en-AU"/>
              </w:rPr>
              <w:t>(2.0, 5.2)</w:t>
            </w:r>
          </w:p>
        </w:tc>
        <w:tc>
          <w:tcPr>
            <w:tcW w:w="0" w:type="auto"/>
            <w:tcBorders>
              <w:top w:val="nil"/>
              <w:left w:val="nil"/>
              <w:bottom w:val="single" w:sz="12" w:space="0" w:color="auto"/>
              <w:right w:val="nil"/>
            </w:tcBorders>
            <w:shd w:val="clear" w:color="auto" w:fill="auto"/>
            <w:noWrap/>
            <w:vAlign w:val="center"/>
            <w:hideMark/>
          </w:tcPr>
          <w:p w:rsidR="00CA7A60" w:rsidRPr="00B263E2" w:rsidRDefault="00CA7A60" w:rsidP="00CA7A60">
            <w:pPr>
              <w:spacing w:after="0" w:line="240" w:lineRule="auto"/>
              <w:jc w:val="right"/>
              <w:rPr>
                <w:rFonts w:eastAsia="Times New Roman"/>
                <w:color w:val="000000"/>
                <w:lang w:eastAsia="en-AU"/>
              </w:rPr>
            </w:pPr>
            <w:r w:rsidRPr="00B263E2">
              <w:rPr>
                <w:rFonts w:eastAsia="Times New Roman"/>
                <w:color w:val="000000"/>
                <w:lang w:eastAsia="en-AU"/>
              </w:rPr>
              <w:t>3.4</w:t>
            </w:r>
            <w:r>
              <w:rPr>
                <w:rFonts w:eastAsia="Times New Roman"/>
                <w:color w:val="000000"/>
                <w:lang w:eastAsia="en-AU"/>
              </w:rPr>
              <w:t xml:space="preserve"> </w:t>
            </w:r>
            <w:r w:rsidRPr="00B263E2">
              <w:rPr>
                <w:rFonts w:eastAsia="Times New Roman"/>
                <w:color w:val="000000"/>
                <w:lang w:eastAsia="en-AU"/>
              </w:rPr>
              <w:t>(2.0, 5.5)</w:t>
            </w:r>
          </w:p>
        </w:tc>
        <w:tc>
          <w:tcPr>
            <w:tcW w:w="0" w:type="auto"/>
            <w:tcBorders>
              <w:top w:val="nil"/>
              <w:left w:val="nil"/>
              <w:bottom w:val="single" w:sz="12" w:space="0" w:color="auto"/>
              <w:right w:val="nil"/>
            </w:tcBorders>
            <w:shd w:val="clear" w:color="auto" w:fill="auto"/>
            <w:noWrap/>
            <w:vAlign w:val="center"/>
            <w:hideMark/>
          </w:tcPr>
          <w:p w:rsidR="00CA7A60" w:rsidRPr="00B263E2" w:rsidRDefault="00CA7A60" w:rsidP="00CA7A60">
            <w:pPr>
              <w:spacing w:after="0" w:line="240" w:lineRule="auto"/>
              <w:jc w:val="right"/>
              <w:rPr>
                <w:rFonts w:eastAsia="Times New Roman"/>
                <w:color w:val="000000"/>
                <w:lang w:eastAsia="en-AU"/>
              </w:rPr>
            </w:pPr>
            <w:r w:rsidRPr="00B263E2">
              <w:rPr>
                <w:rFonts w:eastAsia="Times New Roman"/>
                <w:color w:val="000000"/>
                <w:lang w:eastAsia="en-AU"/>
              </w:rPr>
              <w:t>3.4</w:t>
            </w:r>
            <w:r>
              <w:rPr>
                <w:rFonts w:eastAsia="Times New Roman"/>
                <w:color w:val="000000"/>
                <w:lang w:eastAsia="en-AU"/>
              </w:rPr>
              <w:t xml:space="preserve"> </w:t>
            </w:r>
            <w:r w:rsidRPr="00B263E2">
              <w:rPr>
                <w:rFonts w:eastAsia="Times New Roman"/>
                <w:color w:val="000000"/>
                <w:lang w:eastAsia="en-AU"/>
              </w:rPr>
              <w:t>(2.1, 5.3)</w:t>
            </w:r>
          </w:p>
        </w:tc>
      </w:tr>
    </w:tbl>
    <w:p w:rsidR="00CA7A60" w:rsidRDefault="00CA7A60" w:rsidP="00CA7A60">
      <w:pPr>
        <w:pStyle w:val="FAREnormaltext"/>
      </w:pPr>
    </w:p>
    <w:p w:rsidR="00CA7A60" w:rsidRPr="00B30EA5" w:rsidRDefault="00BE3D19" w:rsidP="00CA7A60">
      <w:pPr>
        <w:pStyle w:val="FAREnormaltext"/>
      </w:pPr>
      <w:r>
        <w:lastRenderedPageBreak/>
        <w:fldChar w:fldCharType="begin"/>
      </w:r>
      <w:r w:rsidR="009F30FB">
        <w:instrText xml:space="preserve"> REF _Ref386641998 </w:instrText>
      </w:r>
      <w:r>
        <w:fldChar w:fldCharType="separate"/>
      </w:r>
      <w:r w:rsidR="00E150CA">
        <w:t xml:space="preserve">Table </w:t>
      </w:r>
      <w:r w:rsidR="00E150CA">
        <w:rPr>
          <w:noProof/>
        </w:rPr>
        <w:t>4</w:t>
      </w:r>
      <w:r w:rsidR="00E150CA">
        <w:t>.</w:t>
      </w:r>
      <w:r w:rsidR="00E150CA">
        <w:rPr>
          <w:noProof/>
        </w:rPr>
        <w:t>9</w:t>
      </w:r>
      <w:r>
        <w:rPr>
          <w:noProof/>
        </w:rPr>
        <w:fldChar w:fldCharType="end"/>
      </w:r>
      <w:r w:rsidR="00CA7A60">
        <w:t xml:space="preserve"> shows the proportions of AOD clients diagnosed in the ED with an acute alcohol-related presentation by treatment characteristic and primary drug of concern. Overall, there was a decrease in the proportion of clients who presented to ED with an acute alcohol-related condition between the year prior to AOD treatment and the year following AOD treatment. While there was a decrease in acute alcohol-related ED presentations for clients who had completed their AOD treatment episode at the time of treatment termination, there was no reduction in such presentations for clients whose AOD treatment was not successfully completed at termination of treatment.</w:t>
      </w:r>
    </w:p>
    <w:p w:rsidR="00CA7A60" w:rsidRDefault="00CA7A60" w:rsidP="00A126E3">
      <w:pPr>
        <w:pStyle w:val="FAREtableheading"/>
      </w:pPr>
      <w:bookmarkStart w:id="191" w:name="_Ref386641998"/>
      <w:bookmarkStart w:id="192" w:name="_Toc387244633"/>
      <w:bookmarkStart w:id="193" w:name="_Toc398105092"/>
      <w:proofErr w:type="gramStart"/>
      <w:r>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9</w:t>
      </w:r>
      <w:r w:rsidR="00BE3D19">
        <w:rPr>
          <w:noProof/>
        </w:rPr>
        <w:fldChar w:fldCharType="end"/>
      </w:r>
      <w:bookmarkEnd w:id="191"/>
      <w:r>
        <w:t xml:space="preserve"> </w:t>
      </w:r>
      <w:r w:rsidR="00E41BCC">
        <w:t xml:space="preserve"> </w:t>
      </w:r>
      <w:r>
        <w:t xml:space="preserve">ED presentations for alcohol-related acute conditions by AOD </w:t>
      </w:r>
      <w:r w:rsidR="00727B57">
        <w:t>treatment</w:t>
      </w:r>
      <w:r>
        <w:t xml:space="preserve"> type, primary drug of concern and treatment termination status, 2009/10, 2010/11 and 2011/12</w:t>
      </w:r>
      <w:bookmarkEnd w:id="192"/>
      <w:bookmarkEnd w:id="193"/>
    </w:p>
    <w:tbl>
      <w:tblPr>
        <w:tblW w:w="5000" w:type="pct"/>
        <w:tblLook w:val="04A0" w:firstRow="1" w:lastRow="0" w:firstColumn="1" w:lastColumn="0" w:noHBand="0" w:noVBand="1"/>
      </w:tblPr>
      <w:tblGrid>
        <w:gridCol w:w="5002"/>
        <w:gridCol w:w="1414"/>
        <w:gridCol w:w="1414"/>
        <w:gridCol w:w="1412"/>
      </w:tblGrid>
      <w:tr w:rsidR="00CA7A60" w:rsidRPr="00B30EA5" w:rsidTr="00CA7A60">
        <w:trPr>
          <w:trHeight w:val="300"/>
        </w:trPr>
        <w:tc>
          <w:tcPr>
            <w:tcW w:w="2706" w:type="pct"/>
            <w:vMerge w:val="restart"/>
            <w:tcBorders>
              <w:top w:val="single" w:sz="12" w:space="0" w:color="auto"/>
              <w:left w:val="nil"/>
              <w:bottom w:val="nil"/>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w:t>
            </w:r>
          </w:p>
        </w:tc>
        <w:tc>
          <w:tcPr>
            <w:tcW w:w="2294" w:type="pct"/>
            <w:gridSpan w:val="3"/>
            <w:tcBorders>
              <w:top w:val="single" w:sz="12" w:space="0" w:color="auto"/>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Alcohol-related acute conditions</w:t>
            </w:r>
          </w:p>
        </w:tc>
      </w:tr>
      <w:tr w:rsidR="00CA7A60" w:rsidRPr="00B30EA5" w:rsidTr="00CA7A60">
        <w:trPr>
          <w:trHeight w:val="300"/>
        </w:trPr>
        <w:tc>
          <w:tcPr>
            <w:tcW w:w="2706" w:type="pct"/>
            <w:vMerge/>
            <w:tcBorders>
              <w:top w:val="single" w:sz="12" w:space="0" w:color="auto"/>
              <w:left w:val="nil"/>
              <w:bottom w:val="nil"/>
              <w:right w:val="nil"/>
            </w:tcBorders>
            <w:vAlign w:val="center"/>
            <w:hideMark/>
          </w:tcPr>
          <w:p w:rsidR="00CA7A60" w:rsidRPr="00B30EA5" w:rsidRDefault="00CA7A60" w:rsidP="00CA7A60">
            <w:pPr>
              <w:spacing w:after="0" w:line="240" w:lineRule="auto"/>
              <w:rPr>
                <w:rFonts w:eastAsia="Times New Roman"/>
                <w:b/>
                <w:bCs/>
                <w:color w:val="000000"/>
                <w:lang w:eastAsia="en-AU"/>
              </w:rPr>
            </w:pP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09/10 (%)</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10/11 (%)</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11/12 (%)</w:t>
            </w:r>
          </w:p>
        </w:tc>
      </w:tr>
      <w:tr w:rsidR="00CA7A60" w:rsidRPr="00B30EA5" w:rsidTr="00CA7A60">
        <w:trPr>
          <w:trHeight w:val="300"/>
        </w:trPr>
        <w:tc>
          <w:tcPr>
            <w:tcW w:w="2706" w:type="pct"/>
            <w:tcBorders>
              <w:top w:val="single" w:sz="12" w:space="0" w:color="auto"/>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Total </w:t>
            </w:r>
            <w:r w:rsidRPr="00941C94">
              <w:rPr>
                <w:rFonts w:eastAsia="Times New Roman"/>
                <w:bCs/>
                <w:color w:val="000000"/>
                <w:sz w:val="24"/>
                <w:szCs w:val="24"/>
                <w:lang w:eastAsia="en-AU"/>
              </w:rPr>
              <w:t>(n=25229)</w:t>
            </w:r>
          </w:p>
        </w:tc>
        <w:tc>
          <w:tcPr>
            <w:tcW w:w="765"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518 (2.1%)</w:t>
            </w:r>
          </w:p>
        </w:tc>
        <w:tc>
          <w:tcPr>
            <w:tcW w:w="765"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604 (2.4%)</w:t>
            </w:r>
          </w:p>
        </w:tc>
        <w:tc>
          <w:tcPr>
            <w:tcW w:w="765"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470 (1.9%)</w:t>
            </w:r>
          </w:p>
        </w:tc>
      </w:tr>
      <w:tr w:rsidR="00CA7A60" w:rsidRPr="00B30EA5" w:rsidTr="00CA7A60">
        <w:trPr>
          <w:trHeight w:val="300"/>
        </w:trPr>
        <w:tc>
          <w:tcPr>
            <w:tcW w:w="2706" w:type="pct"/>
            <w:tcBorders>
              <w:top w:val="nil"/>
              <w:left w:val="nil"/>
              <w:bottom w:val="nil"/>
              <w:right w:val="nil"/>
            </w:tcBorders>
            <w:shd w:val="clear" w:color="auto" w:fill="auto"/>
            <w:noWrap/>
            <w:vAlign w:val="center"/>
            <w:hideMark/>
          </w:tcPr>
          <w:p w:rsidR="00CA7A60" w:rsidRPr="00B30EA5" w:rsidRDefault="00727B57" w:rsidP="00CA7A60">
            <w:pPr>
              <w:spacing w:after="0" w:line="240" w:lineRule="auto"/>
              <w:rPr>
                <w:rFonts w:eastAsia="Times New Roman"/>
                <w:b/>
                <w:bCs/>
                <w:color w:val="000000"/>
                <w:sz w:val="24"/>
                <w:szCs w:val="24"/>
                <w:lang w:eastAsia="en-AU"/>
              </w:rPr>
            </w:pPr>
            <w:r>
              <w:rPr>
                <w:rFonts w:eastAsia="Times New Roman"/>
                <w:b/>
                <w:bCs/>
                <w:color w:val="000000"/>
                <w:sz w:val="24"/>
                <w:szCs w:val="24"/>
                <w:lang w:eastAsia="en-AU"/>
              </w:rPr>
              <w:t>Treatment</w:t>
            </w:r>
            <w:r w:rsidR="00CA7A60" w:rsidRPr="00B30EA5">
              <w:rPr>
                <w:rFonts w:eastAsia="Times New Roman"/>
                <w:b/>
                <w:bCs/>
                <w:color w:val="000000"/>
                <w:sz w:val="24"/>
                <w:szCs w:val="24"/>
                <w:lang w:eastAsia="en-AU"/>
              </w:rPr>
              <w:t xml:space="preserve"> type</w:t>
            </w:r>
          </w:p>
        </w:tc>
        <w:tc>
          <w:tcPr>
            <w:tcW w:w="76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Counselling (n=11919; 47.2%)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213 (1.8%)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244 (2.0%)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200 (1.7%)</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withdrawal (n=1962; 7.8%)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116 (5.9%)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143 (7.3%)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95 (4.8%)</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withdrawal (n=2582; 10.2%)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47 (1.8%)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80 (3.1%)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64 (2.5%)</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Outreach (n=2368; 9.4%)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39 (1.6%)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38 (1.6%)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23 (1.0%)</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Brokerage (n=3904; 15.5%)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 (1.4%)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44 (1.1%)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42 (1.1%)</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Aboriginal services (n=733; 2.9%)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 (1.2%)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 (1.9%)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 (1.1%)</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Specialist pharmacotherapy (n=401; 1.6%)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(1.2%)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rehabilitation (n=176; 0.7%)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(2.8%)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 (3.4%)</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Supported accommodation (n=269; 1.1%)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 (2.2%)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 (3.0%)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 (2.2%)</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Post withdrawal linkage (n=256; 1.0%)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 (3.5%)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 (3.9%)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 (3.5%)</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Other/unknown (n=659; 2.6%)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18 (2.7%)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 (2.4%)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 (2.0%)</w:t>
            </w:r>
          </w:p>
        </w:tc>
      </w:tr>
      <w:tr w:rsidR="00CA7A60" w:rsidRPr="00B30EA5" w:rsidTr="00CA7A60">
        <w:trPr>
          <w:trHeight w:val="300"/>
        </w:trPr>
        <w:tc>
          <w:tcPr>
            <w:tcW w:w="4235" w:type="pct"/>
            <w:gridSpan w:val="3"/>
            <w:tcBorders>
              <w:top w:val="single" w:sz="4" w:space="0" w:color="auto"/>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Treatment termination status</w:t>
            </w:r>
          </w:p>
        </w:tc>
        <w:tc>
          <w:tcPr>
            <w:tcW w:w="765" w:type="pct"/>
            <w:tcBorders>
              <w:top w:val="single" w:sz="4" w:space="0" w:color="auto"/>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Completed treatment (n=18690; 74.1%)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374 (2.0%)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444 (2.4%)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334 (1.8%)</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Not completed (n=6262; 24.8%)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134 (2.1%)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158 (2.5%)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132 (2.1%)</w:t>
            </w:r>
          </w:p>
        </w:tc>
      </w:tr>
      <w:tr w:rsidR="00CA7A60" w:rsidRPr="00B30EA5" w:rsidTr="00CA7A60">
        <w:trPr>
          <w:trHeight w:val="300"/>
        </w:trPr>
        <w:tc>
          <w:tcPr>
            <w:tcW w:w="2706"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(n=277; 1.1%)</w:t>
            </w:r>
          </w:p>
        </w:tc>
        <w:tc>
          <w:tcPr>
            <w:tcW w:w="76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 (3.6%)</w:t>
            </w:r>
          </w:p>
        </w:tc>
        <w:tc>
          <w:tcPr>
            <w:tcW w:w="76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6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r w:rsidR="00CA7A60" w:rsidRPr="00B30EA5" w:rsidTr="00CA7A60">
        <w:trPr>
          <w:trHeight w:val="300"/>
        </w:trPr>
        <w:tc>
          <w:tcPr>
            <w:tcW w:w="2706"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Primary drug of concern</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Alcohol (n=11912; 47.2%)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412 (3.5%)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502 (4.2%)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392 (3.3%)</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Cannabis (n=5663; 22.4%)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 (0.9%)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51 (0.9%)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 (0.6%)</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Heroin &amp; other opioids (n=3863; 15.3%)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24 (0.6%)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24 (0.6%)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20 (0.5%)</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Amphetamine &amp; other stimulants (n=2198; 8.7%)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18 (0.8%)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 (0.5%)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 (0.4%)</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Benzodiazepines &amp; other tranquillisers (n=522; 2.1%)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 (1.7%)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 (1.1%)</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(n=730; 2.9%)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 (0.8%)</w:t>
            </w:r>
          </w:p>
        </w:tc>
      </w:tr>
      <w:tr w:rsidR="00CA7A60" w:rsidRPr="00B30EA5" w:rsidTr="00CA7A60">
        <w:trPr>
          <w:trHeight w:val="300"/>
        </w:trPr>
        <w:tc>
          <w:tcPr>
            <w:tcW w:w="2706"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(n=341; 1.4%)</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(1.5%)</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bl>
    <w:p w:rsidR="00CA7A60" w:rsidRDefault="00CA7A60" w:rsidP="00A126E3">
      <w:pPr>
        <w:pStyle w:val="FAREtableheading"/>
      </w:pPr>
    </w:p>
    <w:p w:rsidR="00CA7A60" w:rsidRDefault="00CA7A60" w:rsidP="00CA7A60">
      <w:pPr>
        <w:pStyle w:val="FAREnormaltext"/>
      </w:pPr>
      <w:r>
        <w:t>Overall, there was a decrease in the proportion of other drug-related acute presentations to ED for AOD clients in the year following treatment engagement when compared with ED presentations in the year preceding treatment engagement (</w:t>
      </w:r>
      <w:r w:rsidR="00BE3D19">
        <w:fldChar w:fldCharType="begin"/>
      </w:r>
      <w:r>
        <w:instrText xml:space="preserve"> REF _Ref387151790 \h </w:instrText>
      </w:r>
      <w:r w:rsidR="00BE3D19">
        <w:fldChar w:fldCharType="separate"/>
      </w:r>
      <w:r w:rsidR="00E150CA">
        <w:t xml:space="preserve">Table </w:t>
      </w:r>
      <w:r w:rsidR="00E150CA">
        <w:rPr>
          <w:noProof/>
        </w:rPr>
        <w:t>4</w:t>
      </w:r>
      <w:r w:rsidR="00E150CA">
        <w:t>.</w:t>
      </w:r>
      <w:r w:rsidR="00E150CA">
        <w:rPr>
          <w:noProof/>
        </w:rPr>
        <w:t>10</w:t>
      </w:r>
      <w:r w:rsidR="00BE3D19">
        <w:fldChar w:fldCharType="end"/>
      </w:r>
      <w:r>
        <w:rPr>
          <w:noProof/>
        </w:rPr>
        <w:t>)</w:t>
      </w:r>
      <w:r>
        <w:t xml:space="preserve">. Decreases in proportions of other drug-related acute ED presentations were evident for all treatment types except non-residential withdrawal, and for all drugs of concern on entry into AOD treatment except for cannabis (where </w:t>
      </w:r>
      <w:r>
        <w:lastRenderedPageBreak/>
        <w:t xml:space="preserve">there was no change), and </w:t>
      </w:r>
      <w:r w:rsidR="00B473EE">
        <w:t>amphetamines</w:t>
      </w:r>
      <w:r>
        <w:t xml:space="preserve"> and other stimulants (which showed an increase in other drug-related acute presentations in the year following treatment engagement).</w:t>
      </w:r>
    </w:p>
    <w:p w:rsidR="00CA7A60" w:rsidRDefault="00CA7A60" w:rsidP="00A126E3">
      <w:pPr>
        <w:pStyle w:val="FAREtableheading"/>
      </w:pPr>
      <w:bookmarkStart w:id="194" w:name="_Ref387151790"/>
      <w:bookmarkStart w:id="195" w:name="_Toc387244634"/>
      <w:bookmarkStart w:id="196" w:name="_Toc398105093"/>
      <w:proofErr w:type="gramStart"/>
      <w:r>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10</w:t>
      </w:r>
      <w:r w:rsidR="00BE3D19">
        <w:rPr>
          <w:noProof/>
        </w:rPr>
        <w:fldChar w:fldCharType="end"/>
      </w:r>
      <w:bookmarkEnd w:id="194"/>
      <w:r>
        <w:t xml:space="preserve"> </w:t>
      </w:r>
      <w:r w:rsidR="00E41BCC">
        <w:t xml:space="preserve"> </w:t>
      </w:r>
      <w:r>
        <w:t xml:space="preserve">ED presentations for other drug-related acute conditions by AOD </w:t>
      </w:r>
      <w:r w:rsidR="00727B57">
        <w:t>treatment</w:t>
      </w:r>
      <w:r>
        <w:t xml:space="preserve"> type, primary drug of concern and treatment termination status, 2009/10, 2010/11 and 2011/12</w:t>
      </w:r>
      <w:bookmarkEnd w:id="195"/>
      <w:bookmarkEnd w:id="196"/>
    </w:p>
    <w:tbl>
      <w:tblPr>
        <w:tblW w:w="5000" w:type="pct"/>
        <w:tblLook w:val="04A0" w:firstRow="1" w:lastRow="0" w:firstColumn="1" w:lastColumn="0" w:noHBand="0" w:noVBand="1"/>
      </w:tblPr>
      <w:tblGrid>
        <w:gridCol w:w="5000"/>
        <w:gridCol w:w="1414"/>
        <w:gridCol w:w="1414"/>
        <w:gridCol w:w="1414"/>
      </w:tblGrid>
      <w:tr w:rsidR="00CA7A60" w:rsidRPr="00B30EA5" w:rsidTr="00CA7A60">
        <w:trPr>
          <w:trHeight w:val="300"/>
        </w:trPr>
        <w:tc>
          <w:tcPr>
            <w:tcW w:w="2705" w:type="pct"/>
            <w:vMerge w:val="restart"/>
            <w:tcBorders>
              <w:top w:val="single" w:sz="12" w:space="0" w:color="auto"/>
              <w:left w:val="nil"/>
              <w:bottom w:val="single" w:sz="12" w:space="0" w:color="000000"/>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w:t>
            </w:r>
          </w:p>
        </w:tc>
        <w:tc>
          <w:tcPr>
            <w:tcW w:w="2295" w:type="pct"/>
            <w:gridSpan w:val="3"/>
            <w:tcBorders>
              <w:top w:val="single" w:sz="12" w:space="0" w:color="auto"/>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Other drug-related acute conditions</w:t>
            </w:r>
          </w:p>
        </w:tc>
      </w:tr>
      <w:tr w:rsidR="00CA7A60" w:rsidRPr="00B30EA5" w:rsidTr="00CA7A60">
        <w:trPr>
          <w:trHeight w:val="300"/>
        </w:trPr>
        <w:tc>
          <w:tcPr>
            <w:tcW w:w="2705" w:type="pct"/>
            <w:vMerge/>
            <w:tcBorders>
              <w:top w:val="single" w:sz="12" w:space="0" w:color="auto"/>
              <w:left w:val="nil"/>
              <w:bottom w:val="single" w:sz="12" w:space="0" w:color="000000"/>
              <w:right w:val="nil"/>
            </w:tcBorders>
            <w:vAlign w:val="center"/>
            <w:hideMark/>
          </w:tcPr>
          <w:p w:rsidR="00CA7A60" w:rsidRPr="00B30EA5" w:rsidRDefault="00CA7A60" w:rsidP="00CA7A60">
            <w:pPr>
              <w:spacing w:after="0" w:line="240" w:lineRule="auto"/>
              <w:rPr>
                <w:rFonts w:eastAsia="Times New Roman"/>
                <w:b/>
                <w:bCs/>
                <w:color w:val="000000"/>
                <w:lang w:eastAsia="en-AU"/>
              </w:rPr>
            </w:pP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09/10 (%)</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10/11 (%)</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11/12 (%)</w:t>
            </w:r>
          </w:p>
        </w:tc>
      </w:tr>
      <w:tr w:rsidR="00CA7A60" w:rsidRPr="00B30EA5" w:rsidTr="00CA7A60">
        <w:trPr>
          <w:trHeight w:val="300"/>
        </w:trPr>
        <w:tc>
          <w:tcPr>
            <w:tcW w:w="2705" w:type="pct"/>
            <w:tcBorders>
              <w:top w:val="nil"/>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Total </w:t>
            </w:r>
            <w:r w:rsidRPr="00941C94">
              <w:rPr>
                <w:rFonts w:eastAsia="Times New Roman"/>
                <w:bCs/>
                <w:color w:val="000000"/>
                <w:sz w:val="24"/>
                <w:szCs w:val="24"/>
                <w:lang w:eastAsia="en-AU"/>
              </w:rPr>
              <w:t>(n=25229)</w:t>
            </w:r>
          </w:p>
        </w:tc>
        <w:tc>
          <w:tcPr>
            <w:tcW w:w="765"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602 (2.4%)</w:t>
            </w:r>
          </w:p>
        </w:tc>
        <w:tc>
          <w:tcPr>
            <w:tcW w:w="765"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672 (2.7%)</w:t>
            </w:r>
          </w:p>
        </w:tc>
        <w:tc>
          <w:tcPr>
            <w:tcW w:w="765"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504 (2.0%)</w:t>
            </w:r>
          </w:p>
        </w:tc>
      </w:tr>
      <w:tr w:rsidR="00CA7A60" w:rsidRPr="00B30EA5" w:rsidTr="00CA7A60">
        <w:trPr>
          <w:trHeight w:val="300"/>
        </w:trPr>
        <w:tc>
          <w:tcPr>
            <w:tcW w:w="2705" w:type="pct"/>
            <w:tcBorders>
              <w:top w:val="nil"/>
              <w:left w:val="nil"/>
              <w:bottom w:val="nil"/>
              <w:right w:val="nil"/>
            </w:tcBorders>
            <w:shd w:val="clear" w:color="auto" w:fill="auto"/>
            <w:noWrap/>
            <w:vAlign w:val="center"/>
            <w:hideMark/>
          </w:tcPr>
          <w:p w:rsidR="00CA7A60" w:rsidRPr="00B30EA5" w:rsidRDefault="00727B57" w:rsidP="00CA7A60">
            <w:pPr>
              <w:spacing w:after="0" w:line="240" w:lineRule="auto"/>
              <w:rPr>
                <w:rFonts w:eastAsia="Times New Roman"/>
                <w:b/>
                <w:bCs/>
                <w:color w:val="000000"/>
                <w:sz w:val="24"/>
                <w:szCs w:val="24"/>
                <w:lang w:eastAsia="en-AU"/>
              </w:rPr>
            </w:pPr>
            <w:r>
              <w:rPr>
                <w:rFonts w:eastAsia="Times New Roman"/>
                <w:b/>
                <w:bCs/>
                <w:color w:val="000000"/>
                <w:sz w:val="24"/>
                <w:szCs w:val="24"/>
                <w:lang w:eastAsia="en-AU"/>
              </w:rPr>
              <w:t>Treatment</w:t>
            </w:r>
            <w:r w:rsidR="00CA7A60" w:rsidRPr="00B30EA5">
              <w:rPr>
                <w:rFonts w:eastAsia="Times New Roman"/>
                <w:b/>
                <w:bCs/>
                <w:color w:val="000000"/>
                <w:sz w:val="24"/>
                <w:szCs w:val="24"/>
                <w:lang w:eastAsia="en-AU"/>
              </w:rPr>
              <w:t xml:space="preserve"> type</w:t>
            </w:r>
          </w:p>
        </w:tc>
        <w:tc>
          <w:tcPr>
            <w:tcW w:w="76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70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Counselling (n=11919; 47.2%)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261 (2.2%)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297 (2.5%)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225 (1.9%)</w:t>
            </w:r>
          </w:p>
        </w:tc>
      </w:tr>
      <w:tr w:rsidR="00CA7A60" w:rsidRPr="00B30EA5" w:rsidTr="00CA7A60">
        <w:trPr>
          <w:trHeight w:val="300"/>
        </w:trPr>
        <w:tc>
          <w:tcPr>
            <w:tcW w:w="270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withdrawal (n=1962; 7.8%)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78 (4.0%)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98 (5.0%)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67 (3.4%)</w:t>
            </w:r>
          </w:p>
        </w:tc>
      </w:tr>
      <w:tr w:rsidR="00CA7A60" w:rsidRPr="00B30EA5" w:rsidTr="00CA7A60">
        <w:trPr>
          <w:trHeight w:val="300"/>
        </w:trPr>
        <w:tc>
          <w:tcPr>
            <w:tcW w:w="270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withdrawal (n=2582; 10.2%)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46 (1.8%)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72 (2.8%)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 (2.1%)</w:t>
            </w:r>
          </w:p>
        </w:tc>
      </w:tr>
      <w:tr w:rsidR="00CA7A60" w:rsidRPr="00B30EA5" w:rsidTr="00CA7A60">
        <w:trPr>
          <w:trHeight w:val="300"/>
        </w:trPr>
        <w:tc>
          <w:tcPr>
            <w:tcW w:w="270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Outreach (n=2368; 9.4%)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54 (2.3%)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64 (2.7%)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45 (1.9%)</w:t>
            </w:r>
          </w:p>
        </w:tc>
      </w:tr>
      <w:tr w:rsidR="00CA7A60" w:rsidRPr="00B30EA5" w:rsidTr="00CA7A60">
        <w:trPr>
          <w:trHeight w:val="300"/>
        </w:trPr>
        <w:tc>
          <w:tcPr>
            <w:tcW w:w="270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Brokerage (n=3904; 15.5%)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103 (2.6%)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76 (1.9%)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69 (1.8%)</w:t>
            </w:r>
          </w:p>
        </w:tc>
      </w:tr>
      <w:tr w:rsidR="00CA7A60" w:rsidRPr="00B30EA5" w:rsidTr="00CA7A60">
        <w:trPr>
          <w:trHeight w:val="300"/>
        </w:trPr>
        <w:tc>
          <w:tcPr>
            <w:tcW w:w="270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Aboriginal services (n=733; 2.9%)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 (1.2%)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 (1.6%)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 (1.0%)</w:t>
            </w:r>
          </w:p>
        </w:tc>
      </w:tr>
      <w:tr w:rsidR="00CA7A60" w:rsidRPr="00B30EA5" w:rsidTr="00CA7A60">
        <w:trPr>
          <w:trHeight w:val="300"/>
        </w:trPr>
        <w:tc>
          <w:tcPr>
            <w:tcW w:w="270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Specialist pharmacotherapy (n=401; 1.6%)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17 (4.2%)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 (4.7%)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 (4.0%)</w:t>
            </w:r>
          </w:p>
        </w:tc>
      </w:tr>
      <w:tr w:rsidR="00CA7A60" w:rsidRPr="00B30EA5" w:rsidTr="00CA7A60">
        <w:trPr>
          <w:trHeight w:val="300"/>
        </w:trPr>
        <w:tc>
          <w:tcPr>
            <w:tcW w:w="270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rehabilitation (n=176; 0.7%)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r w:rsidR="00CA7A60" w:rsidRPr="00B30EA5" w:rsidTr="00CA7A60">
        <w:trPr>
          <w:trHeight w:val="300"/>
        </w:trPr>
        <w:tc>
          <w:tcPr>
            <w:tcW w:w="270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Supported accommodation (n=269; 1.1%)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 (3.3%)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 (3.0%)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 (3.0%)</w:t>
            </w:r>
          </w:p>
        </w:tc>
      </w:tr>
      <w:tr w:rsidR="00CA7A60" w:rsidRPr="00B30EA5" w:rsidTr="00CA7A60">
        <w:trPr>
          <w:trHeight w:val="300"/>
        </w:trPr>
        <w:tc>
          <w:tcPr>
            <w:tcW w:w="270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Post withdrawal linkage (n=256; 1.0%)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 (2.3%)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 (3.9%)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r w:rsidR="00CA7A60" w:rsidRPr="00B30EA5" w:rsidTr="00CA7A60">
        <w:trPr>
          <w:trHeight w:val="300"/>
        </w:trPr>
        <w:tc>
          <w:tcPr>
            <w:tcW w:w="270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Other/unknown (n=659; 2.6%)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17 (2.6%)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 (2.1%)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 (1.1%)</w:t>
            </w:r>
          </w:p>
        </w:tc>
      </w:tr>
      <w:tr w:rsidR="00CA7A60" w:rsidRPr="00B30EA5" w:rsidTr="00CA7A60">
        <w:trPr>
          <w:trHeight w:val="300"/>
        </w:trPr>
        <w:tc>
          <w:tcPr>
            <w:tcW w:w="4235" w:type="pct"/>
            <w:gridSpan w:val="3"/>
            <w:tcBorders>
              <w:top w:val="single" w:sz="4" w:space="0" w:color="auto"/>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Treatment termination status</w:t>
            </w:r>
          </w:p>
        </w:tc>
        <w:tc>
          <w:tcPr>
            <w:tcW w:w="765" w:type="pct"/>
            <w:tcBorders>
              <w:top w:val="single" w:sz="4" w:space="0" w:color="auto"/>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70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Completed treatment (n=18690; 74.1%)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404 (2.2%)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434 (2.3%)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354 (1.9%)</w:t>
            </w:r>
          </w:p>
        </w:tc>
      </w:tr>
      <w:tr w:rsidR="00CA7A60" w:rsidRPr="00B30EA5" w:rsidTr="00CA7A60">
        <w:trPr>
          <w:trHeight w:val="300"/>
        </w:trPr>
        <w:tc>
          <w:tcPr>
            <w:tcW w:w="270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Not completed (n=6262; 24.8%)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192 (3.1%)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231 (3.7%)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148 (2.4%)</w:t>
            </w:r>
          </w:p>
        </w:tc>
      </w:tr>
      <w:tr w:rsidR="00CA7A60" w:rsidRPr="00B30EA5" w:rsidTr="00CA7A60">
        <w:trPr>
          <w:trHeight w:val="300"/>
        </w:trPr>
        <w:tc>
          <w:tcPr>
            <w:tcW w:w="270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(n=277; 1.1%)</w:t>
            </w:r>
          </w:p>
        </w:tc>
        <w:tc>
          <w:tcPr>
            <w:tcW w:w="76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 (2.2%)</w:t>
            </w:r>
          </w:p>
        </w:tc>
        <w:tc>
          <w:tcPr>
            <w:tcW w:w="76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 (2.5%)</w:t>
            </w:r>
          </w:p>
        </w:tc>
        <w:tc>
          <w:tcPr>
            <w:tcW w:w="76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r w:rsidR="00CA7A60" w:rsidRPr="00B30EA5" w:rsidTr="00CA7A60">
        <w:trPr>
          <w:trHeight w:val="300"/>
        </w:trPr>
        <w:tc>
          <w:tcPr>
            <w:tcW w:w="270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Primary drug of concern</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70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Alcohol (n=11912; 47.2%)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246 (2.1%)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248 (2.1%)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198 (1.7%)</w:t>
            </w:r>
          </w:p>
        </w:tc>
      </w:tr>
      <w:tr w:rsidR="00CA7A60" w:rsidRPr="00B30EA5" w:rsidTr="00CA7A60">
        <w:trPr>
          <w:trHeight w:val="300"/>
        </w:trPr>
        <w:tc>
          <w:tcPr>
            <w:tcW w:w="270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Cannabis (n=5663; 22.4%)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97 (1.7%)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121 (2.1%)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95 (1.7%)</w:t>
            </w:r>
          </w:p>
        </w:tc>
      </w:tr>
      <w:tr w:rsidR="00CA7A60" w:rsidRPr="00B30EA5" w:rsidTr="00CA7A60">
        <w:trPr>
          <w:trHeight w:val="300"/>
        </w:trPr>
        <w:tc>
          <w:tcPr>
            <w:tcW w:w="270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Heroin &amp; other opioids (n=3863; 15.3%)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149 (3.9%)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173 (4.5%)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116 (3.0%)</w:t>
            </w:r>
          </w:p>
        </w:tc>
      </w:tr>
      <w:tr w:rsidR="00CA7A60" w:rsidRPr="00B30EA5" w:rsidTr="00CA7A60">
        <w:trPr>
          <w:trHeight w:val="300"/>
        </w:trPr>
        <w:tc>
          <w:tcPr>
            <w:tcW w:w="270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Amphetamine &amp; other stimulants (n=2198; 8.7%)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48 (2.2%)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65 (3.0%)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58 (2.6%)</w:t>
            </w:r>
          </w:p>
        </w:tc>
      </w:tr>
      <w:tr w:rsidR="00CA7A60" w:rsidRPr="00B30EA5" w:rsidTr="00CA7A60">
        <w:trPr>
          <w:trHeight w:val="300"/>
        </w:trPr>
        <w:tc>
          <w:tcPr>
            <w:tcW w:w="270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Benzodiazepines &amp; other tranquillisers (n=522; 2.1%)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 (5.4%)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 (6.1%)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23 (4.4%)</w:t>
            </w:r>
          </w:p>
        </w:tc>
      </w:tr>
      <w:tr w:rsidR="00CA7A60" w:rsidRPr="00B30EA5" w:rsidTr="00CA7A60">
        <w:trPr>
          <w:trHeight w:val="300"/>
        </w:trPr>
        <w:tc>
          <w:tcPr>
            <w:tcW w:w="270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(n=730; 2.9%)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 (2.9%)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 (2.9%)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 (1.4%)</w:t>
            </w:r>
          </w:p>
        </w:tc>
      </w:tr>
      <w:tr w:rsidR="00CA7A60" w:rsidRPr="00B30EA5" w:rsidTr="00CA7A60">
        <w:trPr>
          <w:trHeight w:val="300"/>
        </w:trPr>
        <w:tc>
          <w:tcPr>
            <w:tcW w:w="270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(n=341; 1.4%)</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 (3.8%)</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 (3.5%)</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bl>
    <w:p w:rsidR="00CA7A60" w:rsidRDefault="00CA7A60" w:rsidP="00CA7A60">
      <w:pPr>
        <w:spacing w:after="120" w:line="240" w:lineRule="auto"/>
        <w:jc w:val="both"/>
        <w:rPr>
          <w:b/>
          <w:lang w:val="en-GB" w:eastAsia="en-AU"/>
        </w:rPr>
      </w:pPr>
    </w:p>
    <w:p w:rsidR="00CA7A60" w:rsidRDefault="00CA7A60" w:rsidP="00A126E3">
      <w:pPr>
        <w:pStyle w:val="FAREtableheading"/>
      </w:pPr>
    </w:p>
    <w:p w:rsidR="00CA7A60" w:rsidRDefault="008A3260" w:rsidP="00CA7A60">
      <w:pPr>
        <w:pStyle w:val="FAREnormaltext"/>
      </w:pPr>
      <w:r>
        <w:fldChar w:fldCharType="begin"/>
      </w:r>
      <w:r>
        <w:instrText xml:space="preserve"> REF _Ref386641988  \* MERGEFORMAT </w:instrText>
      </w:r>
      <w:r>
        <w:fldChar w:fldCharType="separate"/>
      </w:r>
      <w:r w:rsidR="00E150CA">
        <w:t xml:space="preserve">Table </w:t>
      </w:r>
      <w:r w:rsidR="00E150CA">
        <w:rPr>
          <w:noProof/>
        </w:rPr>
        <w:t>4.11</w:t>
      </w:r>
      <w:r>
        <w:rPr>
          <w:noProof/>
        </w:rPr>
        <w:fldChar w:fldCharType="end"/>
      </w:r>
      <w:r w:rsidR="00CA7A60">
        <w:t xml:space="preserve"> shows the proportion of AOD clients diagnosed in the ED with an alcohol-related chronic condition across the three years by AOD treatment characteristics and primary drug of concern on entry into AOD treatment. Overall, there was stability in proportions of clients presenting with alcohol-related chronic conditions over the three years presented. This is likely a reflection of patterns of morbidity associated with alcohol-related chronic conditions, with need for acute treatment of recurring symptoms even after reduction or cessation of alcohol consumption. </w:t>
      </w:r>
    </w:p>
    <w:p w:rsidR="00CA7A60" w:rsidRDefault="00CA7A60" w:rsidP="00CA7A60">
      <w:pPr>
        <w:spacing w:after="120" w:line="240" w:lineRule="auto"/>
        <w:ind w:left="1191" w:hanging="1134"/>
        <w:jc w:val="both"/>
        <w:rPr>
          <w:lang w:val="en-GB"/>
        </w:rPr>
      </w:pPr>
      <w:r>
        <w:br w:type="page"/>
      </w:r>
    </w:p>
    <w:p w:rsidR="00CA7A60" w:rsidRDefault="00CA7A60" w:rsidP="00A126E3">
      <w:pPr>
        <w:pStyle w:val="FAREtableheading"/>
      </w:pPr>
      <w:bookmarkStart w:id="197" w:name="_Ref386641988"/>
      <w:bookmarkStart w:id="198" w:name="_Toc387244635"/>
      <w:bookmarkStart w:id="199" w:name="_Toc398105094"/>
      <w:proofErr w:type="gramStart"/>
      <w:r>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11</w:t>
      </w:r>
      <w:r w:rsidR="00BE3D19">
        <w:rPr>
          <w:noProof/>
        </w:rPr>
        <w:fldChar w:fldCharType="end"/>
      </w:r>
      <w:bookmarkEnd w:id="197"/>
      <w:r w:rsidRPr="00DB5575">
        <w:t xml:space="preserve"> </w:t>
      </w:r>
      <w:r w:rsidR="00E41BCC">
        <w:t xml:space="preserve"> </w:t>
      </w:r>
      <w:r>
        <w:t xml:space="preserve">ED presentations for alcohol-related chronic conditions by AOD </w:t>
      </w:r>
      <w:r w:rsidR="004B5CD4">
        <w:t>treatment</w:t>
      </w:r>
      <w:r>
        <w:t xml:space="preserve"> type, primary drug of concern and treatment termination status, 2009/10, 2010/11 and 2011/12</w:t>
      </w:r>
      <w:bookmarkEnd w:id="198"/>
      <w:bookmarkEnd w:id="199"/>
    </w:p>
    <w:tbl>
      <w:tblPr>
        <w:tblW w:w="5000" w:type="pct"/>
        <w:tblLook w:val="04A0" w:firstRow="1" w:lastRow="0" w:firstColumn="1" w:lastColumn="0" w:noHBand="0" w:noVBand="1"/>
      </w:tblPr>
      <w:tblGrid>
        <w:gridCol w:w="5002"/>
        <w:gridCol w:w="1414"/>
        <w:gridCol w:w="1414"/>
        <w:gridCol w:w="1412"/>
      </w:tblGrid>
      <w:tr w:rsidR="00CA7A60" w:rsidRPr="00B30EA5" w:rsidTr="00CA7A60">
        <w:trPr>
          <w:trHeight w:val="300"/>
        </w:trPr>
        <w:tc>
          <w:tcPr>
            <w:tcW w:w="2706" w:type="pct"/>
            <w:vMerge w:val="restart"/>
            <w:tcBorders>
              <w:top w:val="single" w:sz="12" w:space="0" w:color="auto"/>
              <w:left w:val="nil"/>
              <w:bottom w:val="single" w:sz="12" w:space="0" w:color="000000"/>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w:t>
            </w:r>
          </w:p>
        </w:tc>
        <w:tc>
          <w:tcPr>
            <w:tcW w:w="2294" w:type="pct"/>
            <w:gridSpan w:val="3"/>
            <w:tcBorders>
              <w:top w:val="single" w:sz="12" w:space="0" w:color="auto"/>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Alcohol related chronic conditions</w:t>
            </w:r>
          </w:p>
        </w:tc>
      </w:tr>
      <w:tr w:rsidR="00CA7A60" w:rsidRPr="00B30EA5" w:rsidTr="00CA7A60">
        <w:trPr>
          <w:trHeight w:val="300"/>
        </w:trPr>
        <w:tc>
          <w:tcPr>
            <w:tcW w:w="2706" w:type="pct"/>
            <w:vMerge/>
            <w:tcBorders>
              <w:top w:val="single" w:sz="12" w:space="0" w:color="auto"/>
              <w:left w:val="nil"/>
              <w:bottom w:val="single" w:sz="12" w:space="0" w:color="000000"/>
              <w:right w:val="nil"/>
            </w:tcBorders>
            <w:vAlign w:val="center"/>
            <w:hideMark/>
          </w:tcPr>
          <w:p w:rsidR="00CA7A60" w:rsidRPr="00B30EA5" w:rsidRDefault="00CA7A60" w:rsidP="00CA7A60">
            <w:pPr>
              <w:spacing w:after="0" w:line="240" w:lineRule="auto"/>
              <w:rPr>
                <w:rFonts w:eastAsia="Times New Roman"/>
                <w:b/>
                <w:bCs/>
                <w:color w:val="000000"/>
                <w:lang w:eastAsia="en-AU"/>
              </w:rPr>
            </w:pP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09/10 (%)</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10/11 (%)</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11/12 (%)</w:t>
            </w:r>
          </w:p>
        </w:tc>
      </w:tr>
      <w:tr w:rsidR="00CA7A60" w:rsidRPr="00B30EA5" w:rsidTr="00CA7A60">
        <w:trPr>
          <w:trHeight w:val="300"/>
        </w:trPr>
        <w:tc>
          <w:tcPr>
            <w:tcW w:w="2706" w:type="pct"/>
            <w:tcBorders>
              <w:top w:val="nil"/>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Total </w:t>
            </w:r>
            <w:r w:rsidRPr="00941C94">
              <w:rPr>
                <w:rFonts w:eastAsia="Times New Roman"/>
                <w:bCs/>
                <w:color w:val="000000"/>
                <w:sz w:val="24"/>
                <w:szCs w:val="24"/>
                <w:lang w:eastAsia="en-AU"/>
              </w:rPr>
              <w:t>(n=25229)</w:t>
            </w:r>
          </w:p>
        </w:tc>
        <w:tc>
          <w:tcPr>
            <w:tcW w:w="765"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463 (1.8%)</w:t>
            </w:r>
          </w:p>
        </w:tc>
        <w:tc>
          <w:tcPr>
            <w:tcW w:w="765"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492 (2.0%)</w:t>
            </w:r>
          </w:p>
        </w:tc>
        <w:tc>
          <w:tcPr>
            <w:tcW w:w="765"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442 (1.8%)</w:t>
            </w:r>
          </w:p>
        </w:tc>
      </w:tr>
      <w:tr w:rsidR="00CA7A60" w:rsidRPr="00B30EA5" w:rsidTr="00CA7A60">
        <w:trPr>
          <w:trHeight w:val="300"/>
        </w:trPr>
        <w:tc>
          <w:tcPr>
            <w:tcW w:w="2706" w:type="pct"/>
            <w:tcBorders>
              <w:top w:val="nil"/>
              <w:left w:val="nil"/>
              <w:bottom w:val="nil"/>
              <w:right w:val="nil"/>
            </w:tcBorders>
            <w:shd w:val="clear" w:color="auto" w:fill="auto"/>
            <w:noWrap/>
            <w:vAlign w:val="center"/>
            <w:hideMark/>
          </w:tcPr>
          <w:p w:rsidR="00CA7A60" w:rsidRPr="00B30EA5" w:rsidRDefault="004B5CD4" w:rsidP="00CA7A60">
            <w:pPr>
              <w:spacing w:after="0" w:line="240" w:lineRule="auto"/>
              <w:rPr>
                <w:rFonts w:eastAsia="Times New Roman"/>
                <w:b/>
                <w:bCs/>
                <w:color w:val="000000"/>
                <w:sz w:val="24"/>
                <w:szCs w:val="24"/>
                <w:lang w:eastAsia="en-AU"/>
              </w:rPr>
            </w:pPr>
            <w:r>
              <w:rPr>
                <w:rFonts w:eastAsia="Times New Roman"/>
                <w:b/>
                <w:bCs/>
                <w:color w:val="000000"/>
                <w:sz w:val="24"/>
                <w:szCs w:val="24"/>
                <w:lang w:eastAsia="en-AU"/>
              </w:rPr>
              <w:t>Treatment</w:t>
            </w:r>
            <w:r w:rsidR="00CA7A60" w:rsidRPr="00B30EA5">
              <w:rPr>
                <w:rFonts w:eastAsia="Times New Roman"/>
                <w:b/>
                <w:bCs/>
                <w:color w:val="000000"/>
                <w:sz w:val="24"/>
                <w:szCs w:val="24"/>
                <w:lang w:eastAsia="en-AU"/>
              </w:rPr>
              <w:t xml:space="preserve"> type</w:t>
            </w:r>
          </w:p>
        </w:tc>
        <w:tc>
          <w:tcPr>
            <w:tcW w:w="76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Counselling (n=11919; 47.2%)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216 (1.8%)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224 (1.9%)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211 (1.8%)</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withdrawal (n=1962; 7.8%)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68 (3.5%)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78 (4.0%)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 (2.7%)</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withdrawal (n=2582; 10.2%)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52 (2.0%)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65 (2.5%)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62 (2.4%)</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Outreach (n=2368; 9.4%)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 (0.9%)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30 (1.3%)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 (0.7%)</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Brokerage (n=3904; 15.5%)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48 (1.2%)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49 (1.3%)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54 (1.4%)</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Aboriginal services (n=733; 2.9%)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27 (3.7%)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17 (2.3%)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 (2.2%)</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Specialist pharmacotherapy (n=401; 1.6%)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 (1.7%)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 (2.0%)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 (1.5%)</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rehabilitation (n=176; 0.7%)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Supported accommodation (n=269; 1.1%)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(1.9%)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(1.9%)</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Post withdrawal linkage (n=256; 1.0%)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 (3.1%)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(2.0%)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Other/unknown (n=659; 2.6%)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 (1.2%)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 (1.5%)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 (2.0%)</w:t>
            </w:r>
          </w:p>
        </w:tc>
      </w:tr>
      <w:tr w:rsidR="00CA7A60" w:rsidRPr="00B30EA5" w:rsidTr="00CA7A60">
        <w:trPr>
          <w:trHeight w:val="300"/>
        </w:trPr>
        <w:tc>
          <w:tcPr>
            <w:tcW w:w="4235" w:type="pct"/>
            <w:gridSpan w:val="3"/>
            <w:tcBorders>
              <w:top w:val="single" w:sz="4" w:space="0" w:color="auto"/>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Treatment termination status</w:t>
            </w:r>
          </w:p>
        </w:tc>
        <w:tc>
          <w:tcPr>
            <w:tcW w:w="765" w:type="pct"/>
            <w:tcBorders>
              <w:top w:val="single" w:sz="4" w:space="0" w:color="auto"/>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Completed treatment (n=18690; 74.1%)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325 (1.7%)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347 (1.9%)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315 (1.7%)</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Not completed (n=6262; 24.8%)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131 (2.1%)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136 (2.2%)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122 (1.9%)</w:t>
            </w:r>
          </w:p>
        </w:tc>
      </w:tr>
      <w:tr w:rsidR="00CA7A60" w:rsidRPr="00B30EA5" w:rsidTr="00CA7A60">
        <w:trPr>
          <w:trHeight w:val="300"/>
        </w:trPr>
        <w:tc>
          <w:tcPr>
            <w:tcW w:w="2706"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(n=277; 1.1%)</w:t>
            </w:r>
          </w:p>
        </w:tc>
        <w:tc>
          <w:tcPr>
            <w:tcW w:w="76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 (2.5%)</w:t>
            </w:r>
          </w:p>
        </w:tc>
        <w:tc>
          <w:tcPr>
            <w:tcW w:w="76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 (3.2%)</w:t>
            </w:r>
          </w:p>
        </w:tc>
        <w:tc>
          <w:tcPr>
            <w:tcW w:w="76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(1.8%)</w:t>
            </w:r>
          </w:p>
        </w:tc>
      </w:tr>
      <w:tr w:rsidR="00CA7A60" w:rsidRPr="00B30EA5" w:rsidTr="00CA7A60">
        <w:trPr>
          <w:trHeight w:val="300"/>
        </w:trPr>
        <w:tc>
          <w:tcPr>
            <w:tcW w:w="2706"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Primary drug of concern</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Alcohol (n=11912; 47.2%)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274 (2.3%)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302 (2.5%)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270 (2.3%)</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Cannabis (n=5663; 22.4%)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74 (1.3%)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68 (1.2%)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70 (1.2%)</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Heroin &amp; other opioids (n=3863; 15.3%)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64 (1.7%)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70 (1.8%)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51 (1.3%)</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Amphetamine &amp; other stimulants (n=2198; 8.7%)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 (1.0%)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 (0.9%)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23 (1.0%)</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Benzodiazepines &amp; other tranquillisers (n=522; 2.1%)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 (1.7%)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 (2.3%)</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(n=730; 2.9%)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 (2.9%)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 (2.2%)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 (1.9%)</w:t>
            </w:r>
          </w:p>
        </w:tc>
      </w:tr>
      <w:tr w:rsidR="00CA7A60" w:rsidRPr="00B30EA5" w:rsidTr="00CA7A60">
        <w:trPr>
          <w:trHeight w:val="300"/>
        </w:trPr>
        <w:tc>
          <w:tcPr>
            <w:tcW w:w="2706"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(n=341; 1.4%)</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(1.5%)</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 (2.3%)</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bl>
    <w:p w:rsidR="00CA7A60" w:rsidRDefault="00CA7A60" w:rsidP="00A126E3">
      <w:pPr>
        <w:pStyle w:val="FAREtableheading"/>
      </w:pPr>
    </w:p>
    <w:p w:rsidR="00CA7A60" w:rsidRDefault="00CA7A60" w:rsidP="00CA7A60">
      <w:pPr>
        <w:pStyle w:val="FAREnormaltext"/>
      </w:pPr>
      <w:r>
        <w:t>Following AOD treatment, there was a decrease in the proportion of clients presenting to ED with an injury (</w:t>
      </w:r>
      <w:r w:rsidR="00BE3D19">
        <w:fldChar w:fldCharType="begin"/>
      </w:r>
      <w:r w:rsidR="009F30FB">
        <w:instrText xml:space="preserve"> REF _Ref386854650 </w:instrText>
      </w:r>
      <w:r w:rsidR="00BE3D19">
        <w:fldChar w:fldCharType="separate"/>
      </w:r>
      <w:r w:rsidR="00E150CA">
        <w:t xml:space="preserve">Table </w:t>
      </w:r>
      <w:r w:rsidR="00E150CA">
        <w:rPr>
          <w:noProof/>
        </w:rPr>
        <w:t>4</w:t>
      </w:r>
      <w:r w:rsidR="00E150CA">
        <w:t>.</w:t>
      </w:r>
      <w:r w:rsidR="00E150CA">
        <w:rPr>
          <w:noProof/>
        </w:rPr>
        <w:t>12</w:t>
      </w:r>
      <w:r w:rsidR="00BE3D19">
        <w:rPr>
          <w:noProof/>
        </w:rPr>
        <w:fldChar w:fldCharType="end"/>
      </w:r>
      <w:r>
        <w:rPr>
          <w:noProof/>
        </w:rPr>
        <w:t>). Across all treatment types, primary drugs of concern, and treatment termination status categories, there were reductions in proportions of</w:t>
      </w:r>
      <w:r>
        <w:t xml:space="preserve"> AOD clients diagnosed in the ED with injuries between the year preceding AOD treatment and the year following AOD treatment engagement. </w:t>
      </w:r>
    </w:p>
    <w:p w:rsidR="00CA7A60" w:rsidRPr="00607299" w:rsidRDefault="00CA7A60" w:rsidP="00CA7A60">
      <w:pPr>
        <w:spacing w:after="120" w:line="240" w:lineRule="auto"/>
        <w:ind w:left="1191" w:hanging="1134"/>
        <w:jc w:val="both"/>
        <w:rPr>
          <w:lang w:val="en-GB"/>
        </w:rPr>
      </w:pPr>
      <w:r>
        <w:br w:type="page"/>
      </w:r>
    </w:p>
    <w:p w:rsidR="00CA7A60" w:rsidRDefault="00CA7A60" w:rsidP="00A126E3">
      <w:pPr>
        <w:pStyle w:val="FAREtableheading"/>
      </w:pPr>
      <w:bookmarkStart w:id="200" w:name="_Ref386854650"/>
      <w:bookmarkStart w:id="201" w:name="_Toc387244636"/>
      <w:bookmarkStart w:id="202" w:name="_Toc398105095"/>
      <w:proofErr w:type="gramStart"/>
      <w:r>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12</w:t>
      </w:r>
      <w:r w:rsidR="00BE3D19">
        <w:rPr>
          <w:noProof/>
        </w:rPr>
        <w:fldChar w:fldCharType="end"/>
      </w:r>
      <w:bookmarkEnd w:id="200"/>
      <w:r w:rsidR="00E41BCC">
        <w:rPr>
          <w:noProof/>
        </w:rPr>
        <w:t xml:space="preserve"> </w:t>
      </w:r>
      <w:r>
        <w:t xml:space="preserve"> ED presentations for injuries by AOD </w:t>
      </w:r>
      <w:r w:rsidR="004B5CD4">
        <w:t>treatment</w:t>
      </w:r>
      <w:r>
        <w:t xml:space="preserve"> type, primary drug of concern and treatment termination status, 2009/10, 2010/11 and 2011/12</w:t>
      </w:r>
      <w:bookmarkEnd w:id="201"/>
      <w:bookmarkEnd w:id="202"/>
    </w:p>
    <w:tbl>
      <w:tblPr>
        <w:tblW w:w="5000" w:type="pct"/>
        <w:tblLook w:val="04A0" w:firstRow="1" w:lastRow="0" w:firstColumn="1" w:lastColumn="0" w:noHBand="0" w:noVBand="1"/>
      </w:tblPr>
      <w:tblGrid>
        <w:gridCol w:w="5002"/>
        <w:gridCol w:w="1414"/>
        <w:gridCol w:w="1414"/>
        <w:gridCol w:w="1412"/>
      </w:tblGrid>
      <w:tr w:rsidR="00CA7A60" w:rsidRPr="00B30EA5" w:rsidTr="00CA7A60">
        <w:trPr>
          <w:trHeight w:val="300"/>
        </w:trPr>
        <w:tc>
          <w:tcPr>
            <w:tcW w:w="2706" w:type="pct"/>
            <w:vMerge w:val="restart"/>
            <w:tcBorders>
              <w:top w:val="single" w:sz="12" w:space="0" w:color="auto"/>
              <w:left w:val="nil"/>
              <w:bottom w:val="single" w:sz="12" w:space="0" w:color="000000"/>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w:t>
            </w:r>
          </w:p>
        </w:tc>
        <w:tc>
          <w:tcPr>
            <w:tcW w:w="2294" w:type="pct"/>
            <w:gridSpan w:val="3"/>
            <w:tcBorders>
              <w:top w:val="single" w:sz="12" w:space="0" w:color="auto"/>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Injuries</w:t>
            </w:r>
          </w:p>
        </w:tc>
      </w:tr>
      <w:tr w:rsidR="00CA7A60" w:rsidRPr="00B30EA5" w:rsidTr="00CA7A60">
        <w:trPr>
          <w:trHeight w:val="300"/>
        </w:trPr>
        <w:tc>
          <w:tcPr>
            <w:tcW w:w="2706" w:type="pct"/>
            <w:vMerge/>
            <w:tcBorders>
              <w:top w:val="single" w:sz="12" w:space="0" w:color="auto"/>
              <w:left w:val="nil"/>
              <w:bottom w:val="single" w:sz="12" w:space="0" w:color="000000"/>
              <w:right w:val="nil"/>
            </w:tcBorders>
            <w:vAlign w:val="center"/>
            <w:hideMark/>
          </w:tcPr>
          <w:p w:rsidR="00CA7A60" w:rsidRPr="00B30EA5" w:rsidRDefault="00CA7A60" w:rsidP="00CA7A60">
            <w:pPr>
              <w:spacing w:after="0" w:line="240" w:lineRule="auto"/>
              <w:rPr>
                <w:rFonts w:eastAsia="Times New Roman"/>
                <w:b/>
                <w:bCs/>
                <w:color w:val="000000"/>
                <w:lang w:eastAsia="en-AU"/>
              </w:rPr>
            </w:pP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09/10 (%)</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10/11 (%)</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11/12 (%)</w:t>
            </w:r>
          </w:p>
        </w:tc>
      </w:tr>
      <w:tr w:rsidR="00CA7A60" w:rsidRPr="00B30EA5" w:rsidTr="00CA7A60">
        <w:trPr>
          <w:trHeight w:val="300"/>
        </w:trPr>
        <w:tc>
          <w:tcPr>
            <w:tcW w:w="2706" w:type="pct"/>
            <w:tcBorders>
              <w:top w:val="nil"/>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Total </w:t>
            </w:r>
            <w:r w:rsidRPr="00941C94">
              <w:rPr>
                <w:rFonts w:eastAsia="Times New Roman"/>
                <w:bCs/>
                <w:color w:val="000000"/>
                <w:sz w:val="24"/>
                <w:szCs w:val="24"/>
                <w:lang w:eastAsia="en-AU"/>
              </w:rPr>
              <w:t>(n=25229)</w:t>
            </w:r>
          </w:p>
        </w:tc>
        <w:tc>
          <w:tcPr>
            <w:tcW w:w="765"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2924 (11.6%)</w:t>
            </w:r>
          </w:p>
        </w:tc>
        <w:tc>
          <w:tcPr>
            <w:tcW w:w="765"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2717 (10.8%)</w:t>
            </w:r>
          </w:p>
        </w:tc>
        <w:tc>
          <w:tcPr>
            <w:tcW w:w="765"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2507 (9.9%)</w:t>
            </w:r>
          </w:p>
        </w:tc>
      </w:tr>
      <w:tr w:rsidR="00CA7A60" w:rsidRPr="00B30EA5" w:rsidTr="00CA7A60">
        <w:trPr>
          <w:trHeight w:val="300"/>
        </w:trPr>
        <w:tc>
          <w:tcPr>
            <w:tcW w:w="2706" w:type="pct"/>
            <w:tcBorders>
              <w:top w:val="nil"/>
              <w:left w:val="nil"/>
              <w:bottom w:val="nil"/>
              <w:right w:val="nil"/>
            </w:tcBorders>
            <w:shd w:val="clear" w:color="auto" w:fill="auto"/>
            <w:noWrap/>
            <w:vAlign w:val="center"/>
            <w:hideMark/>
          </w:tcPr>
          <w:p w:rsidR="00CA7A60" w:rsidRPr="00B30EA5" w:rsidRDefault="004B5CD4" w:rsidP="00CA7A60">
            <w:pPr>
              <w:spacing w:after="0" w:line="240" w:lineRule="auto"/>
              <w:rPr>
                <w:rFonts w:eastAsia="Times New Roman"/>
                <w:b/>
                <w:bCs/>
                <w:color w:val="000000"/>
                <w:sz w:val="24"/>
                <w:szCs w:val="24"/>
                <w:lang w:eastAsia="en-AU"/>
              </w:rPr>
            </w:pPr>
            <w:r>
              <w:rPr>
                <w:rFonts w:eastAsia="Times New Roman"/>
                <w:b/>
                <w:bCs/>
                <w:color w:val="000000"/>
                <w:sz w:val="24"/>
                <w:szCs w:val="24"/>
                <w:lang w:eastAsia="en-AU"/>
              </w:rPr>
              <w:t>Treatment</w:t>
            </w:r>
            <w:r w:rsidR="00CA7A60" w:rsidRPr="00B30EA5">
              <w:rPr>
                <w:rFonts w:eastAsia="Times New Roman"/>
                <w:b/>
                <w:bCs/>
                <w:color w:val="000000"/>
                <w:sz w:val="24"/>
                <w:szCs w:val="24"/>
                <w:lang w:eastAsia="en-AU"/>
              </w:rPr>
              <w:t xml:space="preserve"> type</w:t>
            </w:r>
          </w:p>
        </w:tc>
        <w:tc>
          <w:tcPr>
            <w:tcW w:w="76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Counselling (n=11919; 47.2%)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1302 (10.9%)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1213 (10.2%)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1123 (9.4%)</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withdrawal (n=1962; 7.8%)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259 (13.2%)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278 (14.2%)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245 (12.5%)</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withdrawal (n=2582; 10.2%)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248 (9.6%)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250 (9.7%)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211 (8.2%)</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Outreach (n=2368; 9.4%)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325 (13.7%)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292 (12.3%)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268 (11.3%)</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Brokerage (n=3904; 15.5%)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503 (12.9%)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438 (11.2%)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424 (10.9%)</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Aboriginal services (n=733; 2.9%)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89 (12.1%)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83 (11.3%)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77 (10.5%)</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Specialist pharmacotherapy (n=401; 1.6%)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46 (11.5%)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41 (10.2%)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42 (10.5%)</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rehabilitation (n=176; 0.7%)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27 (15.3%)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15 (8.5%)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18 (10.2%)</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Supported accommodation (n=269; 1.1%)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30 (11.2%)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 (7.1%)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25 (9.3%)</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Post withdrawal linkage (n=256; 1.0%)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25 (9.8%)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 (8.6%)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24 (9.4%)</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Other/unknown (n=659; 2.6%)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70 (10.6%)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66 (10.0%)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50 (7.6%)</w:t>
            </w:r>
          </w:p>
        </w:tc>
      </w:tr>
      <w:tr w:rsidR="00CA7A60" w:rsidRPr="00B30EA5" w:rsidTr="00CA7A60">
        <w:trPr>
          <w:trHeight w:val="300"/>
        </w:trPr>
        <w:tc>
          <w:tcPr>
            <w:tcW w:w="4235" w:type="pct"/>
            <w:gridSpan w:val="3"/>
            <w:tcBorders>
              <w:top w:val="single" w:sz="4" w:space="0" w:color="auto"/>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Treatment termination status</w:t>
            </w:r>
          </w:p>
        </w:tc>
        <w:tc>
          <w:tcPr>
            <w:tcW w:w="765" w:type="pct"/>
            <w:tcBorders>
              <w:top w:val="single" w:sz="4" w:space="0" w:color="auto"/>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Completed treatment (n=18690; 74.1%)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2149 (11.5%)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1986 (10.6%)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1819 (9.7%)</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Not completed (n=6262; 24.8%)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740 (11.8%)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709 (11.3%)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660 (10.5%)</w:t>
            </w:r>
          </w:p>
        </w:tc>
      </w:tr>
      <w:tr w:rsidR="00CA7A60" w:rsidRPr="00B30EA5" w:rsidTr="00CA7A60">
        <w:trPr>
          <w:trHeight w:val="300"/>
        </w:trPr>
        <w:tc>
          <w:tcPr>
            <w:tcW w:w="2706"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(n=277; 1.1%)</w:t>
            </w:r>
          </w:p>
        </w:tc>
        <w:tc>
          <w:tcPr>
            <w:tcW w:w="76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 (12.6%)</w:t>
            </w:r>
          </w:p>
        </w:tc>
        <w:tc>
          <w:tcPr>
            <w:tcW w:w="76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 (7.9%)</w:t>
            </w:r>
          </w:p>
        </w:tc>
        <w:tc>
          <w:tcPr>
            <w:tcW w:w="76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 (10.1%)</w:t>
            </w:r>
          </w:p>
        </w:tc>
      </w:tr>
      <w:tr w:rsidR="00CA7A60" w:rsidRPr="00B30EA5" w:rsidTr="00CA7A60">
        <w:trPr>
          <w:trHeight w:val="300"/>
        </w:trPr>
        <w:tc>
          <w:tcPr>
            <w:tcW w:w="2706"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Primary drug of concern</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Alcohol (n=11912; 47.2%)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1441 (12.1%)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1369 (11.5%)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1187 (10.0%)</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Cannabis (n=5663; 22.4%)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685 (12.1%)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619 (10.9%)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593 (10.5%)</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Heroin &amp; other opioids (n=3863; 15.3%)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413 (10.7%)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360 (9.3%)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342 (8.9%)</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Amphetamine &amp; other stimulants (n=2198; 8.7%)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238 (10.8%)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224 (10.2%)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239 (10.9%)</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Benzodiazepines &amp; other tranquillisers (n=522; 2.1%)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48 (9.2%)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40 (7.7%)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36 (6.9%)</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(n=730; 2.9%)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73 (10.0%)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73 (10.0%)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72 (9.9%)</w:t>
            </w:r>
          </w:p>
        </w:tc>
      </w:tr>
      <w:tr w:rsidR="00CA7A60" w:rsidRPr="00B30EA5" w:rsidTr="00CA7A60">
        <w:trPr>
          <w:trHeight w:val="300"/>
        </w:trPr>
        <w:tc>
          <w:tcPr>
            <w:tcW w:w="2706"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(n=341; 1.4%)</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 (7.6%)</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 (9.4%)</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38 (11.1%)</w:t>
            </w:r>
          </w:p>
        </w:tc>
      </w:tr>
    </w:tbl>
    <w:p w:rsidR="00CA7A60" w:rsidRDefault="00CA7A60" w:rsidP="00A126E3">
      <w:pPr>
        <w:pStyle w:val="FAREtableheading"/>
      </w:pPr>
    </w:p>
    <w:p w:rsidR="00CA7A60" w:rsidRDefault="00CA7A60" w:rsidP="00CA7A60">
      <w:pPr>
        <w:pStyle w:val="FAREnormaltext"/>
      </w:pPr>
      <w:r>
        <w:t xml:space="preserve">ED presentations for non-AOD-related conditions are shown in </w:t>
      </w:r>
      <w:r w:rsidR="00BE3D19">
        <w:fldChar w:fldCharType="begin"/>
      </w:r>
      <w:r w:rsidR="009F30FB">
        <w:instrText xml:space="preserve"> REF _Ref386854875 </w:instrText>
      </w:r>
      <w:r w:rsidR="00BE3D19">
        <w:fldChar w:fldCharType="separate"/>
      </w:r>
      <w:r w:rsidR="00E150CA">
        <w:t xml:space="preserve">Table </w:t>
      </w:r>
      <w:r w:rsidR="00E150CA">
        <w:rPr>
          <w:noProof/>
        </w:rPr>
        <w:t>4</w:t>
      </w:r>
      <w:r w:rsidR="00E150CA">
        <w:t>.</w:t>
      </w:r>
      <w:r w:rsidR="00E150CA">
        <w:rPr>
          <w:noProof/>
        </w:rPr>
        <w:t>13</w:t>
      </w:r>
      <w:r w:rsidR="00BE3D19">
        <w:rPr>
          <w:noProof/>
        </w:rPr>
        <w:fldChar w:fldCharType="end"/>
      </w:r>
      <w:r>
        <w:t xml:space="preserve"> for the AOD client cohort. There was a small reduction in the proportion of clients presenting with non-AOD-related conditions in the year following AOD treatment, and this reduction was evident for most treatment types. While decreases in presentations were evident across most primary drugs of concern, there was no change in the proportion of clients with non-AOD-related presentation to ED where the primary drug of concern was benzodiazepines and other tranquilizers. For clients with a primary drug of concern of </w:t>
      </w:r>
      <w:r w:rsidR="00B473EE">
        <w:t>amphetamines</w:t>
      </w:r>
      <w:r>
        <w:t xml:space="preserve"> and other stimulants on entry into AOD treatment, there was an increase in ED presentations with non-AOD-related diagnoses in the year following AOD treatment when compared with the year prior to AOD treatment.</w:t>
      </w:r>
    </w:p>
    <w:p w:rsidR="00CA7A60" w:rsidRPr="00607299" w:rsidRDefault="00CA7A60" w:rsidP="00CA7A60">
      <w:pPr>
        <w:spacing w:after="120" w:line="240" w:lineRule="auto"/>
        <w:ind w:left="1191" w:hanging="1134"/>
        <w:jc w:val="both"/>
        <w:rPr>
          <w:lang w:val="en-GB"/>
        </w:rPr>
      </w:pPr>
      <w:r>
        <w:br w:type="page"/>
      </w:r>
    </w:p>
    <w:p w:rsidR="00CA7A60" w:rsidRDefault="00CA7A60" w:rsidP="00A126E3">
      <w:pPr>
        <w:pStyle w:val="FAREtableheading"/>
      </w:pPr>
      <w:bookmarkStart w:id="203" w:name="_Ref386854875"/>
      <w:bookmarkStart w:id="204" w:name="_Toc387244637"/>
      <w:bookmarkStart w:id="205" w:name="_Toc398105096"/>
      <w:proofErr w:type="gramStart"/>
      <w:r>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13</w:t>
      </w:r>
      <w:r w:rsidR="00BE3D19">
        <w:rPr>
          <w:noProof/>
        </w:rPr>
        <w:fldChar w:fldCharType="end"/>
      </w:r>
      <w:bookmarkEnd w:id="203"/>
      <w:r>
        <w:t xml:space="preserve"> </w:t>
      </w:r>
      <w:r w:rsidR="00E41BCC">
        <w:t xml:space="preserve"> </w:t>
      </w:r>
      <w:r>
        <w:t xml:space="preserve">ED presentations for non-AOD-related conditions by AOD </w:t>
      </w:r>
      <w:r w:rsidR="004B5CD4">
        <w:t>treatment</w:t>
      </w:r>
      <w:r>
        <w:t xml:space="preserve"> type, primary drug of concern and treatment termination status, 2009/10, 2010/11 and 2011/12</w:t>
      </w:r>
      <w:bookmarkEnd w:id="204"/>
      <w:bookmarkEnd w:id="205"/>
    </w:p>
    <w:tbl>
      <w:tblPr>
        <w:tblW w:w="5000" w:type="pct"/>
        <w:tblLook w:val="04A0" w:firstRow="1" w:lastRow="0" w:firstColumn="1" w:lastColumn="0" w:noHBand="0" w:noVBand="1"/>
      </w:tblPr>
      <w:tblGrid>
        <w:gridCol w:w="5002"/>
        <w:gridCol w:w="1414"/>
        <w:gridCol w:w="1414"/>
        <w:gridCol w:w="1412"/>
      </w:tblGrid>
      <w:tr w:rsidR="00CA7A60" w:rsidRPr="00B30EA5" w:rsidTr="00CA7A60">
        <w:trPr>
          <w:trHeight w:val="300"/>
        </w:trPr>
        <w:tc>
          <w:tcPr>
            <w:tcW w:w="2706" w:type="pct"/>
            <w:vMerge w:val="restart"/>
            <w:tcBorders>
              <w:top w:val="single" w:sz="12" w:space="0" w:color="auto"/>
              <w:left w:val="nil"/>
              <w:bottom w:val="single" w:sz="12" w:space="0" w:color="000000"/>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w:t>
            </w:r>
          </w:p>
        </w:tc>
        <w:tc>
          <w:tcPr>
            <w:tcW w:w="2294" w:type="pct"/>
            <w:gridSpan w:val="3"/>
            <w:tcBorders>
              <w:top w:val="single" w:sz="12" w:space="0" w:color="auto"/>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xml:space="preserve">Non-AOD-related conditions </w:t>
            </w:r>
          </w:p>
        </w:tc>
      </w:tr>
      <w:tr w:rsidR="00CA7A60" w:rsidRPr="00B30EA5" w:rsidTr="00CA7A60">
        <w:trPr>
          <w:trHeight w:val="300"/>
        </w:trPr>
        <w:tc>
          <w:tcPr>
            <w:tcW w:w="2706" w:type="pct"/>
            <w:vMerge/>
            <w:tcBorders>
              <w:top w:val="single" w:sz="12" w:space="0" w:color="auto"/>
              <w:left w:val="nil"/>
              <w:bottom w:val="single" w:sz="12" w:space="0" w:color="000000"/>
              <w:right w:val="nil"/>
            </w:tcBorders>
            <w:vAlign w:val="center"/>
            <w:hideMark/>
          </w:tcPr>
          <w:p w:rsidR="00CA7A60" w:rsidRPr="00B30EA5" w:rsidRDefault="00CA7A60" w:rsidP="00CA7A60">
            <w:pPr>
              <w:spacing w:after="0" w:line="240" w:lineRule="auto"/>
              <w:rPr>
                <w:rFonts w:eastAsia="Times New Roman"/>
                <w:b/>
                <w:bCs/>
                <w:color w:val="000000"/>
                <w:lang w:eastAsia="en-AU"/>
              </w:rPr>
            </w:pP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09/10 (%)</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10/11 (%)</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ED 11/12 (%)</w:t>
            </w:r>
          </w:p>
        </w:tc>
      </w:tr>
      <w:tr w:rsidR="00CA7A60" w:rsidRPr="00B30EA5" w:rsidTr="00CA7A60">
        <w:trPr>
          <w:trHeight w:val="300"/>
        </w:trPr>
        <w:tc>
          <w:tcPr>
            <w:tcW w:w="2706" w:type="pct"/>
            <w:tcBorders>
              <w:top w:val="nil"/>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Total </w:t>
            </w:r>
            <w:r w:rsidRPr="00941C94">
              <w:rPr>
                <w:rFonts w:eastAsia="Times New Roman"/>
                <w:bCs/>
                <w:color w:val="000000"/>
                <w:sz w:val="24"/>
                <w:szCs w:val="24"/>
                <w:lang w:eastAsia="en-AU"/>
              </w:rPr>
              <w:t>(n=25229)</w:t>
            </w:r>
          </w:p>
        </w:tc>
        <w:tc>
          <w:tcPr>
            <w:tcW w:w="765"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4828 (19.1%)</w:t>
            </w:r>
          </w:p>
        </w:tc>
        <w:tc>
          <w:tcPr>
            <w:tcW w:w="765"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4923 (19.5%)</w:t>
            </w:r>
          </w:p>
        </w:tc>
        <w:tc>
          <w:tcPr>
            <w:tcW w:w="765"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4642 (18.4%)</w:t>
            </w:r>
          </w:p>
        </w:tc>
      </w:tr>
      <w:tr w:rsidR="00CA7A60" w:rsidRPr="00B30EA5" w:rsidTr="00CA7A60">
        <w:trPr>
          <w:trHeight w:val="300"/>
        </w:trPr>
        <w:tc>
          <w:tcPr>
            <w:tcW w:w="2706" w:type="pct"/>
            <w:tcBorders>
              <w:top w:val="nil"/>
              <w:left w:val="nil"/>
              <w:bottom w:val="nil"/>
              <w:right w:val="nil"/>
            </w:tcBorders>
            <w:shd w:val="clear" w:color="auto" w:fill="auto"/>
            <w:noWrap/>
            <w:vAlign w:val="center"/>
            <w:hideMark/>
          </w:tcPr>
          <w:p w:rsidR="00CA7A60" w:rsidRPr="00B30EA5" w:rsidRDefault="004B5CD4" w:rsidP="00CA7A60">
            <w:pPr>
              <w:spacing w:after="0" w:line="240" w:lineRule="auto"/>
              <w:rPr>
                <w:rFonts w:eastAsia="Times New Roman"/>
                <w:b/>
                <w:bCs/>
                <w:color w:val="000000"/>
                <w:sz w:val="24"/>
                <w:szCs w:val="24"/>
                <w:lang w:eastAsia="en-AU"/>
              </w:rPr>
            </w:pPr>
            <w:r>
              <w:rPr>
                <w:rFonts w:eastAsia="Times New Roman"/>
                <w:b/>
                <w:bCs/>
                <w:color w:val="000000"/>
                <w:sz w:val="24"/>
                <w:szCs w:val="24"/>
                <w:lang w:eastAsia="en-AU"/>
              </w:rPr>
              <w:t>Treatment</w:t>
            </w:r>
            <w:r w:rsidR="00CA7A60" w:rsidRPr="00B30EA5">
              <w:rPr>
                <w:rFonts w:eastAsia="Times New Roman"/>
                <w:b/>
                <w:bCs/>
                <w:color w:val="000000"/>
                <w:sz w:val="24"/>
                <w:szCs w:val="24"/>
                <w:lang w:eastAsia="en-AU"/>
              </w:rPr>
              <w:t xml:space="preserve"> type</w:t>
            </w:r>
          </w:p>
        </w:tc>
        <w:tc>
          <w:tcPr>
            <w:tcW w:w="76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Counselling (n=11919; 47.2%)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2209 (18.5%)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2344 (19.7%)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2092 (17.6%)</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withdrawal (n=1962; 7.8%)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502 (25.6%)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526 (26.8%)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482 (24.6%)</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withdrawal (n=2582; 10.2%)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481 (18.6%)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523 (20.3%)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473 (18.3%)</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Outreach (n=2368; 9.4%)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426 (18.0%)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433 (18.3%)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433 (18.3%)</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Brokerage (n=3904; 15.5%)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698 (17.9%)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584 (15.0%)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678 (17.4%)</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Aboriginal services (n=733; 2.9%)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132 (18.0%)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134 (18.3%)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131 (17.9%)</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Specialist pharmacotherapy (n=401; 1.6%)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114 (28.4%)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103 (25.7%)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109 (27.2%)</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rehabilitation (n=176; 0.7%)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31 (17.6%)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29 (16.5%)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27 (15.3%)</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Supported accommodation (n=269; 1.1%)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60 (22.3%)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60 (22.3%)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65 (24.2%)</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Post withdrawal linkage (n=256; 1.0%)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47 (18.4%)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41 (16.0%)</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43 (16.8%)</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Other/unknown (n=659; 2.6%)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128 (19.4%)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146 (22.2%)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109 (16.5%)</w:t>
            </w:r>
          </w:p>
        </w:tc>
      </w:tr>
      <w:tr w:rsidR="00CA7A60" w:rsidRPr="00B30EA5" w:rsidTr="00CA7A60">
        <w:trPr>
          <w:trHeight w:val="300"/>
        </w:trPr>
        <w:tc>
          <w:tcPr>
            <w:tcW w:w="4235" w:type="pct"/>
            <w:gridSpan w:val="3"/>
            <w:tcBorders>
              <w:top w:val="single" w:sz="4" w:space="0" w:color="auto"/>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Treatment termination status</w:t>
            </w:r>
          </w:p>
        </w:tc>
        <w:tc>
          <w:tcPr>
            <w:tcW w:w="765" w:type="pct"/>
            <w:tcBorders>
              <w:top w:val="single" w:sz="4" w:space="0" w:color="auto"/>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Completed treatment (n=18690; 74.1%)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3487 (18.7%)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3520 (18.8%)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3364 (18.0%)</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Not completed (n=6262; 24.8%)</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1283 (20.5%)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1350 (21.6%)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1233 (19.7%)</w:t>
            </w:r>
          </w:p>
        </w:tc>
      </w:tr>
      <w:tr w:rsidR="00CA7A60" w:rsidRPr="00B30EA5" w:rsidTr="00CA7A60">
        <w:trPr>
          <w:trHeight w:val="300"/>
        </w:trPr>
        <w:tc>
          <w:tcPr>
            <w:tcW w:w="2706"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(n=277; 1.1%)</w:t>
            </w:r>
          </w:p>
        </w:tc>
        <w:tc>
          <w:tcPr>
            <w:tcW w:w="76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58 (20.9%)</w:t>
            </w:r>
          </w:p>
        </w:tc>
        <w:tc>
          <w:tcPr>
            <w:tcW w:w="76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 (19.1%)</w:t>
            </w:r>
          </w:p>
        </w:tc>
        <w:tc>
          <w:tcPr>
            <w:tcW w:w="76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45 (16.2%)</w:t>
            </w:r>
          </w:p>
        </w:tc>
      </w:tr>
      <w:tr w:rsidR="00CA7A60" w:rsidRPr="00B30EA5" w:rsidTr="00CA7A60">
        <w:trPr>
          <w:trHeight w:val="300"/>
        </w:trPr>
        <w:tc>
          <w:tcPr>
            <w:tcW w:w="2706"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Primary drug of concern</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Alcohol (n=11912; 47.2%)</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2280 (19.1%)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2277 (19.1%)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2238 (18.8%)</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Cannabis (n=5663; 22.4%)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1061 (18.7%)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1071 (18.9%)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1007 (17.8%)</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Heroin &amp; other opioids (n=3863; 15.3%)</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853 (22.1%)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836 (21.6%)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758 (19.6%)</w:t>
            </w:r>
          </w:p>
        </w:tc>
      </w:tr>
      <w:tr w:rsidR="00CA7A60" w:rsidRPr="00B30EA5" w:rsidTr="00CA7A60">
        <w:trPr>
          <w:trHeight w:val="300"/>
        </w:trPr>
        <w:tc>
          <w:tcPr>
            <w:tcW w:w="2706"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Amphetamine &amp; other stimulants (n=2198; 8.7%)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338 (15.4%)</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397 (18.1%)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356 (16.2%)</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Benzodiazepines &amp; other tranquillisers (n=522; 2.1%)</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97 (18.6%)</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125 (23.9%)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99 (19.0%)</w:t>
            </w:r>
          </w:p>
        </w:tc>
      </w:tr>
      <w:tr w:rsidR="00CA7A60" w:rsidRPr="00B30EA5" w:rsidTr="00CA7A60">
        <w:trPr>
          <w:trHeight w:val="300"/>
        </w:trPr>
        <w:tc>
          <w:tcPr>
            <w:tcW w:w="2706"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(n=730; 2.9%)</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142 (19.5%)</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151 (20.7%)</w:t>
            </w:r>
          </w:p>
        </w:tc>
        <w:tc>
          <w:tcPr>
            <w:tcW w:w="76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133 (18.2%)</w:t>
            </w:r>
          </w:p>
        </w:tc>
      </w:tr>
      <w:tr w:rsidR="00CA7A60" w:rsidRPr="00B30EA5" w:rsidTr="00CA7A60">
        <w:trPr>
          <w:trHeight w:val="300"/>
        </w:trPr>
        <w:tc>
          <w:tcPr>
            <w:tcW w:w="2706"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(n=341; 1.4%)</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57 (16.7%)</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66 (19.4%)</w:t>
            </w:r>
          </w:p>
        </w:tc>
        <w:tc>
          <w:tcPr>
            <w:tcW w:w="76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51 (15.0%)</w:t>
            </w:r>
          </w:p>
        </w:tc>
      </w:tr>
    </w:tbl>
    <w:p w:rsidR="00A90A88" w:rsidRDefault="00A90A88">
      <w:pPr>
        <w:spacing w:after="120" w:line="240" w:lineRule="auto"/>
        <w:ind w:left="1191" w:hanging="1134"/>
        <w:jc w:val="both"/>
        <w:rPr>
          <w:rFonts w:eastAsia="Times New Roman"/>
          <w:b/>
          <w:bCs/>
          <w:iCs/>
          <w:noProof/>
          <w:kern w:val="32"/>
          <w:sz w:val="32"/>
          <w:szCs w:val="32"/>
          <w:lang w:val="en-US"/>
        </w:rPr>
      </w:pPr>
    </w:p>
    <w:p w:rsidR="00CA7A60" w:rsidRPr="002358B5" w:rsidRDefault="00CA7A60" w:rsidP="0034684A">
      <w:pPr>
        <w:pStyle w:val="FAREH3"/>
      </w:pPr>
      <w:r>
        <w:t>Client characterstics and hospitalisaitons</w:t>
      </w:r>
    </w:p>
    <w:p w:rsidR="00CA7A60" w:rsidRDefault="00BE3D19" w:rsidP="00CA7A60">
      <w:pPr>
        <w:pStyle w:val="FAREnormaltext"/>
      </w:pPr>
      <w:r>
        <w:fldChar w:fldCharType="begin"/>
      </w:r>
      <w:r w:rsidR="00CA7A60">
        <w:instrText xml:space="preserve"> REF _Ref386856706 </w:instrText>
      </w:r>
      <w:r>
        <w:fldChar w:fldCharType="separate"/>
      </w:r>
      <w:proofErr w:type="gramStart"/>
      <w:r w:rsidR="00E150CA" w:rsidRPr="007B5F43">
        <w:t xml:space="preserve">Table </w:t>
      </w:r>
      <w:r w:rsidR="00E150CA">
        <w:rPr>
          <w:noProof/>
        </w:rPr>
        <w:t>4</w:t>
      </w:r>
      <w:r w:rsidR="00E150CA">
        <w:t>.</w:t>
      </w:r>
      <w:r w:rsidR="00E150CA">
        <w:rPr>
          <w:noProof/>
        </w:rPr>
        <w:t>14</w:t>
      </w:r>
      <w:r>
        <w:rPr>
          <w:noProof/>
        </w:rPr>
        <w:fldChar w:fldCharType="end"/>
      </w:r>
      <w:r w:rsidR="00CA7A60">
        <w:t xml:space="preserve"> shows</w:t>
      </w:r>
      <w:r w:rsidR="00CA7A60" w:rsidRPr="007B5F43">
        <w:t xml:space="preserve"> sociodemographic characteristics of </w:t>
      </w:r>
      <w:r w:rsidR="00CA7A60">
        <w:t>AOD</w:t>
      </w:r>
      <w:r w:rsidR="00CA7A60" w:rsidRPr="007B5F43">
        <w:t xml:space="preserve"> clients in 2010-2011 (index year)</w:t>
      </w:r>
      <w:r w:rsidR="00CA7A60">
        <w:t xml:space="preserve"> and hospitalisations from 2009/10 to 2011/12.</w:t>
      </w:r>
      <w:proofErr w:type="gramEnd"/>
      <w:r w:rsidR="00CA7A60">
        <w:t xml:space="preserve"> </w:t>
      </w:r>
      <w:r w:rsidR="00CA7A60" w:rsidRPr="007B5F43">
        <w:t>Approximately two-</w:t>
      </w:r>
      <w:r w:rsidR="00CA7A60">
        <w:t>thirds (68%) were male, with the</w:t>
      </w:r>
      <w:r w:rsidR="00CA7A60" w:rsidRPr="007B5F43">
        <w:t xml:space="preserve"> highest proportion of clients </w:t>
      </w:r>
      <w:r w:rsidR="00CA7A60">
        <w:t>aged</w:t>
      </w:r>
      <w:r w:rsidR="00CA7A60" w:rsidRPr="007B5F43">
        <w:t xml:space="preserve"> 25-34 </w:t>
      </w:r>
      <w:r w:rsidR="00CA7A60">
        <w:t>years</w:t>
      </w:r>
      <w:r w:rsidR="00CA7A60" w:rsidRPr="007B5F43">
        <w:t xml:space="preserve"> (29%). A minority of clients were either Aboriginal and/or T</w:t>
      </w:r>
      <w:r w:rsidR="00CA7A60">
        <w:t xml:space="preserve">orres </w:t>
      </w:r>
      <w:r w:rsidR="00CA7A60" w:rsidRPr="007B5F43">
        <w:t>S</w:t>
      </w:r>
      <w:r w:rsidR="00CA7A60">
        <w:t xml:space="preserve">trait </w:t>
      </w:r>
      <w:r w:rsidR="00CA7A60" w:rsidRPr="007B5F43">
        <w:t>I</w:t>
      </w:r>
      <w:r w:rsidR="00CA7A60">
        <w:t>slander</w:t>
      </w:r>
      <w:r w:rsidR="00CA7A60" w:rsidRPr="007B5F43">
        <w:t xml:space="preserve"> (7%)</w:t>
      </w:r>
      <w:r w:rsidR="00CA7A60">
        <w:t xml:space="preserve"> although this was above the state population proportion</w:t>
      </w:r>
      <w:r w:rsidR="00CA7A60" w:rsidRPr="007B5F43">
        <w:t xml:space="preserve">. </w:t>
      </w:r>
      <w:r w:rsidR="00CA7A60">
        <w:t xml:space="preserve">The majority were unemployed, living with family, in private residence and just under half were from metropolitan Melbourne. </w:t>
      </w:r>
    </w:p>
    <w:p w:rsidR="00CA7A60" w:rsidRDefault="00CA7A60" w:rsidP="00CA7A60">
      <w:pPr>
        <w:pStyle w:val="FAREnormaltext"/>
      </w:pPr>
      <w:r>
        <w:t>Almost two thirds of male clients and more than half of female clients were not admitted to hospital in any of the three years (6</w:t>
      </w:r>
      <w:r w:rsidR="004B5CD4">
        <w:t>4</w:t>
      </w:r>
      <w:r>
        <w:t>% of males and 5</w:t>
      </w:r>
      <w:r w:rsidR="004B5CD4">
        <w:t>2</w:t>
      </w:r>
      <w:r>
        <w:t>% of females). Almost one-quarter of females (2</w:t>
      </w:r>
      <w:r w:rsidR="004B5CD4">
        <w:t>3</w:t>
      </w:r>
      <w:r>
        <w:t>%) had multiple admissions, while only 1</w:t>
      </w:r>
      <w:r w:rsidR="004B5CD4">
        <w:t>4</w:t>
      </w:r>
      <w:r>
        <w:t xml:space="preserve">% of males were admitted on multiple occasions. The likelihood of hospital admission increased with age, as did multiple admissions. People who were </w:t>
      </w:r>
      <w:r>
        <w:lastRenderedPageBreak/>
        <w:t xml:space="preserve">under 35 years, employed, living with family, and from metropolitan Melbourne were least likely to be hospitalised across the three years of interest. </w:t>
      </w:r>
    </w:p>
    <w:p w:rsidR="00CA7A60" w:rsidRPr="00C725CA" w:rsidRDefault="00CA7A60" w:rsidP="00C725CA">
      <w:pPr>
        <w:pStyle w:val="FAREnormaltext"/>
      </w:pPr>
      <w:r w:rsidRPr="00C725CA">
        <w:t xml:space="preserve">In general, the proportions of pre-AOD treatment hospital admissions (2009/10) were higher than the proportions following AOD treatment engagement (2011/12). This pattern was evident for gender, age groups (with the exception of clients under 15 years and between 55-64 years), country of birth, Indigenous status, employment type, living status, accommodation status (except for </w:t>
      </w:r>
      <w:proofErr w:type="gramStart"/>
      <w:r w:rsidR="004B5CD4">
        <w:t>those</w:t>
      </w:r>
      <w:proofErr w:type="gramEnd"/>
      <w:r w:rsidR="004B5CD4">
        <w:t xml:space="preserve"> </w:t>
      </w:r>
      <w:r w:rsidRPr="00C725CA">
        <w:t>in custody), homeless status and region (</w:t>
      </w:r>
      <w:r w:rsidR="008A3260">
        <w:fldChar w:fldCharType="begin"/>
      </w:r>
      <w:r w:rsidR="008A3260">
        <w:instrText xml:space="preserve"> REF _Ref386865779  \* MERGEFORMAT </w:instrText>
      </w:r>
      <w:r w:rsidR="008A3260">
        <w:fldChar w:fldCharType="separate"/>
      </w:r>
      <w:r w:rsidR="00E150CA" w:rsidRPr="007B5F43">
        <w:t xml:space="preserve">Table </w:t>
      </w:r>
      <w:r w:rsidR="00E150CA">
        <w:t>4.15</w:t>
      </w:r>
      <w:r w:rsidR="008A3260">
        <w:fldChar w:fldCharType="end"/>
      </w:r>
      <w:r w:rsidRPr="00C725CA">
        <w:t xml:space="preserve">). </w:t>
      </w:r>
    </w:p>
    <w:p w:rsidR="00CA7A60" w:rsidRDefault="00CA7A60" w:rsidP="00CA7A60">
      <w:pPr>
        <w:pStyle w:val="FAREnormaltext"/>
      </w:pPr>
    </w:p>
    <w:p w:rsidR="00CA7A60" w:rsidRDefault="00CA7A60" w:rsidP="00CA7A60">
      <w:pPr>
        <w:pStyle w:val="FAREnormaltext"/>
        <w:sectPr w:rsidR="00CA7A60" w:rsidSect="00CA7A60">
          <w:pgSz w:w="11906" w:h="16838"/>
          <w:pgMar w:top="1440" w:right="1440" w:bottom="1440" w:left="1440" w:header="708" w:footer="595" w:gutter="0"/>
          <w:cols w:space="708"/>
          <w:docGrid w:linePitch="360"/>
        </w:sectPr>
      </w:pPr>
    </w:p>
    <w:p w:rsidR="00CA7A60" w:rsidRDefault="00CA7A60" w:rsidP="00A126E3">
      <w:pPr>
        <w:pStyle w:val="FAREtableheading"/>
      </w:pPr>
      <w:bookmarkStart w:id="206" w:name="_Ref386856706"/>
      <w:bookmarkStart w:id="207" w:name="_Toc387244638"/>
      <w:bookmarkStart w:id="208" w:name="_Toc398105097"/>
      <w:proofErr w:type="gramStart"/>
      <w:r w:rsidRPr="007B5F43">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14</w:t>
      </w:r>
      <w:r w:rsidR="00BE3D19">
        <w:rPr>
          <w:noProof/>
        </w:rPr>
        <w:fldChar w:fldCharType="end"/>
      </w:r>
      <w:bookmarkEnd w:id="206"/>
      <w:r w:rsidR="00E41BCC">
        <w:rPr>
          <w:noProof/>
        </w:rPr>
        <w:t xml:space="preserve"> </w:t>
      </w:r>
      <w:r w:rsidRPr="007B5F43">
        <w:t xml:space="preserve"> Sociodemographic characteristics </w:t>
      </w:r>
      <w:r>
        <w:t>by hospital admission, 2009/10 to 2011/12</w:t>
      </w:r>
      <w:bookmarkEnd w:id="207"/>
      <w:bookmarkEnd w:id="208"/>
    </w:p>
    <w:tbl>
      <w:tblPr>
        <w:tblW w:w="5000" w:type="pct"/>
        <w:tblLook w:val="04A0" w:firstRow="1" w:lastRow="0" w:firstColumn="1" w:lastColumn="0" w:noHBand="0" w:noVBand="1"/>
      </w:tblPr>
      <w:tblGrid>
        <w:gridCol w:w="4725"/>
        <w:gridCol w:w="1601"/>
        <w:gridCol w:w="1691"/>
        <w:gridCol w:w="1692"/>
        <w:gridCol w:w="1692"/>
        <w:gridCol w:w="1945"/>
        <w:gridCol w:w="828"/>
      </w:tblGrid>
      <w:tr w:rsidR="00CA7A60" w:rsidRPr="006F35E1" w:rsidTr="003F3393">
        <w:trPr>
          <w:trHeight w:val="300"/>
          <w:tblHeader/>
        </w:trPr>
        <w:tc>
          <w:tcPr>
            <w:tcW w:w="1667" w:type="pct"/>
            <w:vMerge w:val="restart"/>
            <w:tcBorders>
              <w:top w:val="single" w:sz="12" w:space="0" w:color="auto"/>
              <w:left w:val="nil"/>
              <w:bottom w:val="single" w:sz="12" w:space="0" w:color="000000"/>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 </w:t>
            </w:r>
          </w:p>
        </w:tc>
        <w:tc>
          <w:tcPr>
            <w:tcW w:w="3333" w:type="pct"/>
            <w:gridSpan w:val="6"/>
            <w:tcBorders>
              <w:top w:val="single" w:sz="12" w:space="0" w:color="auto"/>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 xml:space="preserve"> Number of AOD clients </w:t>
            </w:r>
          </w:p>
        </w:tc>
      </w:tr>
      <w:tr w:rsidR="00CA7A60" w:rsidRPr="006F35E1" w:rsidTr="003F3393">
        <w:trPr>
          <w:trHeight w:val="300"/>
          <w:tblHeader/>
        </w:trPr>
        <w:tc>
          <w:tcPr>
            <w:tcW w:w="1667" w:type="pct"/>
            <w:vMerge/>
            <w:tcBorders>
              <w:top w:val="single" w:sz="12" w:space="0" w:color="auto"/>
              <w:left w:val="nil"/>
              <w:bottom w:val="single" w:sz="12" w:space="0" w:color="000000"/>
              <w:right w:val="nil"/>
            </w:tcBorders>
            <w:vAlign w:val="center"/>
            <w:hideMark/>
          </w:tcPr>
          <w:p w:rsidR="00CA7A60" w:rsidRPr="006F35E1" w:rsidRDefault="00CA7A60" w:rsidP="00CA7A60">
            <w:pPr>
              <w:spacing w:after="0" w:line="240" w:lineRule="auto"/>
              <w:rPr>
                <w:rFonts w:eastAsia="Times New Roman"/>
                <w:b/>
                <w:bCs/>
                <w:color w:val="000000"/>
                <w:lang w:eastAsia="zh-CN"/>
              </w:rPr>
            </w:pPr>
          </w:p>
        </w:tc>
        <w:tc>
          <w:tcPr>
            <w:tcW w:w="565"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No Admission (%)</w:t>
            </w:r>
          </w:p>
        </w:tc>
        <w:tc>
          <w:tcPr>
            <w:tcW w:w="597"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Admission 09/10 only (%)</w:t>
            </w:r>
          </w:p>
        </w:tc>
        <w:tc>
          <w:tcPr>
            <w:tcW w:w="597"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Admission 10/11 only (%)</w:t>
            </w:r>
          </w:p>
        </w:tc>
        <w:tc>
          <w:tcPr>
            <w:tcW w:w="597"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Admission 11/12 only (%)</w:t>
            </w:r>
          </w:p>
        </w:tc>
        <w:tc>
          <w:tcPr>
            <w:tcW w:w="686"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Admission in multiple years (%)</w:t>
            </w:r>
          </w:p>
        </w:tc>
        <w:tc>
          <w:tcPr>
            <w:tcW w:w="292"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p</w:t>
            </w:r>
          </w:p>
        </w:tc>
      </w:tr>
      <w:tr w:rsidR="00CA7A60" w:rsidRPr="006F35E1" w:rsidTr="003F3393">
        <w:trPr>
          <w:trHeight w:val="300"/>
        </w:trPr>
        <w:tc>
          <w:tcPr>
            <w:tcW w:w="1667"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 xml:space="preserve">Total </w:t>
            </w:r>
            <w:r w:rsidRPr="00941C94">
              <w:rPr>
                <w:rFonts w:eastAsia="Times New Roman"/>
                <w:bCs/>
                <w:color w:val="000000"/>
                <w:lang w:eastAsia="zh-CN"/>
              </w:rPr>
              <w:t>(n=25229)</w:t>
            </w:r>
          </w:p>
        </w:tc>
        <w:tc>
          <w:tcPr>
            <w:tcW w:w="56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15119 (59.9%)</w:t>
            </w:r>
          </w:p>
        </w:tc>
        <w:tc>
          <w:tcPr>
            <w:tcW w:w="59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2167 (8.6%)</w:t>
            </w:r>
          </w:p>
        </w:tc>
        <w:tc>
          <w:tcPr>
            <w:tcW w:w="59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1929 (7.6%)</w:t>
            </w:r>
          </w:p>
        </w:tc>
        <w:tc>
          <w:tcPr>
            <w:tcW w:w="59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1801 (7.1%)</w:t>
            </w:r>
          </w:p>
        </w:tc>
        <w:tc>
          <w:tcPr>
            <w:tcW w:w="6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4213 (16.7%)</w:t>
            </w:r>
          </w:p>
        </w:tc>
        <w:tc>
          <w:tcPr>
            <w:tcW w:w="292"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3F3393">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 xml:space="preserve">Gender </w:t>
            </w:r>
          </w:p>
        </w:tc>
        <w:tc>
          <w:tcPr>
            <w:tcW w:w="565"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7"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7"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7"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86"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3F3393">
        <w:trPr>
          <w:trHeight w:val="300"/>
        </w:trPr>
        <w:tc>
          <w:tcPr>
            <w:tcW w:w="16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Male (n=17198; 68.2%)</w:t>
            </w:r>
          </w:p>
        </w:tc>
        <w:tc>
          <w:tcPr>
            <w:tcW w:w="56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10950 (63.7%)</w:t>
            </w:r>
          </w:p>
        </w:tc>
        <w:tc>
          <w:tcPr>
            <w:tcW w:w="59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1445 (8.4%)</w:t>
            </w:r>
          </w:p>
        </w:tc>
        <w:tc>
          <w:tcPr>
            <w:tcW w:w="59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1264 (7.3%)</w:t>
            </w:r>
          </w:p>
        </w:tc>
        <w:tc>
          <w:tcPr>
            <w:tcW w:w="59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1147 (6.7%)</w:t>
            </w:r>
          </w:p>
        </w:tc>
        <w:tc>
          <w:tcPr>
            <w:tcW w:w="6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2392 (13.9%)</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Female (n=7982; 31.6%)</w:t>
            </w:r>
          </w:p>
        </w:tc>
        <w:tc>
          <w:tcPr>
            <w:tcW w:w="565"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4120 (51.6%)</w:t>
            </w:r>
          </w:p>
        </w:tc>
        <w:tc>
          <w:tcPr>
            <w:tcW w:w="59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722 (9.0%)</w:t>
            </w:r>
          </w:p>
        </w:tc>
        <w:tc>
          <w:tcPr>
            <w:tcW w:w="59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665 (8.3%)</w:t>
            </w:r>
          </w:p>
        </w:tc>
        <w:tc>
          <w:tcPr>
            <w:tcW w:w="59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654 (8.2%)</w:t>
            </w:r>
          </w:p>
        </w:tc>
        <w:tc>
          <w:tcPr>
            <w:tcW w:w="686"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1821 (22.8%)</w:t>
            </w:r>
          </w:p>
        </w:tc>
        <w:tc>
          <w:tcPr>
            <w:tcW w:w="292" w:type="pct"/>
            <w:tcBorders>
              <w:top w:val="nil"/>
              <w:left w:val="nil"/>
              <w:bottom w:val="single" w:sz="4" w:space="0" w:color="auto"/>
              <w:right w:val="nil"/>
            </w:tcBorders>
            <w:shd w:val="clear" w:color="auto" w:fill="auto"/>
            <w:noWrap/>
            <w:vAlign w:val="bottom"/>
            <w:hideMark/>
          </w:tcPr>
          <w:p w:rsidR="003F3393" w:rsidRPr="006F35E1" w:rsidRDefault="003F3393" w:rsidP="003F3393">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b/>
                <w:bCs/>
                <w:color w:val="000000"/>
                <w:lang w:eastAsia="zh-CN"/>
              </w:rPr>
            </w:pPr>
            <w:r w:rsidRPr="006F35E1">
              <w:rPr>
                <w:rFonts w:eastAsia="Times New Roman"/>
                <w:b/>
                <w:bCs/>
                <w:color w:val="000000"/>
                <w:lang w:eastAsia="zh-CN"/>
              </w:rPr>
              <w:t>Age group</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0-14 (n=340; 1.3%)</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248 (72.9%)</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22 (6.5%)</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31 (9.1%)</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22 (6.5%)</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17 (5.0%)</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15-24 (n=6654; 26.4%)</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4298 (64.6%)</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561 (8.4%)</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447 (6.7%)</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487 (7.3%)</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861 (12.9%)</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25-34 (n=7334; 29.1%)</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4525 (61.7%)</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623 (8.5%)</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547 (7.5%)</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524 (7.1%)</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1115 (15.2%)</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35-44 (n=6220; 24.7%)</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3568 (57.4%)</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590 (9.5%)</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512 (8.2%)</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415 (6.7%)</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1135 (18.2%)</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45-54 (n=3202; 12.7%)</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1754 (54.8%)</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262 (8.2%)</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292 (9.1%)</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237 (7.4%)</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657 (20.5%)</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55-64 (n=1102; 4.4%)</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548 (49.7%)</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83 (7.5%)</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81 (7.4%)</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89 (8.1%)</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301 (27.3%)</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65+ (n=377; 1.5%)</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178 (47.2%)</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26 (6.9%)</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19 (5.0%)</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27 (7.2%)</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127 (33.7%)</w:t>
            </w:r>
          </w:p>
        </w:tc>
        <w:tc>
          <w:tcPr>
            <w:tcW w:w="292" w:type="pct"/>
            <w:tcBorders>
              <w:top w:val="nil"/>
              <w:left w:val="nil"/>
              <w:bottom w:val="nil"/>
              <w:right w:val="nil"/>
            </w:tcBorders>
            <w:shd w:val="clear" w:color="auto" w:fill="auto"/>
            <w:noWrap/>
            <w:vAlign w:val="bottom"/>
            <w:hideMark/>
          </w:tcPr>
          <w:p w:rsidR="003F3393" w:rsidRPr="006F35E1" w:rsidRDefault="003F3393" w:rsidP="003F3393">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3F3393" w:rsidRPr="006F35E1" w:rsidTr="003F3393">
        <w:trPr>
          <w:trHeight w:val="300"/>
        </w:trPr>
        <w:tc>
          <w:tcPr>
            <w:tcW w:w="1667"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b/>
                <w:bCs/>
                <w:color w:val="000000"/>
                <w:lang w:eastAsia="zh-CN"/>
              </w:rPr>
            </w:pPr>
            <w:r w:rsidRPr="006F35E1">
              <w:rPr>
                <w:rFonts w:eastAsia="Times New Roman"/>
                <w:b/>
                <w:bCs/>
                <w:color w:val="000000"/>
                <w:lang w:eastAsia="zh-CN"/>
              </w:rPr>
              <w:t>Country of birth</w:t>
            </w:r>
          </w:p>
        </w:tc>
        <w:tc>
          <w:tcPr>
            <w:tcW w:w="565"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7"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7"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7"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86"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92"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Australia (n=21501; 85.2%)</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12772 (59.4%)</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1880 (8.7%)</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1649 (7.7%)</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1552 (7.2%)</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3648 (17.0%)</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Other (n=3728; 14.8%)</w:t>
            </w:r>
          </w:p>
        </w:tc>
        <w:tc>
          <w:tcPr>
            <w:tcW w:w="565"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2347 (63.0%)</w:t>
            </w:r>
          </w:p>
        </w:tc>
        <w:tc>
          <w:tcPr>
            <w:tcW w:w="59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287 (7.7%)</w:t>
            </w:r>
          </w:p>
        </w:tc>
        <w:tc>
          <w:tcPr>
            <w:tcW w:w="59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280 (7.5%)</w:t>
            </w:r>
          </w:p>
        </w:tc>
        <w:tc>
          <w:tcPr>
            <w:tcW w:w="59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249 (6.7%)</w:t>
            </w:r>
          </w:p>
        </w:tc>
        <w:tc>
          <w:tcPr>
            <w:tcW w:w="686"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565 (15.2%)</w:t>
            </w:r>
          </w:p>
        </w:tc>
        <w:tc>
          <w:tcPr>
            <w:tcW w:w="292"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0.001</w:t>
            </w:r>
          </w:p>
        </w:tc>
      </w:tr>
      <w:tr w:rsidR="003F3393" w:rsidRPr="006F35E1" w:rsidTr="003F3393">
        <w:trPr>
          <w:trHeight w:val="300"/>
        </w:trPr>
        <w:tc>
          <w:tcPr>
            <w:tcW w:w="1667"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b/>
                <w:bCs/>
                <w:color w:val="000000"/>
                <w:lang w:eastAsia="zh-CN"/>
              </w:rPr>
            </w:pPr>
            <w:r w:rsidRPr="006F35E1">
              <w:rPr>
                <w:rFonts w:eastAsia="Times New Roman"/>
                <w:b/>
                <w:bCs/>
                <w:color w:val="000000"/>
                <w:lang w:eastAsia="zh-CN"/>
              </w:rPr>
              <w:t>Indigenous status</w:t>
            </w:r>
          </w:p>
        </w:tc>
        <w:tc>
          <w:tcPr>
            <w:tcW w:w="565"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7"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7"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7"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86"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92"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 </w:t>
            </w: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proofErr w:type="gramStart"/>
            <w:r w:rsidRPr="006F35E1">
              <w:rPr>
                <w:rFonts w:eastAsia="Times New Roman"/>
                <w:color w:val="000000"/>
                <w:lang w:eastAsia="zh-CN"/>
              </w:rPr>
              <w:t>Aboriginal  and</w:t>
            </w:r>
            <w:proofErr w:type="gramEnd"/>
            <w:r w:rsidRPr="006F35E1">
              <w:rPr>
                <w:rFonts w:eastAsia="Times New Roman"/>
                <w:color w:val="000000"/>
                <w:lang w:eastAsia="zh-CN"/>
              </w:rPr>
              <w:t>/or TSI origin (n=1832; 7.3%)</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1135 (62.0%)</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141 (7.7%)</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123 (6.7%)</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119 (6.5%)</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314 (17.1%)</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Neither Aboriginal nor TSI origin (n=20927; 82.9%)</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12400 (59.3%)</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1842 (8.8%)</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1625 (7.8%)</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1524 (7.3%)</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3536 (16.9%)</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Unknown (n=2470; 9.8%)</w:t>
            </w:r>
          </w:p>
        </w:tc>
        <w:tc>
          <w:tcPr>
            <w:tcW w:w="565"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1584 (64.1%)</w:t>
            </w:r>
          </w:p>
        </w:tc>
        <w:tc>
          <w:tcPr>
            <w:tcW w:w="59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184 (7.4%)</w:t>
            </w:r>
          </w:p>
        </w:tc>
        <w:tc>
          <w:tcPr>
            <w:tcW w:w="59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181 (7.3%)</w:t>
            </w:r>
          </w:p>
        </w:tc>
        <w:tc>
          <w:tcPr>
            <w:tcW w:w="59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158 (6.4%)</w:t>
            </w:r>
          </w:p>
        </w:tc>
        <w:tc>
          <w:tcPr>
            <w:tcW w:w="686"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363 (14.7%)</w:t>
            </w:r>
          </w:p>
        </w:tc>
        <w:tc>
          <w:tcPr>
            <w:tcW w:w="292" w:type="pct"/>
            <w:tcBorders>
              <w:top w:val="nil"/>
              <w:left w:val="nil"/>
              <w:bottom w:val="single" w:sz="4" w:space="0" w:color="auto"/>
              <w:right w:val="nil"/>
            </w:tcBorders>
            <w:shd w:val="clear" w:color="auto" w:fill="auto"/>
            <w:noWrap/>
            <w:vAlign w:val="bottom"/>
            <w:hideMark/>
          </w:tcPr>
          <w:p w:rsidR="003F3393" w:rsidRPr="006F35E1" w:rsidRDefault="003F3393" w:rsidP="003F3393">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b/>
                <w:bCs/>
                <w:color w:val="000000"/>
                <w:lang w:eastAsia="zh-CN"/>
              </w:rPr>
            </w:pPr>
            <w:r w:rsidRPr="006F35E1">
              <w:rPr>
                <w:rFonts w:eastAsia="Times New Roman"/>
                <w:b/>
                <w:bCs/>
                <w:color w:val="000000"/>
                <w:lang w:eastAsia="zh-CN"/>
              </w:rPr>
              <w:t>Employment</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Employed (n=6239; 24.7%)</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3951 (63.3%)</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546 (8.8%)</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490 (7.9%)</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443 (7.1%)</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809 (13.0%)</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Unemployed (n=13587; 53.9%)</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7832 (57.6%)</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1186 (8.7%)</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1060 (7.8%)</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942 (6.9%)</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2567 (18.9%)</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Other (n=4297; 17.0%)</w:t>
            </w:r>
          </w:p>
        </w:tc>
        <w:tc>
          <w:tcPr>
            <w:tcW w:w="565" w:type="pct"/>
            <w:tcBorders>
              <w:top w:val="nil"/>
              <w:left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2621 (61.0%)</w:t>
            </w:r>
          </w:p>
        </w:tc>
        <w:tc>
          <w:tcPr>
            <w:tcW w:w="597" w:type="pct"/>
            <w:tcBorders>
              <w:top w:val="nil"/>
              <w:left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347 (8.1%)</w:t>
            </w:r>
          </w:p>
        </w:tc>
        <w:tc>
          <w:tcPr>
            <w:tcW w:w="597" w:type="pct"/>
            <w:tcBorders>
              <w:top w:val="nil"/>
              <w:left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312 (7.3%)</w:t>
            </w:r>
          </w:p>
        </w:tc>
        <w:tc>
          <w:tcPr>
            <w:tcW w:w="597" w:type="pct"/>
            <w:tcBorders>
              <w:top w:val="nil"/>
              <w:left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343 (8.0%)</w:t>
            </w:r>
          </w:p>
        </w:tc>
        <w:tc>
          <w:tcPr>
            <w:tcW w:w="686" w:type="pct"/>
            <w:tcBorders>
              <w:top w:val="nil"/>
              <w:left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674 (15.7%)</w:t>
            </w:r>
          </w:p>
        </w:tc>
        <w:tc>
          <w:tcPr>
            <w:tcW w:w="292" w:type="pct"/>
            <w:tcBorders>
              <w:top w:val="nil"/>
              <w:left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Unknown (n=1106; 4.4%)</w:t>
            </w:r>
          </w:p>
        </w:tc>
        <w:tc>
          <w:tcPr>
            <w:tcW w:w="565"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715 (64.6%)</w:t>
            </w:r>
          </w:p>
        </w:tc>
        <w:tc>
          <w:tcPr>
            <w:tcW w:w="597"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88 (8.0%)</w:t>
            </w:r>
          </w:p>
        </w:tc>
        <w:tc>
          <w:tcPr>
            <w:tcW w:w="597"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67 (6.1%)</w:t>
            </w:r>
          </w:p>
        </w:tc>
        <w:tc>
          <w:tcPr>
            <w:tcW w:w="597"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73 (6.6%)</w:t>
            </w:r>
          </w:p>
        </w:tc>
        <w:tc>
          <w:tcPr>
            <w:tcW w:w="686"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163 (14.7%)</w:t>
            </w:r>
          </w:p>
        </w:tc>
        <w:tc>
          <w:tcPr>
            <w:tcW w:w="292" w:type="pct"/>
            <w:tcBorders>
              <w:top w:val="nil"/>
              <w:left w:val="nil"/>
              <w:bottom w:val="single" w:sz="12" w:space="0" w:color="auto"/>
              <w:right w:val="nil"/>
            </w:tcBorders>
            <w:shd w:val="clear" w:color="auto" w:fill="auto"/>
            <w:noWrap/>
            <w:vAlign w:val="bottom"/>
            <w:hideMark/>
          </w:tcPr>
          <w:p w:rsidR="003F3393" w:rsidRPr="006F35E1" w:rsidRDefault="003F3393" w:rsidP="003F3393">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3F3393" w:rsidRPr="006F35E1" w:rsidTr="003F3393">
        <w:trPr>
          <w:trHeight w:val="300"/>
        </w:trPr>
        <w:tc>
          <w:tcPr>
            <w:tcW w:w="1667" w:type="pct"/>
            <w:tcBorders>
              <w:top w:val="single" w:sz="12" w:space="0" w:color="auto"/>
              <w:left w:val="nil"/>
              <w:bottom w:val="nil"/>
              <w:right w:val="nil"/>
            </w:tcBorders>
            <w:shd w:val="clear" w:color="auto" w:fill="auto"/>
            <w:noWrap/>
            <w:vAlign w:val="bottom"/>
            <w:hideMark/>
          </w:tcPr>
          <w:p w:rsidR="003F3393" w:rsidRDefault="003F3393" w:rsidP="00CA7A60">
            <w:pPr>
              <w:pageBreakBefore/>
              <w:spacing w:after="0" w:line="240" w:lineRule="auto"/>
              <w:rPr>
                <w:rFonts w:eastAsia="Times New Roman"/>
                <w:b/>
                <w:bCs/>
                <w:color w:val="000000"/>
                <w:lang w:eastAsia="zh-CN"/>
              </w:rPr>
            </w:pPr>
            <w:r w:rsidRPr="006F35E1">
              <w:rPr>
                <w:rFonts w:eastAsia="Times New Roman"/>
                <w:b/>
                <w:bCs/>
                <w:color w:val="000000"/>
                <w:lang w:eastAsia="zh-CN"/>
              </w:rPr>
              <w:lastRenderedPageBreak/>
              <w:t>Living status</w:t>
            </w:r>
          </w:p>
        </w:tc>
        <w:tc>
          <w:tcPr>
            <w:tcW w:w="565" w:type="pct"/>
            <w:tcBorders>
              <w:top w:val="single" w:sz="12"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7" w:type="pct"/>
            <w:tcBorders>
              <w:top w:val="single" w:sz="12"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7" w:type="pct"/>
            <w:tcBorders>
              <w:top w:val="single" w:sz="12"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7" w:type="pct"/>
            <w:tcBorders>
              <w:top w:val="single" w:sz="12"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86" w:type="pct"/>
            <w:tcBorders>
              <w:top w:val="single" w:sz="12"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92" w:type="pct"/>
            <w:tcBorders>
              <w:top w:val="single" w:sz="12" w:space="0" w:color="auto"/>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 </w:t>
            </w: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Lives alone (n=4434; 17.6%)</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2465 (55.6%)</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400 (9.0%)</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356 (8.0%)</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271 (6.1%)</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942 (21.2%)</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Lives with family (n=13486; 53.5%)</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8247 (61.2%)</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1149 (8.5%)</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1045 (7.7%)</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988 (7.3%)</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2057 (15.3%)</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Lives with others (n=5455; 21.6%)</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3240 (59.4%)</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455 (8.3%)</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408 (7.5%)</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391 (7.2%)</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961 (17.6%)</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Unknown (n=1854; 7.3%)</w:t>
            </w:r>
          </w:p>
        </w:tc>
        <w:tc>
          <w:tcPr>
            <w:tcW w:w="565"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1167 (62.9%)</w:t>
            </w:r>
          </w:p>
        </w:tc>
        <w:tc>
          <w:tcPr>
            <w:tcW w:w="59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163 (8.8%)</w:t>
            </w:r>
          </w:p>
        </w:tc>
        <w:tc>
          <w:tcPr>
            <w:tcW w:w="59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120 (6.5%)</w:t>
            </w:r>
          </w:p>
        </w:tc>
        <w:tc>
          <w:tcPr>
            <w:tcW w:w="59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151 (8.1%)</w:t>
            </w:r>
          </w:p>
        </w:tc>
        <w:tc>
          <w:tcPr>
            <w:tcW w:w="686"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253 (13.6%)</w:t>
            </w:r>
          </w:p>
        </w:tc>
        <w:tc>
          <w:tcPr>
            <w:tcW w:w="292" w:type="pct"/>
            <w:tcBorders>
              <w:top w:val="nil"/>
              <w:left w:val="nil"/>
              <w:bottom w:val="single" w:sz="4" w:space="0" w:color="auto"/>
              <w:right w:val="nil"/>
            </w:tcBorders>
            <w:shd w:val="clear" w:color="auto" w:fill="auto"/>
            <w:noWrap/>
            <w:vAlign w:val="bottom"/>
            <w:hideMark/>
          </w:tcPr>
          <w:p w:rsidR="003F3393" w:rsidRPr="006F35E1" w:rsidRDefault="003F3393" w:rsidP="003F3393">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b/>
                <w:bCs/>
                <w:color w:val="000000"/>
                <w:lang w:eastAsia="zh-CN"/>
              </w:rPr>
            </w:pPr>
            <w:r w:rsidRPr="006F35E1">
              <w:rPr>
                <w:rFonts w:eastAsia="Times New Roman"/>
                <w:b/>
                <w:bCs/>
                <w:color w:val="000000"/>
                <w:lang w:eastAsia="zh-CN"/>
              </w:rPr>
              <w:t>Accommodation status</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Private residence (n=18325; 72.6%)</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10987 (60.0%)</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1579 (8.6%)</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1442 (7.9%)</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1307 (7.1%)</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3010 (16.4%)</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Unstable (n=2456; 9.7%)</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1363 (55.5%)</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209 (8.5%)</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187 (7.6%)</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140 (5.7%)</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557 (22.7%)</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In custody (n=1253; 5.0%)</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801 (63.9%)</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109 (8.7%)</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81 (6.5%)</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112 (8.9%)</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150 (12.0%)</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Other (n=1148; 4.6%)</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642 (55.9%)</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102 (8.9%)</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78 (6.8%)</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89 (7.8%)</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237 (20.6%)</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Unknown (n=2047; 8.1%)</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1326 (64.8%)</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168 (8.2%)</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141 (6.9%)</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153 (7.5%)</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259 (12.7%)</w:t>
            </w:r>
          </w:p>
        </w:tc>
        <w:tc>
          <w:tcPr>
            <w:tcW w:w="292" w:type="pct"/>
            <w:tcBorders>
              <w:top w:val="nil"/>
              <w:left w:val="nil"/>
              <w:bottom w:val="nil"/>
              <w:right w:val="nil"/>
            </w:tcBorders>
            <w:shd w:val="clear" w:color="auto" w:fill="auto"/>
            <w:noWrap/>
            <w:vAlign w:val="bottom"/>
            <w:hideMark/>
          </w:tcPr>
          <w:p w:rsidR="003F3393" w:rsidRPr="006F35E1" w:rsidRDefault="003F3393" w:rsidP="003F3393">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3F3393" w:rsidRPr="006F35E1" w:rsidTr="003F3393">
        <w:trPr>
          <w:trHeight w:val="300"/>
        </w:trPr>
        <w:tc>
          <w:tcPr>
            <w:tcW w:w="1667"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b/>
                <w:bCs/>
                <w:color w:val="000000"/>
                <w:lang w:eastAsia="zh-CN"/>
              </w:rPr>
            </w:pPr>
            <w:r w:rsidRPr="006F35E1">
              <w:rPr>
                <w:rFonts w:eastAsia="Times New Roman"/>
                <w:b/>
                <w:bCs/>
                <w:color w:val="000000"/>
                <w:lang w:eastAsia="zh-CN"/>
              </w:rPr>
              <w:t>Homeless status</w:t>
            </w:r>
          </w:p>
        </w:tc>
        <w:tc>
          <w:tcPr>
            <w:tcW w:w="565"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7"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7"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97"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86"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92"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Homeless (n=1186; 4.7%)</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632 (53.3%)</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104 (8.8%)</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91 (7.7%)</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78 (6.6%)</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281 (23.7%)</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Not homeless (n=23118; 91.6%)</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13886 (60.1%)</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2006 (8.7%)</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1770 (7.7%)</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1654 (7.2%)</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3802 (16.4%)</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Unknown (n=925; 3.7%)</w:t>
            </w:r>
          </w:p>
        </w:tc>
        <w:tc>
          <w:tcPr>
            <w:tcW w:w="565"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601 (65.0%)</w:t>
            </w:r>
          </w:p>
        </w:tc>
        <w:tc>
          <w:tcPr>
            <w:tcW w:w="59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57 (6.2%)</w:t>
            </w:r>
          </w:p>
        </w:tc>
        <w:tc>
          <w:tcPr>
            <w:tcW w:w="59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68 (7.4%)</w:t>
            </w:r>
          </w:p>
        </w:tc>
        <w:tc>
          <w:tcPr>
            <w:tcW w:w="597"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69 (7.5%)</w:t>
            </w:r>
          </w:p>
        </w:tc>
        <w:tc>
          <w:tcPr>
            <w:tcW w:w="686"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130 (14.1%)</w:t>
            </w:r>
          </w:p>
        </w:tc>
        <w:tc>
          <w:tcPr>
            <w:tcW w:w="292" w:type="pct"/>
            <w:tcBorders>
              <w:top w:val="nil"/>
              <w:left w:val="nil"/>
              <w:bottom w:val="single" w:sz="4" w:space="0" w:color="auto"/>
              <w:right w:val="nil"/>
            </w:tcBorders>
            <w:shd w:val="clear" w:color="auto" w:fill="auto"/>
            <w:noWrap/>
            <w:vAlign w:val="bottom"/>
            <w:hideMark/>
          </w:tcPr>
          <w:p w:rsidR="003F3393" w:rsidRPr="006F35E1" w:rsidRDefault="003F3393" w:rsidP="003F3393">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b/>
                <w:bCs/>
                <w:color w:val="000000"/>
                <w:lang w:eastAsia="zh-CN"/>
              </w:rPr>
            </w:pPr>
            <w:r w:rsidRPr="006F35E1">
              <w:rPr>
                <w:rFonts w:eastAsia="Times New Roman"/>
                <w:b/>
                <w:bCs/>
                <w:color w:val="000000"/>
                <w:lang w:eastAsia="zh-CN"/>
              </w:rPr>
              <w:t>Region</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Metro</w:t>
            </w:r>
            <w:r w:rsidR="004B5CD4">
              <w:rPr>
                <w:rFonts w:eastAsia="Times New Roman"/>
                <w:color w:val="000000"/>
                <w:lang w:eastAsia="zh-CN"/>
              </w:rPr>
              <w:t>politan</w:t>
            </w:r>
            <w:r w:rsidRPr="006F35E1">
              <w:rPr>
                <w:rFonts w:eastAsia="Times New Roman"/>
                <w:color w:val="000000"/>
                <w:lang w:eastAsia="zh-CN"/>
              </w:rPr>
              <w:t xml:space="preserve"> Melbourne (n=12346; 48.9%)</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6952 (56.3%)</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1069 (8.7%)</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1033 (8.4%)</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905 (7.3%)</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2387 (19.3%)</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Rest of V</w:t>
            </w:r>
            <w:r w:rsidR="004B5CD4">
              <w:rPr>
                <w:rFonts w:eastAsia="Times New Roman"/>
                <w:color w:val="000000"/>
                <w:lang w:eastAsia="zh-CN"/>
              </w:rPr>
              <w:t>ictoria</w:t>
            </w:r>
            <w:r w:rsidRPr="006F35E1">
              <w:rPr>
                <w:rFonts w:eastAsia="Times New Roman"/>
                <w:color w:val="000000"/>
                <w:lang w:eastAsia="zh-CN"/>
              </w:rPr>
              <w:t xml:space="preserve"> (n=7875; 31.2%)</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5036 (63.9%)</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612 (7.8%)</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549 (7.0%)</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507 (6.4%)</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1171 (14.9%)</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Interstate (n=438; 1.7%)</w:t>
            </w:r>
          </w:p>
        </w:tc>
        <w:tc>
          <w:tcPr>
            <w:tcW w:w="565"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280 (63.9%)</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41 (9.4%)</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33 (7.5%)</w:t>
            </w:r>
          </w:p>
        </w:tc>
        <w:tc>
          <w:tcPr>
            <w:tcW w:w="597"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33 (7.5%)</w:t>
            </w:r>
          </w:p>
        </w:tc>
        <w:tc>
          <w:tcPr>
            <w:tcW w:w="686"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51 (11.6%)</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667"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Unknown (n=4570; 18.1%)</w:t>
            </w:r>
          </w:p>
        </w:tc>
        <w:tc>
          <w:tcPr>
            <w:tcW w:w="565"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2851 (62.4%)</w:t>
            </w:r>
          </w:p>
        </w:tc>
        <w:tc>
          <w:tcPr>
            <w:tcW w:w="597"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445 (9.7%)</w:t>
            </w:r>
          </w:p>
        </w:tc>
        <w:tc>
          <w:tcPr>
            <w:tcW w:w="597"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314 (6.9%)</w:t>
            </w:r>
          </w:p>
        </w:tc>
        <w:tc>
          <w:tcPr>
            <w:tcW w:w="597"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356 (7.8%)</w:t>
            </w:r>
          </w:p>
        </w:tc>
        <w:tc>
          <w:tcPr>
            <w:tcW w:w="686"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604 (13.2%)</w:t>
            </w:r>
          </w:p>
        </w:tc>
        <w:tc>
          <w:tcPr>
            <w:tcW w:w="292" w:type="pct"/>
            <w:tcBorders>
              <w:top w:val="nil"/>
              <w:left w:val="nil"/>
              <w:bottom w:val="single" w:sz="12" w:space="0" w:color="auto"/>
              <w:right w:val="nil"/>
            </w:tcBorders>
            <w:shd w:val="clear" w:color="auto" w:fill="auto"/>
            <w:noWrap/>
            <w:vAlign w:val="bottom"/>
            <w:hideMark/>
          </w:tcPr>
          <w:p w:rsidR="003F3393" w:rsidRPr="006F35E1" w:rsidRDefault="003F3393" w:rsidP="003F3393">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bl>
    <w:p w:rsidR="00CA7A60" w:rsidRDefault="00CA7A60" w:rsidP="00CA7A60">
      <w:pPr>
        <w:spacing w:after="120" w:line="240" w:lineRule="auto"/>
        <w:ind w:left="1191" w:hanging="1134"/>
        <w:jc w:val="both"/>
        <w:rPr>
          <w:b/>
          <w:iCs/>
          <w:lang w:eastAsia="en-AU"/>
        </w:rPr>
        <w:sectPr w:rsidR="00CA7A60" w:rsidSect="00CA7A60">
          <w:pgSz w:w="16838" w:h="11906" w:orient="landscape"/>
          <w:pgMar w:top="1276" w:right="1440" w:bottom="1440" w:left="1440" w:header="708" w:footer="595" w:gutter="0"/>
          <w:cols w:space="708"/>
          <w:docGrid w:linePitch="360"/>
        </w:sectPr>
      </w:pPr>
    </w:p>
    <w:p w:rsidR="00CA7A60" w:rsidRDefault="00CA7A60" w:rsidP="00A126E3">
      <w:pPr>
        <w:pStyle w:val="FAREtableheading"/>
      </w:pPr>
      <w:bookmarkStart w:id="209" w:name="_Ref386865779"/>
      <w:bookmarkStart w:id="210" w:name="_Toc387244639"/>
      <w:bookmarkStart w:id="211" w:name="_Toc398105098"/>
      <w:proofErr w:type="gramStart"/>
      <w:r w:rsidRPr="007B5F43">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15</w:t>
      </w:r>
      <w:r w:rsidR="00BE3D19">
        <w:rPr>
          <w:noProof/>
        </w:rPr>
        <w:fldChar w:fldCharType="end"/>
      </w:r>
      <w:bookmarkEnd w:id="209"/>
      <w:r w:rsidR="00E41BCC">
        <w:rPr>
          <w:noProof/>
        </w:rPr>
        <w:t xml:space="preserve"> </w:t>
      </w:r>
      <w:r w:rsidRPr="007B5F43">
        <w:t xml:space="preserve"> Soci</w:t>
      </w:r>
      <w:r>
        <w:t>odemographic characteristics by hospital admission in 2009/10, 2010/11 and 2011/12</w:t>
      </w:r>
      <w:bookmarkEnd w:id="210"/>
      <w:bookmarkEnd w:id="211"/>
    </w:p>
    <w:tbl>
      <w:tblPr>
        <w:tblW w:w="5000" w:type="pct"/>
        <w:tblLook w:val="04A0" w:firstRow="1" w:lastRow="0" w:firstColumn="1" w:lastColumn="0" w:noHBand="0" w:noVBand="1"/>
      </w:tblPr>
      <w:tblGrid>
        <w:gridCol w:w="4760"/>
        <w:gridCol w:w="1548"/>
        <w:gridCol w:w="1550"/>
        <w:gridCol w:w="1548"/>
      </w:tblGrid>
      <w:tr w:rsidR="00CA7A60" w:rsidRPr="00B30EA5" w:rsidTr="00CA7A60">
        <w:trPr>
          <w:trHeight w:val="300"/>
          <w:tblHeader/>
        </w:trPr>
        <w:tc>
          <w:tcPr>
            <w:tcW w:w="2530" w:type="pct"/>
            <w:vMerge w:val="restart"/>
            <w:tcBorders>
              <w:top w:val="single" w:sz="12" w:space="0" w:color="auto"/>
              <w:left w:val="nil"/>
              <w:bottom w:val="single" w:sz="12" w:space="0" w:color="000000"/>
              <w:right w:val="nil"/>
            </w:tcBorders>
            <w:shd w:val="clear" w:color="auto" w:fill="auto"/>
            <w:noWrap/>
            <w:vAlign w:val="bottom"/>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w:t>
            </w:r>
          </w:p>
        </w:tc>
        <w:tc>
          <w:tcPr>
            <w:tcW w:w="2470" w:type="pct"/>
            <w:gridSpan w:val="3"/>
            <w:tcBorders>
              <w:top w:val="single" w:sz="12" w:space="0" w:color="auto"/>
              <w:left w:val="nil"/>
              <w:bottom w:val="single" w:sz="4" w:space="0" w:color="auto"/>
              <w:right w:val="nil"/>
            </w:tcBorders>
            <w:shd w:val="clear" w:color="auto" w:fill="auto"/>
            <w:vAlign w:val="bottom"/>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xml:space="preserve"> Number of AOD clients </w:t>
            </w:r>
          </w:p>
        </w:tc>
      </w:tr>
      <w:tr w:rsidR="00CA7A60" w:rsidRPr="00B30EA5" w:rsidTr="00CA7A60">
        <w:trPr>
          <w:trHeight w:val="300"/>
          <w:tblHeader/>
        </w:trPr>
        <w:tc>
          <w:tcPr>
            <w:tcW w:w="2530" w:type="pct"/>
            <w:vMerge/>
            <w:tcBorders>
              <w:top w:val="single" w:sz="12" w:space="0" w:color="auto"/>
              <w:left w:val="nil"/>
              <w:bottom w:val="single" w:sz="12" w:space="0" w:color="000000"/>
              <w:right w:val="nil"/>
            </w:tcBorders>
            <w:vAlign w:val="center"/>
            <w:hideMark/>
          </w:tcPr>
          <w:p w:rsidR="00CA7A60" w:rsidRPr="00B30EA5" w:rsidRDefault="00CA7A60" w:rsidP="00CA7A60">
            <w:pPr>
              <w:spacing w:after="0" w:line="240" w:lineRule="auto"/>
              <w:rPr>
                <w:rFonts w:eastAsia="Times New Roman"/>
                <w:b/>
                <w:bCs/>
                <w:color w:val="000000"/>
                <w:lang w:eastAsia="en-AU"/>
              </w:rPr>
            </w:pPr>
          </w:p>
        </w:tc>
        <w:tc>
          <w:tcPr>
            <w:tcW w:w="823"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09/10 (%)</w:t>
            </w:r>
          </w:p>
        </w:tc>
        <w:tc>
          <w:tcPr>
            <w:tcW w:w="824"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10/11 (%)</w:t>
            </w:r>
          </w:p>
        </w:tc>
        <w:tc>
          <w:tcPr>
            <w:tcW w:w="824"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11/12 (%)</w:t>
            </w:r>
          </w:p>
        </w:tc>
      </w:tr>
      <w:tr w:rsidR="00CA7A60" w:rsidRPr="00B30EA5" w:rsidTr="00CA7A60">
        <w:trPr>
          <w:trHeight w:val="300"/>
        </w:trPr>
        <w:tc>
          <w:tcPr>
            <w:tcW w:w="2530"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Total </w:t>
            </w:r>
            <w:r w:rsidRPr="00941C94">
              <w:rPr>
                <w:rFonts w:eastAsia="Times New Roman"/>
                <w:bCs/>
                <w:color w:val="000000"/>
                <w:sz w:val="24"/>
                <w:szCs w:val="24"/>
                <w:lang w:eastAsia="en-AU"/>
              </w:rPr>
              <w:t>(n=25229)</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5367 (21.3%)</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5301 (21.0%)</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4983 (19.8%)</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Gender </w:t>
            </w:r>
          </w:p>
        </w:tc>
        <w:tc>
          <w:tcPr>
            <w:tcW w:w="823"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824"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824"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Male (n=17198; 68.2%)</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3227 (18.8%)</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3200 (18.6%)</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2926 (17.0%)</w:t>
            </w:r>
          </w:p>
        </w:tc>
      </w:tr>
      <w:tr w:rsidR="00CA7A60" w:rsidRPr="00B30EA5" w:rsidTr="00CA7A60">
        <w:trPr>
          <w:trHeight w:val="300"/>
        </w:trPr>
        <w:tc>
          <w:tcPr>
            <w:tcW w:w="2530"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Female (n=7982; 31.6%)</w:t>
            </w:r>
          </w:p>
        </w:tc>
        <w:tc>
          <w:tcPr>
            <w:tcW w:w="823"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2140 (26.8%)</w:t>
            </w:r>
          </w:p>
        </w:tc>
        <w:tc>
          <w:tcPr>
            <w:tcW w:w="824"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2101 (26.3%)</w:t>
            </w:r>
          </w:p>
        </w:tc>
        <w:tc>
          <w:tcPr>
            <w:tcW w:w="824"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2057 (25.8%)</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Age group</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0-14 (n=340; 1.3%)</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 (9.7%)</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44 (12.9%)</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 (10.3%)</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15-24 (n=6654; 26.4%)</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1174 (17.6%)</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1123 (16.9%)</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1120 (16.8%)</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25-34 (n=7334; 29.1%)</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1475 (20.1%)</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1441 (19.6%)</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1367 (18.6%)</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35-44 (n=6220; 24.7%)</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1486 (23.9%)</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1403 (22.6%)</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1279 (20.6%)</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45-54 (n=3202; 12.7%)</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761 (23.8%)</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836 (26.1%)</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732 (22.9%)</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55-64 (n=1102; 4.4%)</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313 (28.4%)</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328 (29.8%)</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329 (29.9%)</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65+ (n=377; 1.5%)</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125 (33.2%)</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126 (33.4%)</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121 (32.1%)</w:t>
            </w:r>
          </w:p>
        </w:tc>
      </w:tr>
      <w:tr w:rsidR="00CA7A60" w:rsidRPr="00B30EA5" w:rsidTr="00CA7A60">
        <w:trPr>
          <w:trHeight w:val="300"/>
        </w:trPr>
        <w:tc>
          <w:tcPr>
            <w:tcW w:w="3353" w:type="pct"/>
            <w:gridSpan w:val="2"/>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Country of birth</w:t>
            </w:r>
          </w:p>
        </w:tc>
        <w:tc>
          <w:tcPr>
            <w:tcW w:w="824"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824"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Australia (n=21501; 85.2%)</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4651 (21.6%)</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4561 (21.2%)</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4309 (20.0%)</w:t>
            </w:r>
          </w:p>
        </w:tc>
      </w:tr>
      <w:tr w:rsidR="00CA7A60" w:rsidRPr="00B30EA5" w:rsidTr="00CA7A60">
        <w:trPr>
          <w:trHeight w:val="300"/>
        </w:trPr>
        <w:tc>
          <w:tcPr>
            <w:tcW w:w="2530"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(n=3728; 14.8%)</w:t>
            </w:r>
          </w:p>
        </w:tc>
        <w:tc>
          <w:tcPr>
            <w:tcW w:w="823"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716 (19.2%)</w:t>
            </w:r>
          </w:p>
        </w:tc>
        <w:tc>
          <w:tcPr>
            <w:tcW w:w="824"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740 (19.8%)</w:t>
            </w:r>
          </w:p>
        </w:tc>
        <w:tc>
          <w:tcPr>
            <w:tcW w:w="824"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674 (18.1%)</w:t>
            </w:r>
          </w:p>
        </w:tc>
      </w:tr>
      <w:tr w:rsidR="00CA7A60" w:rsidRPr="00B30EA5" w:rsidTr="00CA7A60">
        <w:trPr>
          <w:trHeight w:val="300"/>
        </w:trPr>
        <w:tc>
          <w:tcPr>
            <w:tcW w:w="3353" w:type="pct"/>
            <w:gridSpan w:val="2"/>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Indigenous status</w:t>
            </w:r>
          </w:p>
        </w:tc>
        <w:tc>
          <w:tcPr>
            <w:tcW w:w="824"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824"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Aboriginal and/or TSI origin (n=1832; 7.3%)</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377 (20.6%)</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372 (20.3%)</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358 (19.5%)</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Neither Aboriginal nor TSI origin (n=20927; 82.9%)</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4526 (21.6%)</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4464 (21.3%)</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4186 (20.0%)</w:t>
            </w:r>
          </w:p>
        </w:tc>
      </w:tr>
      <w:tr w:rsidR="00CA7A60" w:rsidRPr="00B30EA5" w:rsidTr="00CA7A60">
        <w:trPr>
          <w:trHeight w:val="300"/>
        </w:trPr>
        <w:tc>
          <w:tcPr>
            <w:tcW w:w="2530"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(n=2470; 9.8%)</w:t>
            </w:r>
          </w:p>
        </w:tc>
        <w:tc>
          <w:tcPr>
            <w:tcW w:w="823"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464 (18.8%)</w:t>
            </w:r>
          </w:p>
        </w:tc>
        <w:tc>
          <w:tcPr>
            <w:tcW w:w="824"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465 (18.8%)</w:t>
            </w:r>
          </w:p>
        </w:tc>
        <w:tc>
          <w:tcPr>
            <w:tcW w:w="824"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439 (17.8%)</w:t>
            </w:r>
          </w:p>
        </w:tc>
      </w:tr>
      <w:tr w:rsidR="00CA7A60" w:rsidRPr="00B30EA5" w:rsidTr="00CA7A60">
        <w:trPr>
          <w:trHeight w:val="300"/>
        </w:trPr>
        <w:tc>
          <w:tcPr>
            <w:tcW w:w="3353" w:type="pct"/>
            <w:gridSpan w:val="2"/>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Employment</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Employed (n=6239; 24.7%)</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1137 (18.2%)</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1117 (17.9%)</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1049 (16.8%)</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Unemployed (n=13587; 53.9%)</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3151 (23.2%)</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3143 (23.1%)</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2891 (21.3%)</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(n=4297; 17.0%)</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869 (20.2%)</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848 (19.7%)</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845 (19.7%)</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(n=1106; 4.4%)</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210 (19.0%)</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193 (17.5%)</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198 (17.9%)</w:t>
            </w:r>
          </w:p>
        </w:tc>
      </w:tr>
      <w:tr w:rsidR="00CA7A60" w:rsidRPr="00B30EA5" w:rsidTr="00CA7A60">
        <w:trPr>
          <w:trHeight w:val="300"/>
        </w:trPr>
        <w:tc>
          <w:tcPr>
            <w:tcW w:w="3353" w:type="pct"/>
            <w:gridSpan w:val="2"/>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Living status</w:t>
            </w:r>
          </w:p>
        </w:tc>
        <w:tc>
          <w:tcPr>
            <w:tcW w:w="824"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824"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Lives alone (n=4434; 17.6%)</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1136 (25.6%)</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1127 (25.4%)</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988 (22.3%)</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Lives with family (n=13486; 53.5%)</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2692 (20.0%)</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2681 (19.9%)</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2537 (18.8%)</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Lives with others (n=5455; 21.6%)</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1185 (21.7%)</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1173 (21.5%)</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1116 (20.5%)</w:t>
            </w:r>
          </w:p>
        </w:tc>
      </w:tr>
      <w:tr w:rsidR="00CA7A60" w:rsidRPr="00B30EA5" w:rsidTr="00CA7A60">
        <w:trPr>
          <w:trHeight w:val="300"/>
        </w:trPr>
        <w:tc>
          <w:tcPr>
            <w:tcW w:w="2530"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(n=1854; 7.3%)</w:t>
            </w:r>
          </w:p>
        </w:tc>
        <w:tc>
          <w:tcPr>
            <w:tcW w:w="823"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354 (19.1%)</w:t>
            </w:r>
          </w:p>
        </w:tc>
        <w:tc>
          <w:tcPr>
            <w:tcW w:w="824"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320 (17.3%)</w:t>
            </w:r>
          </w:p>
        </w:tc>
        <w:tc>
          <w:tcPr>
            <w:tcW w:w="824"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342 (18.4%)</w:t>
            </w:r>
          </w:p>
        </w:tc>
      </w:tr>
      <w:tr w:rsidR="00CA7A60" w:rsidRPr="00B30EA5" w:rsidTr="00CA7A60">
        <w:trPr>
          <w:trHeight w:val="300"/>
        </w:trPr>
        <w:tc>
          <w:tcPr>
            <w:tcW w:w="3353" w:type="pct"/>
            <w:gridSpan w:val="2"/>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Accommodation status</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Private residence (n=18325; 72.6%)</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3863 (21.1%)</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3860 (21.1%)</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3575 (19.5%)</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Unstable (n=2456; 9.7%)</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641 (26.1%)</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644 (26.2%)</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565 (23.0%)</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In custody (n=1253; 5.0%)</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221 (17.6%)</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193 (15.4%)</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228 (18.2%)</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(n=1148; 4.6%)</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283 (24.7%)</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263 (22.9%)</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263 (22.9%)</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(n=2047; 8.1%)</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359 (17.5%)</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341 (16.7%)</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352 (17.2%)</w:t>
            </w:r>
          </w:p>
        </w:tc>
      </w:tr>
      <w:tr w:rsidR="00CA7A60" w:rsidRPr="00B30EA5" w:rsidTr="00CA7A60">
        <w:trPr>
          <w:trHeight w:val="300"/>
        </w:trPr>
        <w:tc>
          <w:tcPr>
            <w:tcW w:w="3353" w:type="pct"/>
            <w:gridSpan w:val="2"/>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Homeless status</w:t>
            </w:r>
          </w:p>
        </w:tc>
        <w:tc>
          <w:tcPr>
            <w:tcW w:w="824"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824"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Homeless (n=1186; 4.7%)</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317 (26.7%)</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331 (27.9%)</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291 (24.5%)</w:t>
            </w:r>
          </w:p>
        </w:tc>
      </w:tr>
      <w:tr w:rsidR="00CA7A60" w:rsidRPr="00B30EA5" w:rsidTr="00CA7A60">
        <w:trPr>
          <w:trHeight w:val="300"/>
        </w:trPr>
        <w:tc>
          <w:tcPr>
            <w:tcW w:w="2530" w:type="pct"/>
            <w:tcBorders>
              <w:top w:val="nil"/>
              <w:left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Not homeless (n=23118; 91.6%)</w:t>
            </w:r>
          </w:p>
        </w:tc>
        <w:tc>
          <w:tcPr>
            <w:tcW w:w="823" w:type="pct"/>
            <w:tcBorders>
              <w:top w:val="nil"/>
              <w:left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4897 (21.2%)</w:t>
            </w:r>
          </w:p>
        </w:tc>
        <w:tc>
          <w:tcPr>
            <w:tcW w:w="824" w:type="pct"/>
            <w:tcBorders>
              <w:top w:val="nil"/>
              <w:left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4803 (20.8%)</w:t>
            </w:r>
          </w:p>
        </w:tc>
        <w:tc>
          <w:tcPr>
            <w:tcW w:w="824" w:type="pct"/>
            <w:tcBorders>
              <w:top w:val="nil"/>
              <w:left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4520 (19.6%)</w:t>
            </w:r>
          </w:p>
        </w:tc>
      </w:tr>
      <w:tr w:rsidR="00CA7A60" w:rsidRPr="00B30EA5" w:rsidTr="00CA7A60">
        <w:trPr>
          <w:trHeight w:val="300"/>
        </w:trPr>
        <w:tc>
          <w:tcPr>
            <w:tcW w:w="2530"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(n=925; 3.7%)</w:t>
            </w:r>
          </w:p>
        </w:tc>
        <w:tc>
          <w:tcPr>
            <w:tcW w:w="823"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153 (16.5%)</w:t>
            </w:r>
          </w:p>
        </w:tc>
        <w:tc>
          <w:tcPr>
            <w:tcW w:w="824"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167 (18.1%)</w:t>
            </w:r>
          </w:p>
        </w:tc>
        <w:tc>
          <w:tcPr>
            <w:tcW w:w="824"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172 (18.6%)</w:t>
            </w:r>
          </w:p>
        </w:tc>
      </w:tr>
      <w:tr w:rsidR="00CA7A60" w:rsidRPr="00B30EA5" w:rsidTr="00CA7A60">
        <w:trPr>
          <w:trHeight w:val="300"/>
        </w:trPr>
        <w:tc>
          <w:tcPr>
            <w:tcW w:w="2530" w:type="pct"/>
            <w:tcBorders>
              <w:top w:val="single" w:sz="12" w:space="0" w:color="auto"/>
              <w:left w:val="nil"/>
              <w:bottom w:val="nil"/>
              <w:right w:val="nil"/>
            </w:tcBorders>
            <w:shd w:val="clear" w:color="auto" w:fill="auto"/>
            <w:noWrap/>
            <w:vAlign w:val="bottom"/>
            <w:hideMark/>
          </w:tcPr>
          <w:p w:rsidR="00CA7A60" w:rsidRPr="00B30EA5" w:rsidRDefault="00CA7A60" w:rsidP="00CA7A60">
            <w:pPr>
              <w:pageBreakBefore/>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lastRenderedPageBreak/>
              <w:t>Region</w:t>
            </w:r>
          </w:p>
        </w:tc>
        <w:tc>
          <w:tcPr>
            <w:tcW w:w="823" w:type="pct"/>
            <w:tcBorders>
              <w:top w:val="single" w:sz="12"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824" w:type="pct"/>
            <w:tcBorders>
              <w:top w:val="single" w:sz="12"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824" w:type="pct"/>
            <w:tcBorders>
              <w:top w:val="single" w:sz="12"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E502E4" w:rsidP="00CA7A60">
            <w:pPr>
              <w:spacing w:after="0" w:line="240" w:lineRule="auto"/>
              <w:rPr>
                <w:rFonts w:eastAsia="Times New Roman"/>
                <w:color w:val="000000"/>
                <w:lang w:eastAsia="en-AU"/>
              </w:rPr>
            </w:pPr>
            <w:r w:rsidRPr="00B30EA5">
              <w:rPr>
                <w:rFonts w:eastAsia="Times New Roman"/>
                <w:color w:val="000000"/>
                <w:lang w:eastAsia="en-AU"/>
              </w:rPr>
              <w:t>Metro</w:t>
            </w:r>
            <w:r>
              <w:rPr>
                <w:rFonts w:eastAsia="Times New Roman"/>
                <w:color w:val="000000"/>
                <w:lang w:eastAsia="en-AU"/>
              </w:rPr>
              <w:t>politan</w:t>
            </w:r>
            <w:r w:rsidR="00CA7A60" w:rsidRPr="00B30EA5">
              <w:rPr>
                <w:rFonts w:eastAsia="Times New Roman"/>
                <w:color w:val="000000"/>
                <w:lang w:eastAsia="en-AU"/>
              </w:rPr>
              <w:t xml:space="preserve"> Melbourne (n=12346; 48.9%)</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2897 (23.5%)</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2975 (24.1%)</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2694 (21.8%)</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Rest of V</w:t>
            </w:r>
            <w:r w:rsidR="004B5CD4">
              <w:rPr>
                <w:rFonts w:eastAsia="Times New Roman"/>
                <w:color w:val="000000"/>
                <w:lang w:eastAsia="en-AU"/>
              </w:rPr>
              <w:t>ictoria</w:t>
            </w:r>
            <w:r w:rsidRPr="00B30EA5">
              <w:rPr>
                <w:rFonts w:eastAsia="Times New Roman"/>
                <w:color w:val="000000"/>
                <w:lang w:eastAsia="en-AU"/>
              </w:rPr>
              <w:t xml:space="preserve"> (n=7875; 31.2%)</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1498 (19.0%)</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1481 (18.8%)</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1409 (17.9%)</w:t>
            </w:r>
          </w:p>
        </w:tc>
      </w:tr>
      <w:tr w:rsidR="00CA7A60" w:rsidRPr="00B30EA5" w:rsidTr="00CA7A60">
        <w:trPr>
          <w:trHeight w:val="300"/>
        </w:trPr>
        <w:tc>
          <w:tcPr>
            <w:tcW w:w="2530"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Interstate (n=438; 1.7%)</w:t>
            </w:r>
          </w:p>
        </w:tc>
        <w:tc>
          <w:tcPr>
            <w:tcW w:w="82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78 (17.8%)</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70 (16.0%)</w:t>
            </w:r>
          </w:p>
        </w:tc>
        <w:tc>
          <w:tcPr>
            <w:tcW w:w="824"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71 (16.2%)</w:t>
            </w:r>
          </w:p>
        </w:tc>
      </w:tr>
      <w:tr w:rsidR="00CA7A60" w:rsidRPr="00B30EA5" w:rsidTr="00CA7A60">
        <w:trPr>
          <w:trHeight w:val="300"/>
        </w:trPr>
        <w:tc>
          <w:tcPr>
            <w:tcW w:w="2530"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(n=4570; 18.1%)</w:t>
            </w:r>
          </w:p>
        </w:tc>
        <w:tc>
          <w:tcPr>
            <w:tcW w:w="823"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894 (19.6%)</w:t>
            </w:r>
          </w:p>
        </w:tc>
        <w:tc>
          <w:tcPr>
            <w:tcW w:w="824"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775 (17.0%)</w:t>
            </w:r>
          </w:p>
        </w:tc>
        <w:tc>
          <w:tcPr>
            <w:tcW w:w="824"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809 (17.7%)</w:t>
            </w:r>
          </w:p>
        </w:tc>
      </w:tr>
    </w:tbl>
    <w:p w:rsidR="00CA7A60" w:rsidRDefault="00CA7A60" w:rsidP="00A126E3">
      <w:pPr>
        <w:pStyle w:val="FAREtableheading"/>
      </w:pPr>
    </w:p>
    <w:p w:rsidR="00CA7A60" w:rsidRDefault="00BE3D19" w:rsidP="00CA7A60">
      <w:pPr>
        <w:pStyle w:val="FAREnormaltext"/>
      </w:pPr>
      <w:r>
        <w:fldChar w:fldCharType="begin"/>
      </w:r>
      <w:r w:rsidR="009F30FB">
        <w:instrText xml:space="preserve"> REF _Ref386866947 </w:instrText>
      </w:r>
      <w:r>
        <w:fldChar w:fldCharType="separate"/>
      </w:r>
      <w:r w:rsidR="00E150CA">
        <w:t xml:space="preserve">Table </w:t>
      </w:r>
      <w:r w:rsidR="00E150CA">
        <w:rPr>
          <w:noProof/>
        </w:rPr>
        <w:t>4</w:t>
      </w:r>
      <w:r w:rsidR="00E150CA">
        <w:t>.</w:t>
      </w:r>
      <w:r w:rsidR="00E150CA">
        <w:rPr>
          <w:noProof/>
        </w:rPr>
        <w:t>16</w:t>
      </w:r>
      <w:r>
        <w:rPr>
          <w:noProof/>
        </w:rPr>
        <w:fldChar w:fldCharType="end"/>
      </w:r>
      <w:r w:rsidR="00CA7A60">
        <w:t xml:space="preserve"> displays the service type and treatment characteristics of AOD clients by the pattern of hospitalisation from 2009/10 to 2011/12. In terms of service type, most AOD clients received counselling (47%), followed by brokerage (1</w:t>
      </w:r>
      <w:r w:rsidR="004B5CD4">
        <w:t>6</w:t>
      </w:r>
      <w:r w:rsidR="00CA7A60">
        <w:t>%) and other withdrawal services (10%). Overall, 74%</w:t>
      </w:r>
      <w:r w:rsidR="00CA7A60" w:rsidRPr="00F52960">
        <w:t xml:space="preserve"> </w:t>
      </w:r>
      <w:r w:rsidR="00CA7A60">
        <w:t xml:space="preserve">had completed treatment when their treatment episode was terminated. </w:t>
      </w:r>
    </w:p>
    <w:p w:rsidR="00CA7A60" w:rsidRDefault="00CA7A60" w:rsidP="00CA7A60">
      <w:pPr>
        <w:pStyle w:val="FAREnormaltext"/>
      </w:pPr>
      <w:r>
        <w:t>There was some variability in patterns of hospital utilisation across service types, with over one-quarter of residential withdrawal clients, and just over ten per cent of outreach (1</w:t>
      </w:r>
      <w:r w:rsidR="004B5CD4">
        <w:t>4</w:t>
      </w:r>
      <w:r>
        <w:t>%) and brokerage (1</w:t>
      </w:r>
      <w:r w:rsidR="004B5CD4">
        <w:t>3</w:t>
      </w:r>
      <w:r>
        <w:t>%) clients presenting to hospital on multiple occasions over the three years presented.</w:t>
      </w:r>
    </w:p>
    <w:p w:rsidR="00CA7A60" w:rsidRDefault="00BE3D19" w:rsidP="00CA7A60">
      <w:pPr>
        <w:pStyle w:val="FAREnormaltext"/>
      </w:pPr>
      <w:r>
        <w:fldChar w:fldCharType="begin"/>
      </w:r>
      <w:r w:rsidR="00CA7A60">
        <w:instrText xml:space="preserve"> REF _Ref387153687 \h </w:instrText>
      </w:r>
      <w:r>
        <w:fldChar w:fldCharType="separate"/>
      </w:r>
      <w:r w:rsidR="00E150CA">
        <w:t xml:space="preserve">Table </w:t>
      </w:r>
      <w:r w:rsidR="00E150CA">
        <w:rPr>
          <w:noProof/>
        </w:rPr>
        <w:t>4</w:t>
      </w:r>
      <w:r w:rsidR="00E150CA">
        <w:t>.</w:t>
      </w:r>
      <w:r w:rsidR="00E150CA">
        <w:rPr>
          <w:noProof/>
        </w:rPr>
        <w:t>17</w:t>
      </w:r>
      <w:r>
        <w:fldChar w:fldCharType="end"/>
      </w:r>
      <w:r w:rsidR="00CA7A60">
        <w:t xml:space="preserve"> shows service type and treatment characteristics for AOD clients by hospitalisation by year to show whether there was a change in hospital utilisation pre- and post-treatment. Proportions of pre-AOD treatment hospital admissions (2009/10) were higher than the proportions post-AOD treatment (2011/12) for all service types (with the exceptions of outreach and Aboriginal services), pharmacotherapy treatment types and treatment termination status reasons.</w:t>
      </w:r>
    </w:p>
    <w:p w:rsidR="00CA7A60" w:rsidRDefault="00CA7A60" w:rsidP="00CA7A60">
      <w:pPr>
        <w:pStyle w:val="FAREnormaltext"/>
      </w:pPr>
    </w:p>
    <w:p w:rsidR="00CA7A60" w:rsidRDefault="00CA7A60" w:rsidP="00A126E3">
      <w:pPr>
        <w:pStyle w:val="FAREtableheading"/>
        <w:sectPr w:rsidR="00CA7A60" w:rsidSect="00CA7A60">
          <w:pgSz w:w="11906" w:h="16838"/>
          <w:pgMar w:top="1440" w:right="1276" w:bottom="1440" w:left="1440" w:header="708" w:footer="595" w:gutter="0"/>
          <w:cols w:space="708"/>
          <w:docGrid w:linePitch="360"/>
        </w:sectPr>
      </w:pPr>
    </w:p>
    <w:p w:rsidR="00CA7A60" w:rsidRDefault="00CA7A60" w:rsidP="00A126E3">
      <w:pPr>
        <w:pStyle w:val="FAREtableheading"/>
        <w:rPr>
          <w:iCs/>
          <w:lang w:val="en-AU"/>
        </w:rPr>
      </w:pPr>
      <w:bookmarkStart w:id="212" w:name="_Ref386866947"/>
      <w:bookmarkStart w:id="213" w:name="_Toc387244640"/>
      <w:bookmarkStart w:id="214" w:name="_Toc398105099"/>
      <w:proofErr w:type="gramStart"/>
      <w:r>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16</w:t>
      </w:r>
      <w:r w:rsidR="00BE3D19">
        <w:rPr>
          <w:noProof/>
        </w:rPr>
        <w:fldChar w:fldCharType="end"/>
      </w:r>
      <w:bookmarkEnd w:id="212"/>
      <w:r>
        <w:t xml:space="preserve"> </w:t>
      </w:r>
      <w:r w:rsidR="00E41BCC">
        <w:t xml:space="preserve"> </w:t>
      </w:r>
      <w:r w:rsidR="004B5CD4">
        <w:t>Treatment</w:t>
      </w:r>
      <w:r w:rsidRPr="00D94FA3">
        <w:t xml:space="preserve"> type and treatment characteristics </w:t>
      </w:r>
      <w:r>
        <w:t>by admissions</w:t>
      </w:r>
      <w:r>
        <w:rPr>
          <w:iCs/>
          <w:lang w:val="en-AU"/>
        </w:rPr>
        <w:t>, 2009/10 to 2011/12</w:t>
      </w:r>
      <w:bookmarkEnd w:id="213"/>
      <w:bookmarkEnd w:id="214"/>
    </w:p>
    <w:tbl>
      <w:tblPr>
        <w:tblW w:w="5000" w:type="pct"/>
        <w:tblLook w:val="04A0" w:firstRow="1" w:lastRow="0" w:firstColumn="1" w:lastColumn="0" w:noHBand="0" w:noVBand="1"/>
      </w:tblPr>
      <w:tblGrid>
        <w:gridCol w:w="4005"/>
        <w:gridCol w:w="1643"/>
        <w:gridCol w:w="1847"/>
        <w:gridCol w:w="1847"/>
        <w:gridCol w:w="1847"/>
        <w:gridCol w:w="2157"/>
        <w:gridCol w:w="828"/>
      </w:tblGrid>
      <w:tr w:rsidR="00CA7A60" w:rsidRPr="006F35E1" w:rsidTr="00CA7A60">
        <w:trPr>
          <w:trHeight w:val="300"/>
        </w:trPr>
        <w:tc>
          <w:tcPr>
            <w:tcW w:w="1419" w:type="pct"/>
            <w:vMerge w:val="restart"/>
            <w:tcBorders>
              <w:top w:val="single" w:sz="12" w:space="0" w:color="auto"/>
              <w:left w:val="nil"/>
              <w:bottom w:val="single" w:sz="12" w:space="0" w:color="000000"/>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 </w:t>
            </w:r>
          </w:p>
        </w:tc>
        <w:tc>
          <w:tcPr>
            <w:tcW w:w="3581" w:type="pct"/>
            <w:gridSpan w:val="6"/>
            <w:tcBorders>
              <w:top w:val="single" w:sz="12" w:space="0" w:color="auto"/>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 xml:space="preserve"> Number of AOD clients </w:t>
            </w:r>
          </w:p>
        </w:tc>
      </w:tr>
      <w:tr w:rsidR="00CA7A60" w:rsidRPr="006F35E1" w:rsidTr="00CA7A60">
        <w:trPr>
          <w:trHeight w:val="300"/>
        </w:trPr>
        <w:tc>
          <w:tcPr>
            <w:tcW w:w="1419" w:type="pct"/>
            <w:vMerge/>
            <w:tcBorders>
              <w:top w:val="single" w:sz="12" w:space="0" w:color="auto"/>
              <w:left w:val="nil"/>
              <w:bottom w:val="single" w:sz="12" w:space="0" w:color="000000"/>
              <w:right w:val="nil"/>
            </w:tcBorders>
            <w:vAlign w:val="center"/>
            <w:hideMark/>
          </w:tcPr>
          <w:p w:rsidR="00CA7A60" w:rsidRPr="006F35E1" w:rsidRDefault="00CA7A60" w:rsidP="00CA7A60">
            <w:pPr>
              <w:spacing w:after="0" w:line="240" w:lineRule="auto"/>
              <w:rPr>
                <w:rFonts w:eastAsia="Times New Roman"/>
                <w:b/>
                <w:bCs/>
                <w:color w:val="000000"/>
                <w:lang w:eastAsia="zh-CN"/>
              </w:rPr>
            </w:pPr>
          </w:p>
        </w:tc>
        <w:tc>
          <w:tcPr>
            <w:tcW w:w="586"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No Admission (%)</w:t>
            </w:r>
          </w:p>
        </w:tc>
        <w:tc>
          <w:tcPr>
            <w:tcW w:w="658"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Admission 09/10 only (%)</w:t>
            </w:r>
          </w:p>
        </w:tc>
        <w:tc>
          <w:tcPr>
            <w:tcW w:w="658"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Admission 10/11 only (%)</w:t>
            </w:r>
          </w:p>
        </w:tc>
        <w:tc>
          <w:tcPr>
            <w:tcW w:w="658"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Admission 11/12 only (%)</w:t>
            </w:r>
          </w:p>
        </w:tc>
        <w:tc>
          <w:tcPr>
            <w:tcW w:w="767"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Admission in multiple years (%)</w:t>
            </w:r>
          </w:p>
        </w:tc>
        <w:tc>
          <w:tcPr>
            <w:tcW w:w="255"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p</w:t>
            </w:r>
          </w:p>
        </w:tc>
      </w:tr>
      <w:tr w:rsidR="00CA7A60" w:rsidRPr="006F35E1" w:rsidTr="00CA7A60">
        <w:trPr>
          <w:trHeight w:val="300"/>
        </w:trPr>
        <w:tc>
          <w:tcPr>
            <w:tcW w:w="1419"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 xml:space="preserve">Total </w:t>
            </w:r>
            <w:r w:rsidRPr="00941C94">
              <w:rPr>
                <w:rFonts w:eastAsia="Times New Roman"/>
                <w:bCs/>
                <w:color w:val="000000"/>
                <w:lang w:eastAsia="zh-CN"/>
              </w:rPr>
              <w:t>(n=25229)</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15119 (59.9%)</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2167 (8.6%)</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1929 (7.6%)</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1801 (7.1%)</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4213 (16.7%)</w:t>
            </w:r>
          </w:p>
        </w:tc>
        <w:tc>
          <w:tcPr>
            <w:tcW w:w="255"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4B5CD4" w:rsidP="00CA7A60">
            <w:pPr>
              <w:spacing w:after="0" w:line="240" w:lineRule="auto"/>
              <w:rPr>
                <w:rFonts w:eastAsia="Times New Roman"/>
                <w:b/>
                <w:bCs/>
                <w:color w:val="000000"/>
                <w:lang w:eastAsia="zh-CN"/>
              </w:rPr>
            </w:pPr>
            <w:r>
              <w:rPr>
                <w:rFonts w:eastAsia="Times New Roman"/>
                <w:b/>
                <w:bCs/>
                <w:color w:val="000000"/>
                <w:lang w:eastAsia="zh-CN"/>
              </w:rPr>
              <w:t>Treatment</w:t>
            </w:r>
            <w:r w:rsidR="00CA7A60" w:rsidRPr="006F35E1">
              <w:rPr>
                <w:rFonts w:eastAsia="Times New Roman"/>
                <w:b/>
                <w:bCs/>
                <w:color w:val="000000"/>
                <w:lang w:eastAsia="zh-CN"/>
              </w:rPr>
              <w:t xml:space="preserve"> type</w:t>
            </w:r>
          </w:p>
        </w:tc>
        <w:tc>
          <w:tcPr>
            <w:tcW w:w="586"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58"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58"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58"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767"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Counselling (n=11919; 47.2%)</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7185 (60.3%)</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1015 (8.5%)</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940 (7.9%)</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822 (6.9%)</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1957 (16.4%)</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Residential withdrawal (n=1962; 7.8%)</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997 (50.8%)</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172 (8.8%)</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150 (7.6%)</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139 (7.1%)</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504 (25.7%)</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Other withdrawal (n=2582; 10.2%)</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1495 (57.9%)</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216 (8.4%)</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217 (8.4%)</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157 (6.1%)</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497 (19.2%)</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Outreach (n=2368; 9.4%)</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1486 (62.8%)</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198 (8.4%)</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167 (7.1%)</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195 (8.2%)</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322 (13.6%)</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Brokerage (n=3904; 15.5%)</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2443 (62.6%)</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381 (9.8%)</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272 (7.0%)</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314 (8.0%)</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494 (12.7%)</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Aboriginal services (n=733; 2.9%)</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499 (68.1%)</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41 (5.6%)</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41 (5.6%)</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41 (5.6%)</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111 (15.1%)</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Specialist pharmacotherapy (n=401; 1.6%)</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208 (51.9%)</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35 (8.7%)</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36 (9.0%)</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30 (7.5%)</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92 (22.9%)</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Residential rehabilitation (n=176; 0.7%)</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103 (58.5%)</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12 (6.8%)</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 (8.5%)</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 (7.4%)</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33 (18.8%)</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Supported accommodation (n=269; 1.1%)</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139 (51.7%)</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36 (13.4%)</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20 (7.4%)</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27 (10.0%)</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47 (17.5%)</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Post withdrawal linkage (n=256; 1.0%)</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171 (66.8%)</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 (3.9%)</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 (5.1%)</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12 (4.7%)</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50 (19.5%)</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Other/unknown (n=659; 2.6%)</w:t>
            </w:r>
          </w:p>
        </w:tc>
        <w:tc>
          <w:tcPr>
            <w:tcW w:w="586"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393 (59.6%)</w:t>
            </w:r>
          </w:p>
        </w:tc>
        <w:tc>
          <w:tcPr>
            <w:tcW w:w="658"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51 (7.7%)</w:t>
            </w:r>
          </w:p>
        </w:tc>
        <w:tc>
          <w:tcPr>
            <w:tcW w:w="658"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58 (8.8%)</w:t>
            </w:r>
          </w:p>
        </w:tc>
        <w:tc>
          <w:tcPr>
            <w:tcW w:w="658"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51 (7.7%)</w:t>
            </w:r>
          </w:p>
        </w:tc>
        <w:tc>
          <w:tcPr>
            <w:tcW w:w="767"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106 (16.1%)</w:t>
            </w:r>
          </w:p>
        </w:tc>
        <w:tc>
          <w:tcPr>
            <w:tcW w:w="255" w:type="pct"/>
            <w:tcBorders>
              <w:top w:val="nil"/>
              <w:left w:val="nil"/>
              <w:bottom w:val="single" w:sz="4" w:space="0" w:color="auto"/>
              <w:right w:val="nil"/>
            </w:tcBorders>
            <w:shd w:val="clear" w:color="auto" w:fill="auto"/>
            <w:noWrap/>
            <w:vAlign w:val="bottom"/>
            <w:hideMark/>
          </w:tcPr>
          <w:p w:rsidR="00CA7A60" w:rsidRPr="006F35E1" w:rsidRDefault="003F3393" w:rsidP="00CA7A60">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Pharmacotherapy treatment</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Methadone (n=2166; 8.6%)</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1207 (55.7%)</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205 (9.5%)</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194 (9.0%)</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180 (8.3%)</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380 (17.5%)</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Buprenorphine (n=711; 2.8%)</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433 (60.9%)</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55 (7.7%)</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52 (7.3%)</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47 (6.6%)</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124 (17.4%)</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Naltrexone (n=327; 1.3%)</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166 (50.8%)</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30 (9.2%)</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27 (8.3%)</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24 (7.3%)</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80 (24.5%)</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Other (n=1240; 4.9%)</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680 (54.8%)</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106 (8.5%)</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113 (9.1%)</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77 (6.2%)</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264 (21.3%)</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None (n=20785; 82.4%)</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12633 (60.8%)</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1771 (8.5%)</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1543 (7.4%)</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1473 (7.1%)</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3365 (16.2%)</w:t>
            </w:r>
          </w:p>
        </w:tc>
        <w:tc>
          <w:tcPr>
            <w:tcW w:w="255" w:type="pct"/>
            <w:tcBorders>
              <w:top w:val="nil"/>
              <w:left w:val="nil"/>
              <w:bottom w:val="nil"/>
              <w:right w:val="nil"/>
            </w:tcBorders>
            <w:shd w:val="clear" w:color="auto" w:fill="auto"/>
            <w:noWrap/>
            <w:vAlign w:val="bottom"/>
            <w:hideMark/>
          </w:tcPr>
          <w:p w:rsidR="00CA7A60" w:rsidRPr="006F35E1" w:rsidRDefault="003F3393" w:rsidP="00CA7A60">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CA7A60" w:rsidRPr="006F35E1" w:rsidTr="00CA7A60">
        <w:trPr>
          <w:trHeight w:val="300"/>
        </w:trPr>
        <w:tc>
          <w:tcPr>
            <w:tcW w:w="1419"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Treatment termination status</w:t>
            </w:r>
          </w:p>
        </w:tc>
        <w:tc>
          <w:tcPr>
            <w:tcW w:w="586"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58"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58"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58"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767"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55" w:type="pct"/>
            <w:tcBorders>
              <w:top w:val="single" w:sz="4" w:space="0" w:color="auto"/>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Completed treatment (n=18690; 74.1%)</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11304 (60.5%)</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1613 (8.6%)</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1434 (7.7%)</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1355 (7.2%)</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2984 (16.0%)</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Pr>
                <w:rFonts w:eastAsia="Times New Roman"/>
                <w:color w:val="000000"/>
                <w:lang w:eastAsia="zh-CN"/>
              </w:rPr>
              <w:t>Not completed</w:t>
            </w:r>
            <w:r w:rsidRPr="006F35E1">
              <w:rPr>
                <w:rFonts w:eastAsia="Times New Roman"/>
                <w:color w:val="000000"/>
                <w:lang w:eastAsia="zh-CN"/>
              </w:rPr>
              <w:t xml:space="preserve"> (n=6262; 24.8%)</w:t>
            </w:r>
          </w:p>
        </w:tc>
        <w:tc>
          <w:tcPr>
            <w:tcW w:w="586"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3651 (58.3%)</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529 (8.4%)</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471 (7.5%)</w:t>
            </w:r>
          </w:p>
        </w:tc>
        <w:tc>
          <w:tcPr>
            <w:tcW w:w="65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428 (6.8%)</w:t>
            </w:r>
          </w:p>
        </w:tc>
        <w:tc>
          <w:tcPr>
            <w:tcW w:w="767"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1183 (18.9%)</w:t>
            </w:r>
          </w:p>
        </w:tc>
        <w:tc>
          <w:tcPr>
            <w:tcW w:w="255"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CA7A60">
        <w:trPr>
          <w:trHeight w:val="300"/>
        </w:trPr>
        <w:tc>
          <w:tcPr>
            <w:tcW w:w="1419"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Unknown (n=277; 1.1%)</w:t>
            </w:r>
          </w:p>
        </w:tc>
        <w:tc>
          <w:tcPr>
            <w:tcW w:w="586"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164 (59.2%)</w:t>
            </w:r>
          </w:p>
        </w:tc>
        <w:tc>
          <w:tcPr>
            <w:tcW w:w="658"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25 (9.0%)</w:t>
            </w:r>
          </w:p>
        </w:tc>
        <w:tc>
          <w:tcPr>
            <w:tcW w:w="658"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24 (8.7%)</w:t>
            </w:r>
          </w:p>
        </w:tc>
        <w:tc>
          <w:tcPr>
            <w:tcW w:w="658"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18 (6.5%)</w:t>
            </w:r>
          </w:p>
        </w:tc>
        <w:tc>
          <w:tcPr>
            <w:tcW w:w="767" w:type="pct"/>
            <w:tcBorders>
              <w:top w:val="nil"/>
              <w:left w:val="nil"/>
              <w:bottom w:val="single" w:sz="12"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46 (16.6%)</w:t>
            </w:r>
          </w:p>
        </w:tc>
        <w:tc>
          <w:tcPr>
            <w:tcW w:w="255" w:type="pct"/>
            <w:tcBorders>
              <w:top w:val="nil"/>
              <w:left w:val="nil"/>
              <w:bottom w:val="single" w:sz="12" w:space="0" w:color="auto"/>
              <w:right w:val="nil"/>
            </w:tcBorders>
            <w:shd w:val="clear" w:color="auto" w:fill="auto"/>
            <w:noWrap/>
            <w:vAlign w:val="bottom"/>
            <w:hideMark/>
          </w:tcPr>
          <w:p w:rsidR="00CA7A60" w:rsidRPr="006F35E1" w:rsidRDefault="003F3393" w:rsidP="00CA7A60">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bl>
    <w:p w:rsidR="00CA7A60" w:rsidRDefault="00CA7A60" w:rsidP="00A126E3">
      <w:pPr>
        <w:pStyle w:val="FAREtableheading"/>
      </w:pPr>
    </w:p>
    <w:p w:rsidR="00CA7A60" w:rsidRDefault="00CA7A60" w:rsidP="00A126E3">
      <w:pPr>
        <w:pStyle w:val="FAREtableheading"/>
      </w:pPr>
    </w:p>
    <w:p w:rsidR="00CA7A60" w:rsidRDefault="00CA7A60" w:rsidP="00A126E3">
      <w:pPr>
        <w:pStyle w:val="FAREtableheading"/>
        <w:sectPr w:rsidR="00CA7A60" w:rsidSect="00CA7A60">
          <w:pgSz w:w="16838" w:h="11906" w:orient="landscape"/>
          <w:pgMar w:top="1276" w:right="1440" w:bottom="1440" w:left="1440" w:header="708" w:footer="595" w:gutter="0"/>
          <w:cols w:space="708"/>
          <w:docGrid w:linePitch="360"/>
        </w:sectPr>
      </w:pPr>
    </w:p>
    <w:p w:rsidR="00CA7A60" w:rsidRDefault="00CA7A60" w:rsidP="00A126E3">
      <w:pPr>
        <w:pStyle w:val="FAREtableheading"/>
      </w:pPr>
      <w:bookmarkStart w:id="215" w:name="_Ref387153687"/>
      <w:bookmarkStart w:id="216" w:name="_Toc387244641"/>
      <w:bookmarkStart w:id="217" w:name="_Toc398105100"/>
      <w:proofErr w:type="gramStart"/>
      <w:r>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17</w:t>
      </w:r>
      <w:r w:rsidR="00BE3D19">
        <w:rPr>
          <w:noProof/>
        </w:rPr>
        <w:fldChar w:fldCharType="end"/>
      </w:r>
      <w:bookmarkEnd w:id="215"/>
      <w:r>
        <w:t xml:space="preserve"> </w:t>
      </w:r>
      <w:r w:rsidR="00E41BCC">
        <w:t xml:space="preserve"> </w:t>
      </w:r>
      <w:r w:rsidR="004B5CD4">
        <w:t>Treatment</w:t>
      </w:r>
      <w:r>
        <w:t xml:space="preserve"> type and treatment </w:t>
      </w:r>
      <w:r w:rsidRPr="007B5F43">
        <w:t xml:space="preserve">characteristics </w:t>
      </w:r>
      <w:r>
        <w:t>by admissions in 2009/10, 2010/11 and 2011/12</w:t>
      </w:r>
      <w:bookmarkEnd w:id="216"/>
      <w:bookmarkEnd w:id="217"/>
    </w:p>
    <w:tbl>
      <w:tblPr>
        <w:tblW w:w="5000" w:type="pct"/>
        <w:tblLook w:val="04A0" w:firstRow="1" w:lastRow="0" w:firstColumn="1" w:lastColumn="0" w:noHBand="0" w:noVBand="1"/>
      </w:tblPr>
      <w:tblGrid>
        <w:gridCol w:w="4029"/>
        <w:gridCol w:w="1793"/>
        <w:gridCol w:w="1793"/>
        <w:gridCol w:w="1791"/>
      </w:tblGrid>
      <w:tr w:rsidR="00CA7A60" w:rsidRPr="00B30EA5" w:rsidTr="00CA7A60">
        <w:trPr>
          <w:trHeight w:val="300"/>
        </w:trPr>
        <w:tc>
          <w:tcPr>
            <w:tcW w:w="2142" w:type="pct"/>
            <w:vMerge w:val="restart"/>
            <w:tcBorders>
              <w:top w:val="single" w:sz="12" w:space="0" w:color="auto"/>
              <w:left w:val="nil"/>
              <w:bottom w:val="single" w:sz="12" w:space="0" w:color="000000"/>
              <w:right w:val="nil"/>
            </w:tcBorders>
            <w:shd w:val="clear" w:color="auto" w:fill="auto"/>
            <w:noWrap/>
            <w:vAlign w:val="bottom"/>
            <w:hideMark/>
          </w:tcPr>
          <w:p w:rsidR="00CA7A60" w:rsidRPr="00B30EA5" w:rsidRDefault="00CA7A60" w:rsidP="00CA7A60">
            <w:pPr>
              <w:spacing w:after="0" w:line="240" w:lineRule="auto"/>
              <w:jc w:val="center"/>
              <w:rPr>
                <w:rFonts w:eastAsia="Times New Roman"/>
                <w:color w:val="000000"/>
                <w:lang w:eastAsia="en-AU"/>
              </w:rPr>
            </w:pPr>
            <w:r w:rsidRPr="00B30EA5">
              <w:rPr>
                <w:rFonts w:eastAsia="Times New Roman"/>
                <w:color w:val="000000"/>
                <w:lang w:eastAsia="en-AU"/>
              </w:rPr>
              <w:t> </w:t>
            </w:r>
          </w:p>
        </w:tc>
        <w:tc>
          <w:tcPr>
            <w:tcW w:w="2858" w:type="pct"/>
            <w:gridSpan w:val="3"/>
            <w:tcBorders>
              <w:top w:val="single" w:sz="12" w:space="0" w:color="auto"/>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xml:space="preserve"> Number of AOD clients </w:t>
            </w:r>
          </w:p>
        </w:tc>
      </w:tr>
      <w:tr w:rsidR="00CA7A60" w:rsidRPr="00B30EA5" w:rsidTr="00CA7A60">
        <w:trPr>
          <w:trHeight w:val="300"/>
        </w:trPr>
        <w:tc>
          <w:tcPr>
            <w:tcW w:w="2142" w:type="pct"/>
            <w:vMerge/>
            <w:tcBorders>
              <w:top w:val="single" w:sz="12" w:space="0" w:color="auto"/>
              <w:left w:val="nil"/>
              <w:bottom w:val="single" w:sz="12" w:space="0" w:color="000000"/>
              <w:right w:val="nil"/>
            </w:tcBorders>
            <w:vAlign w:val="center"/>
            <w:hideMark/>
          </w:tcPr>
          <w:p w:rsidR="00CA7A60" w:rsidRPr="00B30EA5" w:rsidRDefault="00CA7A60" w:rsidP="00CA7A60">
            <w:pPr>
              <w:spacing w:after="0" w:line="240" w:lineRule="auto"/>
              <w:rPr>
                <w:rFonts w:eastAsia="Times New Roman"/>
                <w:color w:val="000000"/>
                <w:lang w:eastAsia="en-AU"/>
              </w:rPr>
            </w:pPr>
          </w:p>
        </w:tc>
        <w:tc>
          <w:tcPr>
            <w:tcW w:w="953"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09/10 (%)</w:t>
            </w:r>
          </w:p>
        </w:tc>
        <w:tc>
          <w:tcPr>
            <w:tcW w:w="953"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10/11 (%)</w:t>
            </w:r>
          </w:p>
        </w:tc>
        <w:tc>
          <w:tcPr>
            <w:tcW w:w="953"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11/12 (%)</w:t>
            </w:r>
          </w:p>
        </w:tc>
      </w:tr>
      <w:tr w:rsidR="00CA7A60" w:rsidRPr="00B30EA5" w:rsidTr="00CA7A60">
        <w:trPr>
          <w:trHeight w:val="300"/>
        </w:trPr>
        <w:tc>
          <w:tcPr>
            <w:tcW w:w="2142"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Total </w:t>
            </w:r>
            <w:r w:rsidRPr="00941C94">
              <w:rPr>
                <w:rFonts w:eastAsia="Times New Roman"/>
                <w:bCs/>
                <w:color w:val="000000"/>
                <w:sz w:val="24"/>
                <w:szCs w:val="24"/>
                <w:lang w:eastAsia="en-AU"/>
              </w:rPr>
              <w:t>(n=25229)</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5367 (21.3%)</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5301 (21.0%)</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4983 (19.8%)</w:t>
            </w:r>
          </w:p>
        </w:tc>
      </w:tr>
      <w:tr w:rsidR="00CA7A60" w:rsidRPr="00B30EA5" w:rsidTr="00CA7A60">
        <w:trPr>
          <w:trHeight w:val="300"/>
        </w:trPr>
        <w:tc>
          <w:tcPr>
            <w:tcW w:w="3095" w:type="pct"/>
            <w:gridSpan w:val="2"/>
            <w:tcBorders>
              <w:top w:val="single" w:sz="4" w:space="0" w:color="auto"/>
              <w:left w:val="nil"/>
              <w:bottom w:val="nil"/>
              <w:right w:val="nil"/>
            </w:tcBorders>
            <w:shd w:val="clear" w:color="auto" w:fill="auto"/>
            <w:noWrap/>
            <w:vAlign w:val="bottom"/>
            <w:hideMark/>
          </w:tcPr>
          <w:p w:rsidR="00CA7A60" w:rsidRPr="00B30EA5" w:rsidRDefault="004B5CD4" w:rsidP="00CA7A60">
            <w:pPr>
              <w:spacing w:after="0" w:line="240" w:lineRule="auto"/>
              <w:rPr>
                <w:rFonts w:eastAsia="Times New Roman"/>
                <w:b/>
                <w:bCs/>
                <w:color w:val="000000"/>
                <w:sz w:val="24"/>
                <w:szCs w:val="24"/>
                <w:lang w:eastAsia="en-AU"/>
              </w:rPr>
            </w:pPr>
            <w:r>
              <w:rPr>
                <w:rFonts w:eastAsia="Times New Roman"/>
                <w:b/>
                <w:bCs/>
                <w:color w:val="000000"/>
                <w:sz w:val="24"/>
                <w:szCs w:val="24"/>
                <w:lang w:eastAsia="en-AU"/>
              </w:rPr>
              <w:t>Treatment</w:t>
            </w:r>
            <w:r w:rsidR="00CA7A60" w:rsidRPr="00B30EA5">
              <w:rPr>
                <w:rFonts w:eastAsia="Times New Roman"/>
                <w:b/>
                <w:bCs/>
                <w:color w:val="000000"/>
                <w:sz w:val="24"/>
                <w:szCs w:val="24"/>
                <w:lang w:eastAsia="en-AU"/>
              </w:rPr>
              <w:t xml:space="preserve"> type</w:t>
            </w:r>
          </w:p>
        </w:tc>
        <w:tc>
          <w:tcPr>
            <w:tcW w:w="953"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953"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Counselling (n=11919; 47.2%)</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2514 (21.1%)</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2510 (21.1%)</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2284 (19.2%)</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withdrawal (n=1962; 7.8%)</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560 (28.5%)</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569 (29.0%)</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535 (27.3%)</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withdrawal (n=2582; 10.2%)</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587 (22.7%)</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628 (24.3%)</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537 (20.8%)</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Outreach (n=2368; 9.4%)</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425 (17.9%)</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418 (17.7%)</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435 (18.4%)</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Brokerage (n=3904; 15.5%)</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755 (19.3%)</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645 (16.5%)</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679 (17.4%)</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Aboriginal services (n=733; 2.9%)</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114 (15.6%)</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134 (18.3%)</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130 (17.7%)</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Specialist pharmacotherapy (n=401; 1.6%)</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113 (28.2%)</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104 (25.9%)</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105 (26.2%)</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rehabilitation (n=176; 0.7%)</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42 (23.9%)</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37 (21.0%)</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34 (19.3%)</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Supported accommodation (n=269; 1.1%)</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73 (27.1%)</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59 (21.9%)</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63 (23.4%)</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Post withdrawal linkage (n=256; 1.0%)</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49 (19.1%)</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 (20.7%)</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49 (19.1%)</w:t>
            </w:r>
          </w:p>
        </w:tc>
      </w:tr>
      <w:tr w:rsidR="00CA7A60" w:rsidRPr="00B30EA5" w:rsidTr="00CA7A60">
        <w:trPr>
          <w:trHeight w:val="300"/>
        </w:trPr>
        <w:tc>
          <w:tcPr>
            <w:tcW w:w="2142"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Other/unknown (n=659; 2.6%)</w:t>
            </w:r>
          </w:p>
        </w:tc>
        <w:tc>
          <w:tcPr>
            <w:tcW w:w="953"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135 (20.5%)</w:t>
            </w:r>
          </w:p>
        </w:tc>
        <w:tc>
          <w:tcPr>
            <w:tcW w:w="953"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144 (21.9%)</w:t>
            </w:r>
          </w:p>
        </w:tc>
        <w:tc>
          <w:tcPr>
            <w:tcW w:w="953"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132 (20.0%)</w:t>
            </w:r>
          </w:p>
        </w:tc>
      </w:tr>
      <w:tr w:rsidR="00CA7A60" w:rsidRPr="00B30EA5" w:rsidTr="00CA7A60">
        <w:trPr>
          <w:trHeight w:val="300"/>
        </w:trPr>
        <w:tc>
          <w:tcPr>
            <w:tcW w:w="4047" w:type="pct"/>
            <w:gridSpan w:val="3"/>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Pharmacotherapy treatment</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Methadone (n=2166; 8.6%)</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496 (22.9%)</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495 (22.9%)</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456 (21.1%)</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Buprenorphine (n=711; 2.8%)</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143 (20.1%)</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150 (21.1%)</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142 (20.0%)</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Naltrexone (n=327; 1.3%)</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97 (29.7%)</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96 (29.4%)</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85 (26.0%)</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(n=1240; 4.9%)</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317 (25.6%)</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322 (26.0%)</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287 (23.1%)</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None (n=20785; 82.4%)</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4314 (20.8%)</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4238 (20.4%)</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4013 (19.3%)</w:t>
            </w:r>
          </w:p>
        </w:tc>
      </w:tr>
      <w:tr w:rsidR="00CA7A60" w:rsidRPr="00B30EA5" w:rsidTr="00CA7A60">
        <w:trPr>
          <w:trHeight w:val="300"/>
        </w:trPr>
        <w:tc>
          <w:tcPr>
            <w:tcW w:w="4047" w:type="pct"/>
            <w:gridSpan w:val="3"/>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Treatment termination status</w:t>
            </w:r>
          </w:p>
        </w:tc>
        <w:tc>
          <w:tcPr>
            <w:tcW w:w="953"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Completed treatment (n=18690; 74.1%)</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3869 (20.7%)</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3808 (20.4%)</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3609 (19.3%)</w:t>
            </w:r>
          </w:p>
        </w:tc>
      </w:tr>
      <w:tr w:rsidR="00CA7A60" w:rsidRPr="00B30EA5" w:rsidTr="00CA7A60">
        <w:trPr>
          <w:trHeight w:val="300"/>
        </w:trPr>
        <w:tc>
          <w:tcPr>
            <w:tcW w:w="2142"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Not completed (n=6262; 24.8%)</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1438 (23.0%)</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1436 (22.9%)</w:t>
            </w:r>
          </w:p>
        </w:tc>
        <w:tc>
          <w:tcPr>
            <w:tcW w:w="953"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1320 (21.1%)</w:t>
            </w:r>
          </w:p>
        </w:tc>
      </w:tr>
      <w:tr w:rsidR="00CA7A60" w:rsidRPr="00B30EA5" w:rsidTr="00CA7A60">
        <w:trPr>
          <w:trHeight w:val="300"/>
        </w:trPr>
        <w:tc>
          <w:tcPr>
            <w:tcW w:w="2142"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(n=277; 1.1%)</w:t>
            </w:r>
          </w:p>
        </w:tc>
        <w:tc>
          <w:tcPr>
            <w:tcW w:w="953"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60 (21.7%)</w:t>
            </w:r>
          </w:p>
        </w:tc>
        <w:tc>
          <w:tcPr>
            <w:tcW w:w="953"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57 (20.6%)</w:t>
            </w:r>
          </w:p>
        </w:tc>
        <w:tc>
          <w:tcPr>
            <w:tcW w:w="953"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54 (19.5%)</w:t>
            </w:r>
          </w:p>
        </w:tc>
      </w:tr>
    </w:tbl>
    <w:p w:rsidR="00CA7A60" w:rsidRDefault="00CA7A60" w:rsidP="00A126E3">
      <w:pPr>
        <w:pStyle w:val="FAREtableheading"/>
      </w:pPr>
    </w:p>
    <w:p w:rsidR="00CA7A60" w:rsidRPr="004F519F" w:rsidRDefault="00381191" w:rsidP="00CA7A60">
      <w:pPr>
        <w:pStyle w:val="FAREnormaltext"/>
      </w:pPr>
      <w:r>
        <w:fldChar w:fldCharType="begin"/>
      </w:r>
      <w:r>
        <w:instrText xml:space="preserve"> REF _Ref387141371 \h  \* MERGEFORMAT </w:instrText>
      </w:r>
      <w:r>
        <w:fldChar w:fldCharType="separate"/>
      </w:r>
      <w:r w:rsidR="00E150CA" w:rsidRPr="00E150CA">
        <w:rPr>
          <w:bCs/>
        </w:rPr>
        <w:t xml:space="preserve">Table </w:t>
      </w:r>
      <w:r w:rsidR="00E150CA" w:rsidRPr="00E150CA">
        <w:rPr>
          <w:bCs/>
          <w:noProof/>
        </w:rPr>
        <w:t>4.18</w:t>
      </w:r>
      <w:r>
        <w:fldChar w:fldCharType="end"/>
      </w:r>
      <w:r w:rsidR="00CA7A60" w:rsidRPr="002457E8">
        <w:t xml:space="preserve"> shows</w:t>
      </w:r>
      <w:r w:rsidR="00CA7A60">
        <w:t xml:space="preserve"> that alcohol was most commonly the primary drug of concern (47%), followed by cannabis (22%) and heroin &amp; other opioids (15%). The majority of clients were not hospitalised across </w:t>
      </w:r>
      <w:r w:rsidR="00CA7A60" w:rsidRPr="00F46F3B">
        <w:t>the</w:t>
      </w:r>
      <w:r w:rsidR="00CA7A60">
        <w:t xml:space="preserve"> three years presented. A higher proportion of clients with </w:t>
      </w:r>
      <w:r w:rsidR="00B473EE">
        <w:t>amphetamines</w:t>
      </w:r>
      <w:r w:rsidR="00CA7A60">
        <w:t xml:space="preserve"> or other stimulants as a primary drug of concern had hospitalisations over the three-year period, in contrast to a lower proportion of clients with benzodiazepines and other tranquilisers as a primary drug of concern. Between 12% and 21% of all primary drug of concern groupings had multiple hospitalisations, with multiple hospital admissions most common among clients with benzodiazepines and other tranquilisers, alcohol or heroin and other opioids as the primary drug of concern.</w:t>
      </w:r>
    </w:p>
    <w:p w:rsidR="00CA7A60" w:rsidRDefault="00CA7A60" w:rsidP="00CA7A60">
      <w:pPr>
        <w:pStyle w:val="FAREnormaltext"/>
      </w:pPr>
      <w:r w:rsidRPr="004F519F">
        <w:t>The most common method of drug use was ingestion (49%), followed by</w:t>
      </w:r>
      <w:r>
        <w:t xml:space="preserve"> smoking (20%). </w:t>
      </w:r>
      <w:r w:rsidRPr="00F46F3B">
        <w:t>Those</w:t>
      </w:r>
      <w:r>
        <w:t xml:space="preserve"> whose route of administration was ingestion</w:t>
      </w:r>
      <w:r w:rsidRPr="004F519F">
        <w:t xml:space="preserve"> had a higher prevalence of multi</w:t>
      </w:r>
      <w:r>
        <w:t>ple hospitalisations compared with</w:t>
      </w:r>
      <w:r w:rsidRPr="004F519F">
        <w:t xml:space="preserve"> </w:t>
      </w:r>
      <w:r>
        <w:t>an injecting route of administration</w:t>
      </w:r>
      <w:r w:rsidRPr="004F519F">
        <w:t>.</w:t>
      </w:r>
      <w:r>
        <w:t xml:space="preserve"> Those reporting no injecting drug use history accounted for over half of AOD clients. Clients with any injecting drug use history had more hospitalisation activity. Although differences were relatively small, a greater proportion (60.8%) of those who had never injected were not hospitalised in the three years compared with those who had injected within the </w:t>
      </w:r>
      <w:r>
        <w:lastRenderedPageBreak/>
        <w:t xml:space="preserve">past 12 months (57%) or greater than 12 months preceding AOD treatment engagement (58%). However, clients who had injected in the past 12 months demonstrated the highest proportion of multiple hospitalisations across the three </w:t>
      </w:r>
      <w:r w:rsidRPr="006D0F79">
        <w:t xml:space="preserve">years (18%) </w:t>
      </w:r>
      <w:proofErr w:type="gramStart"/>
      <w:r w:rsidRPr="006D0F79">
        <w:t>(</w:t>
      </w:r>
      <w:r w:rsidR="00381191">
        <w:fldChar w:fldCharType="begin"/>
      </w:r>
      <w:r w:rsidR="00381191">
        <w:instrText xml:space="preserve"> REF _Ref387141371 \h  \* MERGEFORMAT </w:instrText>
      </w:r>
      <w:r w:rsidR="00381191">
        <w:fldChar w:fldCharType="separate"/>
      </w:r>
      <w:r w:rsidR="00E150CA" w:rsidRPr="00BB2D33">
        <w:t xml:space="preserve">Table </w:t>
      </w:r>
      <w:r w:rsidR="00E150CA">
        <w:rPr>
          <w:noProof/>
        </w:rPr>
        <w:t>4</w:t>
      </w:r>
      <w:r w:rsidR="00E150CA" w:rsidRPr="00BB2D33">
        <w:rPr>
          <w:noProof/>
        </w:rPr>
        <w:t>.</w:t>
      </w:r>
      <w:r w:rsidR="00E150CA">
        <w:rPr>
          <w:noProof/>
        </w:rPr>
        <w:t>18</w:t>
      </w:r>
      <w:r w:rsidR="00381191">
        <w:fldChar w:fldCharType="end"/>
      </w:r>
      <w:r w:rsidRPr="006D0F79">
        <w:t>).</w:t>
      </w:r>
      <w:proofErr w:type="gramEnd"/>
      <w:r>
        <w:t xml:space="preserve"> </w:t>
      </w:r>
    </w:p>
    <w:p w:rsidR="00CA7A60" w:rsidRDefault="00CA7A60" w:rsidP="00CA7A60">
      <w:pPr>
        <w:pStyle w:val="FAREnormaltext"/>
      </w:pPr>
      <w:proofErr w:type="spellStart"/>
      <w:r>
        <w:t>Polydrug</w:t>
      </w:r>
      <w:proofErr w:type="spellEnd"/>
      <w:r>
        <w:t xml:space="preserve"> use was common, being recorded for 43% of AOD clients. There was little difference across hospital admissions compared with those with no reported </w:t>
      </w:r>
      <w:proofErr w:type="spellStart"/>
      <w:r>
        <w:t>polydrug</w:t>
      </w:r>
      <w:proofErr w:type="spellEnd"/>
      <w:r>
        <w:t xml:space="preserve"> use. Clients with reported </w:t>
      </w:r>
      <w:proofErr w:type="spellStart"/>
      <w:r>
        <w:t>polydrug</w:t>
      </w:r>
      <w:proofErr w:type="spellEnd"/>
      <w:r>
        <w:t xml:space="preserve"> use had a slightly higher proportion of hospitalisations prior to treatment and lower proportion for multiple </w:t>
      </w:r>
      <w:r w:rsidRPr="006D0F79">
        <w:t>hospital admissions (</w:t>
      </w:r>
      <w:r w:rsidR="00381191">
        <w:fldChar w:fldCharType="begin"/>
      </w:r>
      <w:r w:rsidR="00381191">
        <w:instrText xml:space="preserve"> REF _Ref387141371 \h  \* MERGEFORMAT </w:instrText>
      </w:r>
      <w:r w:rsidR="00381191">
        <w:fldChar w:fldCharType="separate"/>
      </w:r>
      <w:r w:rsidR="00E150CA" w:rsidRPr="00BB2D33">
        <w:t xml:space="preserve">Table </w:t>
      </w:r>
      <w:r w:rsidR="00E150CA">
        <w:rPr>
          <w:noProof/>
        </w:rPr>
        <w:t>4</w:t>
      </w:r>
      <w:r w:rsidR="00E150CA" w:rsidRPr="00BB2D33">
        <w:rPr>
          <w:noProof/>
        </w:rPr>
        <w:t>.</w:t>
      </w:r>
      <w:r w:rsidR="00E150CA">
        <w:rPr>
          <w:noProof/>
        </w:rPr>
        <w:t>18</w:t>
      </w:r>
      <w:r w:rsidR="00381191">
        <w:fldChar w:fldCharType="end"/>
      </w:r>
      <w:r w:rsidRPr="006D0F79">
        <w:t>).</w:t>
      </w:r>
    </w:p>
    <w:p w:rsidR="00CA7A60" w:rsidRPr="00C725CA" w:rsidRDefault="00381191" w:rsidP="00C725CA">
      <w:pPr>
        <w:pStyle w:val="FAREnormaltext"/>
      </w:pPr>
      <w:r>
        <w:fldChar w:fldCharType="begin"/>
      </w:r>
      <w:r>
        <w:instrText xml:space="preserve"> REF _Ref387152523 \h  \* MERGEFORMAT </w:instrText>
      </w:r>
      <w:r>
        <w:fldChar w:fldCharType="separate"/>
      </w:r>
      <w:r w:rsidR="00E150CA" w:rsidRPr="00E150CA">
        <w:t>Table 4.19</w:t>
      </w:r>
      <w:r>
        <w:fldChar w:fldCharType="end"/>
      </w:r>
      <w:r w:rsidR="00CA7A60" w:rsidRPr="00C725CA">
        <w:t xml:space="preserve"> shows these same drug characteristics for AOD clients by hospitalisation across the three years – the year prior to treatment, year of treatment, and the year post-treatment. Proportions of pre-AOD treatment hospital admissions (2009/10) were higher than the proportions of post-AOD treatment hospital admissions (2011/12).</w:t>
      </w:r>
    </w:p>
    <w:p w:rsidR="00CA7A60" w:rsidRDefault="00CA7A60" w:rsidP="00A126E3">
      <w:pPr>
        <w:pStyle w:val="FAREtableheading"/>
      </w:pPr>
    </w:p>
    <w:p w:rsidR="00CA7A60" w:rsidRDefault="00CA7A60" w:rsidP="00A126E3">
      <w:pPr>
        <w:pStyle w:val="FAREtableheading"/>
        <w:sectPr w:rsidR="00CA7A60" w:rsidSect="00CA7A60">
          <w:type w:val="continuous"/>
          <w:pgSz w:w="11906" w:h="16838"/>
          <w:pgMar w:top="1440" w:right="1440" w:bottom="1440" w:left="1276" w:header="708" w:footer="595" w:gutter="0"/>
          <w:cols w:space="708"/>
          <w:docGrid w:linePitch="360"/>
        </w:sectPr>
      </w:pPr>
    </w:p>
    <w:p w:rsidR="00CA7A60" w:rsidRDefault="00CA7A60" w:rsidP="00A126E3">
      <w:pPr>
        <w:pStyle w:val="FAREtableheading"/>
      </w:pPr>
      <w:bookmarkStart w:id="218" w:name="_Ref387141371"/>
      <w:bookmarkStart w:id="219" w:name="_Toc387244642"/>
      <w:bookmarkStart w:id="220" w:name="_Toc398105101"/>
      <w:proofErr w:type="gramStart"/>
      <w:r w:rsidRPr="00BB2D33">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rsidRPr="00BB2D33">
        <w:t>.</w:t>
      </w:r>
      <w:proofErr w:type="gramEnd"/>
      <w:r w:rsidR="00BE3D19">
        <w:fldChar w:fldCharType="begin"/>
      </w:r>
      <w:r w:rsidR="009F30FB">
        <w:instrText xml:space="preserve"> SEQ Table \* ARABIC \s 1 </w:instrText>
      </w:r>
      <w:r w:rsidR="00BE3D19">
        <w:fldChar w:fldCharType="separate"/>
      </w:r>
      <w:r w:rsidR="00E150CA">
        <w:rPr>
          <w:noProof/>
        </w:rPr>
        <w:t>18</w:t>
      </w:r>
      <w:r w:rsidR="00BE3D19">
        <w:rPr>
          <w:noProof/>
        </w:rPr>
        <w:fldChar w:fldCharType="end"/>
      </w:r>
      <w:bookmarkEnd w:id="218"/>
      <w:r w:rsidRPr="00BB2D33">
        <w:t xml:space="preserve"> </w:t>
      </w:r>
      <w:r w:rsidR="00E41BCC">
        <w:t xml:space="preserve"> </w:t>
      </w:r>
      <w:r w:rsidRPr="00BB2D33">
        <w:t>Drug</w:t>
      </w:r>
      <w:r w:rsidRPr="00D94FA3">
        <w:t xml:space="preserve"> </w:t>
      </w:r>
      <w:r w:rsidR="004B5CD4">
        <w:t xml:space="preserve">use </w:t>
      </w:r>
      <w:r w:rsidRPr="00D94FA3">
        <w:t xml:space="preserve">characteristics </w:t>
      </w:r>
      <w:r>
        <w:t>by hospital admission, 2009/10 to 2011/12</w:t>
      </w:r>
      <w:bookmarkEnd w:id="219"/>
      <w:bookmarkEnd w:id="220"/>
    </w:p>
    <w:tbl>
      <w:tblPr>
        <w:tblW w:w="5000" w:type="pct"/>
        <w:tblLook w:val="04A0" w:firstRow="1" w:lastRow="0" w:firstColumn="1" w:lastColumn="0" w:noHBand="0" w:noVBand="1"/>
      </w:tblPr>
      <w:tblGrid>
        <w:gridCol w:w="4966"/>
        <w:gridCol w:w="1589"/>
        <w:gridCol w:w="1638"/>
        <w:gridCol w:w="1638"/>
        <w:gridCol w:w="1638"/>
        <w:gridCol w:w="1877"/>
        <w:gridCol w:w="828"/>
      </w:tblGrid>
      <w:tr w:rsidR="00CA7A60" w:rsidRPr="006F35E1" w:rsidTr="003F3393">
        <w:trPr>
          <w:trHeight w:val="300"/>
        </w:trPr>
        <w:tc>
          <w:tcPr>
            <w:tcW w:w="1752" w:type="pct"/>
            <w:vMerge w:val="restart"/>
            <w:tcBorders>
              <w:top w:val="single" w:sz="12" w:space="0" w:color="auto"/>
              <w:left w:val="nil"/>
              <w:bottom w:val="single" w:sz="12" w:space="0" w:color="000000"/>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 </w:t>
            </w:r>
          </w:p>
        </w:tc>
        <w:tc>
          <w:tcPr>
            <w:tcW w:w="3248" w:type="pct"/>
            <w:gridSpan w:val="6"/>
            <w:tcBorders>
              <w:top w:val="single" w:sz="12" w:space="0" w:color="auto"/>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 xml:space="preserve"> Number of AOD clients </w:t>
            </w:r>
          </w:p>
        </w:tc>
      </w:tr>
      <w:tr w:rsidR="00CA7A60" w:rsidRPr="006F35E1" w:rsidTr="003F3393">
        <w:trPr>
          <w:trHeight w:val="300"/>
        </w:trPr>
        <w:tc>
          <w:tcPr>
            <w:tcW w:w="1752" w:type="pct"/>
            <w:vMerge/>
            <w:tcBorders>
              <w:top w:val="single" w:sz="12" w:space="0" w:color="auto"/>
              <w:left w:val="nil"/>
              <w:bottom w:val="single" w:sz="12" w:space="0" w:color="000000"/>
              <w:right w:val="nil"/>
            </w:tcBorders>
            <w:vAlign w:val="center"/>
            <w:hideMark/>
          </w:tcPr>
          <w:p w:rsidR="00CA7A60" w:rsidRPr="006F35E1" w:rsidRDefault="00CA7A60" w:rsidP="00CA7A60">
            <w:pPr>
              <w:spacing w:after="0" w:line="240" w:lineRule="auto"/>
              <w:rPr>
                <w:rFonts w:eastAsia="Times New Roman"/>
                <w:b/>
                <w:bCs/>
                <w:color w:val="000000"/>
                <w:lang w:eastAsia="zh-CN"/>
              </w:rPr>
            </w:pPr>
          </w:p>
        </w:tc>
        <w:tc>
          <w:tcPr>
            <w:tcW w:w="561"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No Admission (%)</w:t>
            </w:r>
          </w:p>
        </w:tc>
        <w:tc>
          <w:tcPr>
            <w:tcW w:w="578"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Admission 09/10 only (%)</w:t>
            </w:r>
          </w:p>
        </w:tc>
        <w:tc>
          <w:tcPr>
            <w:tcW w:w="578"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Admission 10/11 only (%)</w:t>
            </w:r>
          </w:p>
        </w:tc>
        <w:tc>
          <w:tcPr>
            <w:tcW w:w="578"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Admission 11/12 only (%)</w:t>
            </w:r>
          </w:p>
        </w:tc>
        <w:tc>
          <w:tcPr>
            <w:tcW w:w="662"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Admission in multiple years (%)</w:t>
            </w:r>
          </w:p>
        </w:tc>
        <w:tc>
          <w:tcPr>
            <w:tcW w:w="292" w:type="pct"/>
            <w:tcBorders>
              <w:top w:val="nil"/>
              <w:left w:val="nil"/>
              <w:bottom w:val="single" w:sz="12" w:space="0" w:color="auto"/>
              <w:right w:val="nil"/>
            </w:tcBorders>
            <w:shd w:val="clear" w:color="auto" w:fill="auto"/>
            <w:vAlign w:val="center"/>
            <w:hideMark/>
          </w:tcPr>
          <w:p w:rsidR="00CA7A60" w:rsidRPr="006F35E1" w:rsidRDefault="00CA7A60" w:rsidP="00CA7A60">
            <w:pPr>
              <w:spacing w:after="0" w:line="240" w:lineRule="auto"/>
              <w:jc w:val="center"/>
              <w:rPr>
                <w:rFonts w:eastAsia="Times New Roman"/>
                <w:b/>
                <w:bCs/>
                <w:color w:val="000000"/>
                <w:lang w:eastAsia="zh-CN"/>
              </w:rPr>
            </w:pPr>
            <w:r w:rsidRPr="006F35E1">
              <w:rPr>
                <w:rFonts w:eastAsia="Times New Roman"/>
                <w:b/>
                <w:bCs/>
                <w:color w:val="000000"/>
                <w:lang w:eastAsia="zh-CN"/>
              </w:rPr>
              <w:t>p</w:t>
            </w:r>
          </w:p>
        </w:tc>
      </w:tr>
      <w:tr w:rsidR="00CA7A60" w:rsidRPr="006F35E1" w:rsidTr="003F3393">
        <w:trPr>
          <w:trHeight w:val="300"/>
        </w:trPr>
        <w:tc>
          <w:tcPr>
            <w:tcW w:w="1752"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 xml:space="preserve">Total </w:t>
            </w:r>
            <w:r w:rsidRPr="00941C94">
              <w:rPr>
                <w:rFonts w:eastAsia="Times New Roman"/>
                <w:bCs/>
                <w:color w:val="000000"/>
                <w:lang w:eastAsia="zh-CN"/>
              </w:rPr>
              <w:t>(n=25229)</w:t>
            </w:r>
          </w:p>
        </w:tc>
        <w:tc>
          <w:tcPr>
            <w:tcW w:w="561"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15119 (59.9%)</w:t>
            </w:r>
          </w:p>
        </w:tc>
        <w:tc>
          <w:tcPr>
            <w:tcW w:w="578"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2167 (8.6%)</w:t>
            </w:r>
          </w:p>
        </w:tc>
        <w:tc>
          <w:tcPr>
            <w:tcW w:w="578"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1929 (7.6%)</w:t>
            </w:r>
          </w:p>
        </w:tc>
        <w:tc>
          <w:tcPr>
            <w:tcW w:w="578"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1801 (7.1%)</w:t>
            </w:r>
          </w:p>
        </w:tc>
        <w:tc>
          <w:tcPr>
            <w:tcW w:w="662"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4213 (16.7%)</w:t>
            </w:r>
          </w:p>
        </w:tc>
        <w:tc>
          <w:tcPr>
            <w:tcW w:w="292" w:type="pct"/>
            <w:tcBorders>
              <w:top w:val="nil"/>
              <w:left w:val="nil"/>
              <w:bottom w:val="single" w:sz="4" w:space="0" w:color="auto"/>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CA7A60" w:rsidRPr="006F35E1" w:rsidTr="003F3393">
        <w:trPr>
          <w:trHeight w:val="300"/>
        </w:trPr>
        <w:tc>
          <w:tcPr>
            <w:tcW w:w="175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b/>
                <w:bCs/>
                <w:color w:val="000000"/>
                <w:lang w:eastAsia="zh-CN"/>
              </w:rPr>
            </w:pPr>
            <w:r w:rsidRPr="006F35E1">
              <w:rPr>
                <w:rFonts w:eastAsia="Times New Roman"/>
                <w:b/>
                <w:bCs/>
                <w:color w:val="000000"/>
                <w:lang w:eastAsia="zh-CN"/>
              </w:rPr>
              <w:t>Primary drug of concern</w:t>
            </w:r>
          </w:p>
        </w:tc>
        <w:tc>
          <w:tcPr>
            <w:tcW w:w="56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66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3F3393">
        <w:trPr>
          <w:trHeight w:val="300"/>
        </w:trPr>
        <w:tc>
          <w:tcPr>
            <w:tcW w:w="175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Alcohol (n=11912; 47.2%)</w:t>
            </w:r>
          </w:p>
        </w:tc>
        <w:tc>
          <w:tcPr>
            <w:tcW w:w="56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7004 (58.8%)</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1003 (8.4%)</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896 (7.5%)</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825 (6.9%)</w:t>
            </w:r>
          </w:p>
        </w:tc>
        <w:tc>
          <w:tcPr>
            <w:tcW w:w="66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2184 (18.3%)</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3F3393">
        <w:trPr>
          <w:trHeight w:val="300"/>
        </w:trPr>
        <w:tc>
          <w:tcPr>
            <w:tcW w:w="175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Cannabis (n=5663; 22.4%)</w:t>
            </w:r>
          </w:p>
        </w:tc>
        <w:tc>
          <w:tcPr>
            <w:tcW w:w="56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3563 (62.9%)</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487 (8.6%)</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380 (6.7%)</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397 (7.0%)</w:t>
            </w:r>
          </w:p>
        </w:tc>
        <w:tc>
          <w:tcPr>
            <w:tcW w:w="66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836 (14.8%)</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3F3393">
        <w:trPr>
          <w:trHeight w:val="300"/>
        </w:trPr>
        <w:tc>
          <w:tcPr>
            <w:tcW w:w="175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Heroin &amp; other opioids (n=3863; 15.3%)</w:t>
            </w:r>
          </w:p>
        </w:tc>
        <w:tc>
          <w:tcPr>
            <w:tcW w:w="56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2231 (57.8%)</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353 (9.1%)</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328 (8.5%)</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302 (7.8%)</w:t>
            </w:r>
          </w:p>
        </w:tc>
        <w:tc>
          <w:tcPr>
            <w:tcW w:w="66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649 (16.8%)</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3F3393">
        <w:trPr>
          <w:trHeight w:val="300"/>
        </w:trPr>
        <w:tc>
          <w:tcPr>
            <w:tcW w:w="175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Amphetamine &amp; other stimulants (n=2198; 8.7%)</w:t>
            </w:r>
          </w:p>
        </w:tc>
        <w:tc>
          <w:tcPr>
            <w:tcW w:w="56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1388 (63.1%)</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192 (8.7%)</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181 (8.2%)</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166 (7.6%)</w:t>
            </w:r>
          </w:p>
        </w:tc>
        <w:tc>
          <w:tcPr>
            <w:tcW w:w="66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271 (12.3%)</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3F3393">
        <w:trPr>
          <w:trHeight w:val="300"/>
        </w:trPr>
        <w:tc>
          <w:tcPr>
            <w:tcW w:w="175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Benzodiazepines &amp; other tranquillisers (n=522; 2.1%)</w:t>
            </w:r>
          </w:p>
        </w:tc>
        <w:tc>
          <w:tcPr>
            <w:tcW w:w="56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292 (55.9%)</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41 (7.9%)</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46 (8.8%)</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35 (6.7%)</w:t>
            </w:r>
          </w:p>
        </w:tc>
        <w:tc>
          <w:tcPr>
            <w:tcW w:w="66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108 (20.7%)</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CA7A60" w:rsidRPr="006F35E1" w:rsidTr="003F3393">
        <w:trPr>
          <w:trHeight w:val="300"/>
        </w:trPr>
        <w:tc>
          <w:tcPr>
            <w:tcW w:w="175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rPr>
                <w:rFonts w:eastAsia="Times New Roman"/>
                <w:color w:val="000000"/>
                <w:lang w:eastAsia="zh-CN"/>
              </w:rPr>
            </w:pPr>
            <w:r w:rsidRPr="006F35E1">
              <w:rPr>
                <w:rFonts w:eastAsia="Times New Roman"/>
                <w:color w:val="000000"/>
                <w:lang w:eastAsia="zh-CN"/>
              </w:rPr>
              <w:t>Other (n=730; 2.9%)</w:t>
            </w:r>
          </w:p>
        </w:tc>
        <w:tc>
          <w:tcPr>
            <w:tcW w:w="561"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440 (60.3%)</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57 (7.8%)</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67 (9.2%)</w:t>
            </w:r>
          </w:p>
        </w:tc>
        <w:tc>
          <w:tcPr>
            <w:tcW w:w="578"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54 (7.4%)</w:t>
            </w:r>
          </w:p>
        </w:tc>
        <w:tc>
          <w:tcPr>
            <w:tcW w:w="66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r w:rsidRPr="006F35E1">
              <w:rPr>
                <w:rFonts w:eastAsia="Times New Roman"/>
                <w:color w:val="000000"/>
                <w:lang w:eastAsia="zh-CN"/>
              </w:rPr>
              <w:t>112 (15.3%)</w:t>
            </w:r>
          </w:p>
        </w:tc>
        <w:tc>
          <w:tcPr>
            <w:tcW w:w="292" w:type="pct"/>
            <w:tcBorders>
              <w:top w:val="nil"/>
              <w:left w:val="nil"/>
              <w:bottom w:val="nil"/>
              <w:right w:val="nil"/>
            </w:tcBorders>
            <w:shd w:val="clear" w:color="auto" w:fill="auto"/>
            <w:noWrap/>
            <w:vAlign w:val="bottom"/>
            <w:hideMark/>
          </w:tcPr>
          <w:p w:rsidR="00CA7A60" w:rsidRPr="006F35E1" w:rsidRDefault="00CA7A60" w:rsidP="00CA7A60">
            <w:pPr>
              <w:spacing w:after="0" w:line="240" w:lineRule="auto"/>
              <w:jc w:val="right"/>
              <w:rPr>
                <w:rFonts w:eastAsia="Times New Roman"/>
                <w:color w:val="000000"/>
                <w:lang w:eastAsia="zh-CN"/>
              </w:rPr>
            </w:pPr>
          </w:p>
        </w:tc>
      </w:tr>
      <w:tr w:rsidR="003F3393" w:rsidRPr="006F35E1" w:rsidTr="003F3393">
        <w:trPr>
          <w:trHeight w:val="300"/>
        </w:trPr>
        <w:tc>
          <w:tcPr>
            <w:tcW w:w="175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Unknown (n=341; 1.4%)</w:t>
            </w:r>
          </w:p>
        </w:tc>
        <w:tc>
          <w:tcPr>
            <w:tcW w:w="561"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201 (58.9%)</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34 (10.0%)</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31 (9.1%)</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22 (6.5%)</w:t>
            </w:r>
          </w:p>
        </w:tc>
        <w:tc>
          <w:tcPr>
            <w:tcW w:w="66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53 (15.5%)</w:t>
            </w:r>
          </w:p>
        </w:tc>
        <w:tc>
          <w:tcPr>
            <w:tcW w:w="292" w:type="pct"/>
            <w:tcBorders>
              <w:top w:val="nil"/>
              <w:left w:val="nil"/>
              <w:bottom w:val="nil"/>
              <w:right w:val="nil"/>
            </w:tcBorders>
            <w:shd w:val="clear" w:color="auto" w:fill="auto"/>
            <w:noWrap/>
            <w:vAlign w:val="bottom"/>
            <w:hideMark/>
          </w:tcPr>
          <w:p w:rsidR="003F3393" w:rsidRPr="006F35E1" w:rsidRDefault="003F3393" w:rsidP="003F3393">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3F3393" w:rsidRPr="006F35E1" w:rsidTr="003F3393">
        <w:trPr>
          <w:trHeight w:val="300"/>
        </w:trPr>
        <w:tc>
          <w:tcPr>
            <w:tcW w:w="1752"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b/>
                <w:bCs/>
                <w:color w:val="000000"/>
                <w:lang w:eastAsia="zh-CN"/>
              </w:rPr>
            </w:pPr>
            <w:r w:rsidRPr="006F35E1">
              <w:rPr>
                <w:rFonts w:eastAsia="Times New Roman"/>
                <w:b/>
                <w:bCs/>
                <w:color w:val="000000"/>
                <w:lang w:eastAsia="zh-CN"/>
              </w:rPr>
              <w:t xml:space="preserve">Method of use </w:t>
            </w:r>
          </w:p>
        </w:tc>
        <w:tc>
          <w:tcPr>
            <w:tcW w:w="561"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78"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78"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78"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62"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92"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3F3393" w:rsidRPr="006F35E1" w:rsidTr="003F3393">
        <w:trPr>
          <w:trHeight w:val="300"/>
        </w:trPr>
        <w:tc>
          <w:tcPr>
            <w:tcW w:w="175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Ingest (n=12461; 49.4%)</w:t>
            </w:r>
          </w:p>
        </w:tc>
        <w:tc>
          <w:tcPr>
            <w:tcW w:w="561"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7307 (58.6%)</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1045 (8.4%)</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969 (7.8%)</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857 (6.9%)</w:t>
            </w:r>
          </w:p>
        </w:tc>
        <w:tc>
          <w:tcPr>
            <w:tcW w:w="66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2283 (18.3%)</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75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Smoke (n=5103; 20.2%)</w:t>
            </w:r>
          </w:p>
        </w:tc>
        <w:tc>
          <w:tcPr>
            <w:tcW w:w="561"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3235 (63.4%)</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438 (8.6%)</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343 (6.7%)</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365 (7.2%)</w:t>
            </w:r>
          </w:p>
        </w:tc>
        <w:tc>
          <w:tcPr>
            <w:tcW w:w="66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722 (14.1%)</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75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Inject (n=3632; 14.4%)</w:t>
            </w:r>
          </w:p>
        </w:tc>
        <w:tc>
          <w:tcPr>
            <w:tcW w:w="561"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2118 (58.3%)</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319 (8.8%)</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310 (8.5%)</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278 (7.7%)</w:t>
            </w:r>
          </w:p>
        </w:tc>
        <w:tc>
          <w:tcPr>
            <w:tcW w:w="66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607 (16.7%)</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75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Sniff/inhale (n=1340; 5.3%)</w:t>
            </w:r>
          </w:p>
        </w:tc>
        <w:tc>
          <w:tcPr>
            <w:tcW w:w="561"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837 (62.5%)</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131 (9.8%)</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102 (7.6%)</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99 (7.4%)</w:t>
            </w:r>
          </w:p>
        </w:tc>
        <w:tc>
          <w:tcPr>
            <w:tcW w:w="66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171 (12.8%)</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752"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Other/unknown (n=2693; 10.7%)</w:t>
            </w:r>
          </w:p>
        </w:tc>
        <w:tc>
          <w:tcPr>
            <w:tcW w:w="561"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1622 (60.2%)</w:t>
            </w:r>
          </w:p>
        </w:tc>
        <w:tc>
          <w:tcPr>
            <w:tcW w:w="578"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234 (8.7%)</w:t>
            </w:r>
          </w:p>
        </w:tc>
        <w:tc>
          <w:tcPr>
            <w:tcW w:w="578"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205 (7.6%)</w:t>
            </w:r>
          </w:p>
        </w:tc>
        <w:tc>
          <w:tcPr>
            <w:tcW w:w="578"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202 (7.5%)</w:t>
            </w:r>
          </w:p>
        </w:tc>
        <w:tc>
          <w:tcPr>
            <w:tcW w:w="662" w:type="pct"/>
            <w:tcBorders>
              <w:top w:val="nil"/>
              <w:left w:val="nil"/>
              <w:bottom w:val="single" w:sz="4"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430 (16.0%)</w:t>
            </w:r>
          </w:p>
        </w:tc>
        <w:tc>
          <w:tcPr>
            <w:tcW w:w="292" w:type="pct"/>
            <w:tcBorders>
              <w:top w:val="nil"/>
              <w:left w:val="nil"/>
              <w:bottom w:val="single" w:sz="4" w:space="0" w:color="auto"/>
              <w:right w:val="nil"/>
            </w:tcBorders>
            <w:shd w:val="clear" w:color="auto" w:fill="auto"/>
            <w:noWrap/>
            <w:vAlign w:val="bottom"/>
            <w:hideMark/>
          </w:tcPr>
          <w:p w:rsidR="003F3393" w:rsidRPr="006F35E1" w:rsidRDefault="003F3393" w:rsidP="003F3393">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r w:rsidR="003F3393" w:rsidRPr="006F35E1" w:rsidTr="003F3393">
        <w:trPr>
          <w:trHeight w:val="300"/>
        </w:trPr>
        <w:tc>
          <w:tcPr>
            <w:tcW w:w="175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b/>
                <w:bCs/>
                <w:color w:val="000000"/>
                <w:lang w:eastAsia="zh-CN"/>
              </w:rPr>
            </w:pPr>
            <w:proofErr w:type="spellStart"/>
            <w:r w:rsidRPr="006F35E1">
              <w:rPr>
                <w:rFonts w:eastAsia="Times New Roman"/>
                <w:b/>
                <w:bCs/>
                <w:color w:val="000000"/>
                <w:lang w:eastAsia="zh-CN"/>
              </w:rPr>
              <w:t>Polydrug</w:t>
            </w:r>
            <w:proofErr w:type="spellEnd"/>
            <w:r w:rsidRPr="006F35E1">
              <w:rPr>
                <w:rFonts w:eastAsia="Times New Roman"/>
                <w:b/>
                <w:bCs/>
                <w:color w:val="000000"/>
                <w:lang w:eastAsia="zh-CN"/>
              </w:rPr>
              <w:t xml:space="preserve"> use</w:t>
            </w:r>
          </w:p>
        </w:tc>
        <w:tc>
          <w:tcPr>
            <w:tcW w:w="561"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66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75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Yes (n=10899; 43.2%)</w:t>
            </w:r>
          </w:p>
        </w:tc>
        <w:tc>
          <w:tcPr>
            <w:tcW w:w="561"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6579 (60.4%)</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971 (8.9%)</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848 (7.8%)</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773 (7.1%)</w:t>
            </w:r>
          </w:p>
        </w:tc>
        <w:tc>
          <w:tcPr>
            <w:tcW w:w="66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1728 (15.9%)</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75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No (n=9939; 39.4%)</w:t>
            </w:r>
          </w:p>
        </w:tc>
        <w:tc>
          <w:tcPr>
            <w:tcW w:w="561"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5857 (58.9%)</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828 (8.3%)</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760 (7.6%)</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706 (7.1%)</w:t>
            </w:r>
          </w:p>
        </w:tc>
        <w:tc>
          <w:tcPr>
            <w:tcW w:w="66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1788 (18.0%)</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75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Unknown (n=4391; 17.4%)</w:t>
            </w:r>
          </w:p>
        </w:tc>
        <w:tc>
          <w:tcPr>
            <w:tcW w:w="561"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2683 (61.1%)</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368 (8.4%)</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321 (7.3%)</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322 (7.3%)</w:t>
            </w:r>
          </w:p>
        </w:tc>
        <w:tc>
          <w:tcPr>
            <w:tcW w:w="66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697 (15.9%)</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0.004</w:t>
            </w:r>
          </w:p>
        </w:tc>
      </w:tr>
      <w:tr w:rsidR="003F3393" w:rsidRPr="006F35E1" w:rsidTr="003F3393">
        <w:trPr>
          <w:trHeight w:val="300"/>
        </w:trPr>
        <w:tc>
          <w:tcPr>
            <w:tcW w:w="1752"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b/>
                <w:bCs/>
                <w:color w:val="000000"/>
                <w:lang w:eastAsia="zh-CN"/>
              </w:rPr>
            </w:pPr>
            <w:r w:rsidRPr="006F35E1">
              <w:rPr>
                <w:rFonts w:eastAsia="Times New Roman"/>
                <w:b/>
                <w:bCs/>
                <w:color w:val="000000"/>
                <w:lang w:eastAsia="zh-CN"/>
              </w:rPr>
              <w:t>Injecting drug use history</w:t>
            </w:r>
          </w:p>
        </w:tc>
        <w:tc>
          <w:tcPr>
            <w:tcW w:w="561"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78"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78"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578"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662"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c>
          <w:tcPr>
            <w:tcW w:w="292" w:type="pct"/>
            <w:tcBorders>
              <w:top w:val="single" w:sz="4" w:space="0" w:color="auto"/>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 </w:t>
            </w:r>
          </w:p>
        </w:tc>
      </w:tr>
      <w:tr w:rsidR="003F3393" w:rsidRPr="006F35E1" w:rsidTr="003F3393">
        <w:trPr>
          <w:trHeight w:val="300"/>
        </w:trPr>
        <w:tc>
          <w:tcPr>
            <w:tcW w:w="175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Never injected (n=12767; 50.6%)</w:t>
            </w:r>
          </w:p>
        </w:tc>
        <w:tc>
          <w:tcPr>
            <w:tcW w:w="561"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7765 (60.8%)</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1094 (8.6%)</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948 (7.4%)</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898 (7.0%)</w:t>
            </w:r>
          </w:p>
        </w:tc>
        <w:tc>
          <w:tcPr>
            <w:tcW w:w="66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2062 (16.2%)</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75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Pr>
                <w:rFonts w:eastAsia="Times New Roman"/>
                <w:color w:val="000000"/>
                <w:lang w:eastAsia="zh-CN"/>
              </w:rPr>
              <w:t xml:space="preserve">Within past 12 months </w:t>
            </w:r>
            <w:r w:rsidRPr="006F35E1">
              <w:rPr>
                <w:rFonts w:eastAsia="Times New Roman"/>
                <w:color w:val="000000"/>
                <w:lang w:eastAsia="zh-CN"/>
              </w:rPr>
              <w:t>(n=5135; 20.4%)</w:t>
            </w:r>
          </w:p>
        </w:tc>
        <w:tc>
          <w:tcPr>
            <w:tcW w:w="561"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2934 (57.1%)</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472 (9.2%)</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437 (8.5%)</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368 (7.2%)</w:t>
            </w:r>
          </w:p>
        </w:tc>
        <w:tc>
          <w:tcPr>
            <w:tcW w:w="66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924 (18.0%)</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75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Over 12 months ago (n=2664; 10.6%)</w:t>
            </w:r>
          </w:p>
        </w:tc>
        <w:tc>
          <w:tcPr>
            <w:tcW w:w="561"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1548 (58.1%)</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251 (9.4%)</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197 (7.4%)</w:t>
            </w:r>
          </w:p>
        </w:tc>
        <w:tc>
          <w:tcPr>
            <w:tcW w:w="578"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212 (8.0%)</w:t>
            </w:r>
          </w:p>
        </w:tc>
        <w:tc>
          <w:tcPr>
            <w:tcW w:w="66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456 (17.1%)</w:t>
            </w:r>
          </w:p>
        </w:tc>
        <w:tc>
          <w:tcPr>
            <w:tcW w:w="292" w:type="pct"/>
            <w:tcBorders>
              <w:top w:val="nil"/>
              <w:left w:val="nil"/>
              <w:bottom w:val="nil"/>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p>
        </w:tc>
      </w:tr>
      <w:tr w:rsidR="003F3393" w:rsidRPr="006F35E1" w:rsidTr="003F3393">
        <w:trPr>
          <w:trHeight w:val="300"/>
        </w:trPr>
        <w:tc>
          <w:tcPr>
            <w:tcW w:w="1752"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rPr>
                <w:rFonts w:eastAsia="Times New Roman"/>
                <w:color w:val="000000"/>
                <w:lang w:eastAsia="zh-CN"/>
              </w:rPr>
            </w:pPr>
            <w:r w:rsidRPr="006F35E1">
              <w:rPr>
                <w:rFonts w:eastAsia="Times New Roman"/>
                <w:color w:val="000000"/>
                <w:lang w:eastAsia="zh-CN"/>
              </w:rPr>
              <w:t>Unknown (n=4663; 18.5%)</w:t>
            </w:r>
          </w:p>
        </w:tc>
        <w:tc>
          <w:tcPr>
            <w:tcW w:w="561"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2872 (61.6%)</w:t>
            </w:r>
          </w:p>
        </w:tc>
        <w:tc>
          <w:tcPr>
            <w:tcW w:w="578"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350 (7.5%)</w:t>
            </w:r>
          </w:p>
        </w:tc>
        <w:tc>
          <w:tcPr>
            <w:tcW w:w="578"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347 (7.4%)</w:t>
            </w:r>
          </w:p>
        </w:tc>
        <w:tc>
          <w:tcPr>
            <w:tcW w:w="578"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323 (6.9%)</w:t>
            </w:r>
          </w:p>
        </w:tc>
        <w:tc>
          <w:tcPr>
            <w:tcW w:w="662" w:type="pct"/>
            <w:tcBorders>
              <w:top w:val="nil"/>
              <w:left w:val="nil"/>
              <w:bottom w:val="single" w:sz="12" w:space="0" w:color="auto"/>
              <w:right w:val="nil"/>
            </w:tcBorders>
            <w:shd w:val="clear" w:color="auto" w:fill="auto"/>
            <w:noWrap/>
            <w:vAlign w:val="bottom"/>
            <w:hideMark/>
          </w:tcPr>
          <w:p w:rsidR="003F3393" w:rsidRPr="006F35E1" w:rsidRDefault="003F3393" w:rsidP="00CA7A60">
            <w:pPr>
              <w:spacing w:after="0" w:line="240" w:lineRule="auto"/>
              <w:jc w:val="right"/>
              <w:rPr>
                <w:rFonts w:eastAsia="Times New Roman"/>
                <w:color w:val="000000"/>
                <w:lang w:eastAsia="zh-CN"/>
              </w:rPr>
            </w:pPr>
            <w:r w:rsidRPr="006F35E1">
              <w:rPr>
                <w:rFonts w:eastAsia="Times New Roman"/>
                <w:color w:val="000000"/>
                <w:lang w:eastAsia="zh-CN"/>
              </w:rPr>
              <w:t>771 (16.5%)</w:t>
            </w:r>
          </w:p>
        </w:tc>
        <w:tc>
          <w:tcPr>
            <w:tcW w:w="292" w:type="pct"/>
            <w:tcBorders>
              <w:top w:val="nil"/>
              <w:left w:val="nil"/>
              <w:bottom w:val="single" w:sz="12" w:space="0" w:color="auto"/>
              <w:right w:val="nil"/>
            </w:tcBorders>
            <w:shd w:val="clear" w:color="auto" w:fill="auto"/>
            <w:noWrap/>
            <w:vAlign w:val="bottom"/>
            <w:hideMark/>
          </w:tcPr>
          <w:p w:rsidR="003F3393" w:rsidRPr="006F35E1" w:rsidRDefault="003F3393" w:rsidP="003F3393">
            <w:pPr>
              <w:spacing w:after="0" w:line="240" w:lineRule="auto"/>
              <w:jc w:val="right"/>
              <w:rPr>
                <w:rFonts w:eastAsia="Times New Roman"/>
                <w:color w:val="000000"/>
                <w:lang w:eastAsia="zh-CN"/>
              </w:rPr>
            </w:pPr>
            <w:r>
              <w:rPr>
                <w:rFonts w:eastAsia="Times New Roman"/>
                <w:color w:val="000000"/>
                <w:lang w:eastAsia="zh-CN"/>
              </w:rPr>
              <w:t>&lt;</w:t>
            </w:r>
            <w:r w:rsidRPr="006F35E1">
              <w:rPr>
                <w:rFonts w:eastAsia="Times New Roman"/>
                <w:color w:val="000000"/>
                <w:lang w:eastAsia="zh-CN"/>
              </w:rPr>
              <w:t>0.00</w:t>
            </w:r>
            <w:r>
              <w:rPr>
                <w:rFonts w:eastAsia="Times New Roman"/>
                <w:color w:val="000000"/>
                <w:lang w:eastAsia="zh-CN"/>
              </w:rPr>
              <w:t>1</w:t>
            </w:r>
          </w:p>
        </w:tc>
      </w:tr>
    </w:tbl>
    <w:p w:rsidR="00CA7A60" w:rsidRDefault="00CA7A60" w:rsidP="00A126E3">
      <w:pPr>
        <w:pStyle w:val="FAREtableheading"/>
      </w:pPr>
    </w:p>
    <w:p w:rsidR="00CA7A60" w:rsidRDefault="00CA7A60" w:rsidP="00A126E3">
      <w:pPr>
        <w:pStyle w:val="FAREtableheading"/>
        <w:sectPr w:rsidR="00CA7A60" w:rsidSect="00CA7A60">
          <w:pgSz w:w="16838" w:h="11906" w:orient="landscape"/>
          <w:pgMar w:top="1276" w:right="1440" w:bottom="1440" w:left="1440" w:header="708" w:footer="595" w:gutter="0"/>
          <w:cols w:space="708"/>
          <w:docGrid w:linePitch="360"/>
        </w:sectPr>
      </w:pPr>
    </w:p>
    <w:p w:rsidR="00CA7A60" w:rsidRDefault="00CA7A60" w:rsidP="00A126E3">
      <w:pPr>
        <w:pStyle w:val="FAREtableheading"/>
      </w:pPr>
      <w:bookmarkStart w:id="221" w:name="_Ref387152523"/>
      <w:bookmarkStart w:id="222" w:name="_Toc387244643"/>
      <w:bookmarkStart w:id="223" w:name="_Toc398105102"/>
      <w:proofErr w:type="gramStart"/>
      <w:r w:rsidRPr="00C725CA">
        <w:rPr>
          <w:bCs/>
        </w:rPr>
        <w:lastRenderedPageBreak/>
        <w:t xml:space="preserve">Table </w:t>
      </w:r>
      <w:r w:rsidR="00BE3D19" w:rsidRPr="00C725CA">
        <w:rPr>
          <w:bCs/>
        </w:rPr>
        <w:fldChar w:fldCharType="begin"/>
      </w:r>
      <w:r w:rsidRPr="00C725CA">
        <w:rPr>
          <w:bCs/>
        </w:rPr>
        <w:instrText xml:space="preserve"> STYLEREF 1 \s </w:instrText>
      </w:r>
      <w:r w:rsidR="00BE3D19" w:rsidRPr="00C725CA">
        <w:rPr>
          <w:bCs/>
        </w:rPr>
        <w:fldChar w:fldCharType="separate"/>
      </w:r>
      <w:r w:rsidR="00E150CA">
        <w:rPr>
          <w:bCs/>
          <w:noProof/>
        </w:rPr>
        <w:t>4</w:t>
      </w:r>
      <w:r w:rsidR="00BE3D19" w:rsidRPr="00C725CA">
        <w:rPr>
          <w:bCs/>
          <w:noProof/>
        </w:rPr>
        <w:fldChar w:fldCharType="end"/>
      </w:r>
      <w:r w:rsidRPr="00C725CA">
        <w:rPr>
          <w:bCs/>
        </w:rPr>
        <w:t>.</w:t>
      </w:r>
      <w:proofErr w:type="gramEnd"/>
      <w:r w:rsidR="00BE3D19" w:rsidRPr="00C725CA">
        <w:rPr>
          <w:bCs/>
        </w:rPr>
        <w:fldChar w:fldCharType="begin"/>
      </w:r>
      <w:r w:rsidRPr="00C725CA">
        <w:rPr>
          <w:bCs/>
        </w:rPr>
        <w:instrText xml:space="preserve"> SEQ Table \* ARABIC \s 1 </w:instrText>
      </w:r>
      <w:r w:rsidR="00BE3D19" w:rsidRPr="00C725CA">
        <w:rPr>
          <w:bCs/>
        </w:rPr>
        <w:fldChar w:fldCharType="separate"/>
      </w:r>
      <w:r w:rsidR="00E150CA">
        <w:rPr>
          <w:bCs/>
          <w:noProof/>
        </w:rPr>
        <w:t>19</w:t>
      </w:r>
      <w:r w:rsidR="00BE3D19" w:rsidRPr="00C725CA">
        <w:rPr>
          <w:bCs/>
          <w:noProof/>
        </w:rPr>
        <w:fldChar w:fldCharType="end"/>
      </w:r>
      <w:bookmarkEnd w:id="221"/>
      <w:r w:rsidRPr="00BB6AFB">
        <w:rPr>
          <w:bCs/>
        </w:rPr>
        <w:t xml:space="preserve"> </w:t>
      </w:r>
      <w:r>
        <w:t xml:space="preserve"> </w:t>
      </w:r>
      <w:r w:rsidRPr="00D94FA3">
        <w:t xml:space="preserve">Drug </w:t>
      </w:r>
      <w:r w:rsidR="004B5CD4">
        <w:t xml:space="preserve">use </w:t>
      </w:r>
      <w:r w:rsidRPr="00D94FA3">
        <w:t xml:space="preserve">characteristics </w:t>
      </w:r>
      <w:r>
        <w:t>by hospital admission, 2009/10, 2010/11 and 2011/12</w:t>
      </w:r>
      <w:bookmarkEnd w:id="222"/>
      <w:bookmarkEnd w:id="223"/>
    </w:p>
    <w:tbl>
      <w:tblPr>
        <w:tblW w:w="5000" w:type="pct"/>
        <w:tblLook w:val="04A0" w:firstRow="1" w:lastRow="0" w:firstColumn="1" w:lastColumn="0" w:noHBand="0" w:noVBand="1"/>
      </w:tblPr>
      <w:tblGrid>
        <w:gridCol w:w="4950"/>
        <w:gridCol w:w="1431"/>
        <w:gridCol w:w="1431"/>
        <w:gridCol w:w="1430"/>
      </w:tblGrid>
      <w:tr w:rsidR="00CA7A60" w:rsidRPr="00B30EA5" w:rsidTr="00CA7A60">
        <w:trPr>
          <w:trHeight w:val="300"/>
        </w:trPr>
        <w:tc>
          <w:tcPr>
            <w:tcW w:w="2658" w:type="pct"/>
            <w:vMerge w:val="restart"/>
            <w:tcBorders>
              <w:top w:val="single" w:sz="12" w:space="0" w:color="auto"/>
              <w:left w:val="nil"/>
              <w:bottom w:val="single" w:sz="12" w:space="0" w:color="000000"/>
              <w:right w:val="nil"/>
            </w:tcBorders>
            <w:shd w:val="clear" w:color="auto" w:fill="auto"/>
            <w:noWrap/>
            <w:vAlign w:val="bottom"/>
            <w:hideMark/>
          </w:tcPr>
          <w:p w:rsidR="00CA7A60" w:rsidRPr="00B30EA5" w:rsidRDefault="00CA7A60" w:rsidP="00CA7A60">
            <w:pPr>
              <w:spacing w:after="0" w:line="240" w:lineRule="auto"/>
              <w:jc w:val="center"/>
              <w:rPr>
                <w:rFonts w:eastAsia="Times New Roman"/>
                <w:color w:val="000000"/>
                <w:lang w:eastAsia="en-AU"/>
              </w:rPr>
            </w:pPr>
            <w:r w:rsidRPr="00B30EA5">
              <w:rPr>
                <w:rFonts w:eastAsia="Times New Roman"/>
                <w:color w:val="000000"/>
                <w:lang w:eastAsia="en-AU"/>
              </w:rPr>
              <w:t> </w:t>
            </w:r>
          </w:p>
        </w:tc>
        <w:tc>
          <w:tcPr>
            <w:tcW w:w="2342" w:type="pct"/>
            <w:gridSpan w:val="3"/>
            <w:tcBorders>
              <w:top w:val="single" w:sz="12" w:space="0" w:color="auto"/>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xml:space="preserve"> Number of AOD clients </w:t>
            </w:r>
          </w:p>
        </w:tc>
      </w:tr>
      <w:tr w:rsidR="00CA7A60" w:rsidRPr="00B30EA5" w:rsidTr="00CA7A60">
        <w:trPr>
          <w:trHeight w:val="300"/>
        </w:trPr>
        <w:tc>
          <w:tcPr>
            <w:tcW w:w="2658" w:type="pct"/>
            <w:vMerge/>
            <w:tcBorders>
              <w:top w:val="single" w:sz="12" w:space="0" w:color="auto"/>
              <w:left w:val="nil"/>
              <w:bottom w:val="single" w:sz="12" w:space="0" w:color="000000"/>
              <w:right w:val="nil"/>
            </w:tcBorders>
            <w:vAlign w:val="center"/>
            <w:hideMark/>
          </w:tcPr>
          <w:p w:rsidR="00CA7A60" w:rsidRPr="00B30EA5" w:rsidRDefault="00CA7A60" w:rsidP="00CA7A60">
            <w:pPr>
              <w:spacing w:after="0" w:line="240" w:lineRule="auto"/>
              <w:rPr>
                <w:rFonts w:eastAsia="Times New Roman"/>
                <w:color w:val="000000"/>
                <w:lang w:eastAsia="en-AU"/>
              </w:rPr>
            </w:pPr>
          </w:p>
        </w:tc>
        <w:tc>
          <w:tcPr>
            <w:tcW w:w="781"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09/10 (%)</w:t>
            </w:r>
          </w:p>
        </w:tc>
        <w:tc>
          <w:tcPr>
            <w:tcW w:w="781"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10/11 (%)</w:t>
            </w:r>
          </w:p>
        </w:tc>
        <w:tc>
          <w:tcPr>
            <w:tcW w:w="781"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11/12 (%)</w:t>
            </w:r>
          </w:p>
        </w:tc>
      </w:tr>
      <w:tr w:rsidR="00CA7A60" w:rsidRPr="00B30EA5" w:rsidTr="00CA7A60">
        <w:trPr>
          <w:trHeight w:val="300"/>
        </w:trPr>
        <w:tc>
          <w:tcPr>
            <w:tcW w:w="2658"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Total </w:t>
            </w:r>
            <w:r w:rsidRPr="00941C94">
              <w:rPr>
                <w:rFonts w:eastAsia="Times New Roman"/>
                <w:bCs/>
                <w:color w:val="000000"/>
                <w:sz w:val="24"/>
                <w:szCs w:val="24"/>
                <w:lang w:eastAsia="en-AU"/>
              </w:rPr>
              <w:t>(n=25229)</w:t>
            </w:r>
          </w:p>
        </w:tc>
        <w:tc>
          <w:tcPr>
            <w:tcW w:w="781"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5367 (21.3%)</w:t>
            </w:r>
          </w:p>
        </w:tc>
        <w:tc>
          <w:tcPr>
            <w:tcW w:w="781"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5301 (21.0%)</w:t>
            </w:r>
          </w:p>
        </w:tc>
        <w:tc>
          <w:tcPr>
            <w:tcW w:w="781"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4983 (19.8%)</w:t>
            </w:r>
          </w:p>
        </w:tc>
      </w:tr>
      <w:tr w:rsidR="00CA7A60" w:rsidRPr="00B30EA5" w:rsidTr="00CA7A60">
        <w:trPr>
          <w:trHeight w:val="300"/>
        </w:trPr>
        <w:tc>
          <w:tcPr>
            <w:tcW w:w="3439" w:type="pct"/>
            <w:gridSpan w:val="2"/>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Primary drug of concern</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Alcohol (n=11912; 47.2%)</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2678 (22.5%)</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2687 (22.6%)</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2480 (20.8%)</w:t>
            </w: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Cannabis (n=5663; 22.4%)</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1108 (19.6%)</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1029 (18.2%)</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1016 (17.9%)</w:t>
            </w: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Heroin &amp; other opioids (n=3863; 15.3%)</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849 (22.0%)</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827 (21.4%)</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796 (20.6%)</w:t>
            </w: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Amphetamine &amp; other stimulants (n=2198; 8.7%)</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392 (17.8%)</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387 (17.6%)</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370 (16.8%)</w:t>
            </w: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Benzodiazepines &amp; other tranquillisers (n=522; 2.1%)</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123 (23.6%)</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135 (25.9%)</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120 (23.0%)</w:t>
            </w: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(n=730; 2.9%)</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144 (19.7%)</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165 (22.6%)</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134 (18.4%)</w:t>
            </w: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(n=341; 1.4%)</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73 (21.4%)</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71 (20.8%)</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67 (19.6%)</w:t>
            </w:r>
          </w:p>
        </w:tc>
      </w:tr>
      <w:tr w:rsidR="00CA7A60" w:rsidRPr="00B30EA5" w:rsidTr="00CA7A60">
        <w:trPr>
          <w:trHeight w:val="300"/>
        </w:trPr>
        <w:tc>
          <w:tcPr>
            <w:tcW w:w="3439" w:type="pct"/>
            <w:gridSpan w:val="2"/>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Method of use </w:t>
            </w:r>
          </w:p>
        </w:tc>
        <w:tc>
          <w:tcPr>
            <w:tcW w:w="781"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81"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Ingest (n=12461; 49.4%)</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2802 (22.5%)</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2829 (22.7%)</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2601 (20.9%)</w:t>
            </w: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Smoke (n=5103; 20.2%)</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972 (19.0%)</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918 (18.0%)</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897 (17.6%)</w:t>
            </w: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Inject (n=3632; 14.4%)</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780 (21.5%)</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778 (21.4%)</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730 (20.1%)</w:t>
            </w: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Sniff/inhale (n=1340; 5.3%)</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258 (19.3%)</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234 (17.5%)</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226 (16.9%)</w:t>
            </w:r>
          </w:p>
        </w:tc>
      </w:tr>
      <w:tr w:rsidR="00CA7A60" w:rsidRPr="00B30EA5" w:rsidTr="00CA7A60">
        <w:trPr>
          <w:trHeight w:val="300"/>
        </w:trPr>
        <w:tc>
          <w:tcPr>
            <w:tcW w:w="2658"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Other/unknown (n=2693; 10.7%)</w:t>
            </w:r>
          </w:p>
        </w:tc>
        <w:tc>
          <w:tcPr>
            <w:tcW w:w="781"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555 (20.6%)</w:t>
            </w:r>
          </w:p>
        </w:tc>
        <w:tc>
          <w:tcPr>
            <w:tcW w:w="781"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542 (20.1%)</w:t>
            </w:r>
          </w:p>
        </w:tc>
        <w:tc>
          <w:tcPr>
            <w:tcW w:w="781" w:type="pct"/>
            <w:tcBorders>
              <w:top w:val="nil"/>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529 (19.6%)</w:t>
            </w:r>
          </w:p>
        </w:tc>
      </w:tr>
      <w:tr w:rsidR="00CA7A60" w:rsidRPr="00B30EA5" w:rsidTr="00CA7A60">
        <w:trPr>
          <w:trHeight w:val="300"/>
        </w:trPr>
        <w:tc>
          <w:tcPr>
            <w:tcW w:w="3439" w:type="pct"/>
            <w:gridSpan w:val="2"/>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proofErr w:type="spellStart"/>
            <w:r w:rsidRPr="00B30EA5">
              <w:rPr>
                <w:rFonts w:eastAsia="Times New Roman"/>
                <w:b/>
                <w:bCs/>
                <w:color w:val="000000"/>
                <w:sz w:val="24"/>
                <w:szCs w:val="24"/>
                <w:lang w:eastAsia="en-AU"/>
              </w:rPr>
              <w:t>Polydrug</w:t>
            </w:r>
            <w:proofErr w:type="spellEnd"/>
            <w:r w:rsidRPr="00B30EA5">
              <w:rPr>
                <w:rFonts w:eastAsia="Times New Roman"/>
                <w:b/>
                <w:bCs/>
                <w:color w:val="000000"/>
                <w:sz w:val="24"/>
                <w:szCs w:val="24"/>
                <w:lang w:eastAsia="en-AU"/>
              </w:rPr>
              <w:t xml:space="preserve"> use</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Yes (n=10899; 43.2%)</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2293 (21.0%)</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2192 (20.1%)</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2072 (19.0%)</w:t>
            </w: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 (n=9939; 39.4%)</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2209 (22.2%)</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2235 (22.5%)</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2052 (20.6%)</w:t>
            </w: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(n=4391; 17.4%)</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865 (19.7%)</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874 (19.9%)</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859 (19.6%)</w:t>
            </w:r>
          </w:p>
        </w:tc>
      </w:tr>
      <w:tr w:rsidR="00CA7A60" w:rsidRPr="00B30EA5" w:rsidTr="00CA7A60">
        <w:trPr>
          <w:trHeight w:val="300"/>
        </w:trPr>
        <w:tc>
          <w:tcPr>
            <w:tcW w:w="3439" w:type="pct"/>
            <w:gridSpan w:val="2"/>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Injecting drug use history</w:t>
            </w:r>
          </w:p>
        </w:tc>
        <w:tc>
          <w:tcPr>
            <w:tcW w:w="781"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c>
          <w:tcPr>
            <w:tcW w:w="781" w:type="pct"/>
            <w:tcBorders>
              <w:top w:val="single" w:sz="4" w:space="0" w:color="auto"/>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Never injected (n=12767; 50.6%)</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2659 (20.8%)</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2621 (20.5%)</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2437 (19.1%)</w:t>
            </w: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Within past 12 months (n=5135; 20.4%)</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1175 (22.9%)</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1153 (22.5%)</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1065 (20.7%)</w:t>
            </w:r>
          </w:p>
        </w:tc>
      </w:tr>
      <w:tr w:rsidR="00CA7A60" w:rsidRPr="00B30EA5" w:rsidTr="00CA7A60">
        <w:trPr>
          <w:trHeight w:val="300"/>
        </w:trPr>
        <w:tc>
          <w:tcPr>
            <w:tcW w:w="2658"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Over 12 months ago (n=2664; 10.6%)</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600 (22.5%)</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574 (21.5%)</w:t>
            </w:r>
          </w:p>
        </w:tc>
        <w:tc>
          <w:tcPr>
            <w:tcW w:w="781"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554 (20.8%)</w:t>
            </w:r>
          </w:p>
        </w:tc>
      </w:tr>
      <w:tr w:rsidR="00CA7A60" w:rsidRPr="00B30EA5" w:rsidTr="00CA7A60">
        <w:trPr>
          <w:trHeight w:val="300"/>
        </w:trPr>
        <w:tc>
          <w:tcPr>
            <w:tcW w:w="2658"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(n=4663; 18.5%)</w:t>
            </w:r>
          </w:p>
        </w:tc>
        <w:tc>
          <w:tcPr>
            <w:tcW w:w="781"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933 (20.0%)</w:t>
            </w:r>
          </w:p>
        </w:tc>
        <w:tc>
          <w:tcPr>
            <w:tcW w:w="781"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953 (20.4%)</w:t>
            </w:r>
          </w:p>
        </w:tc>
        <w:tc>
          <w:tcPr>
            <w:tcW w:w="781" w:type="pct"/>
            <w:tcBorders>
              <w:top w:val="nil"/>
              <w:left w:val="nil"/>
              <w:bottom w:val="single" w:sz="12" w:space="0" w:color="auto"/>
              <w:right w:val="nil"/>
            </w:tcBorders>
            <w:shd w:val="clear" w:color="auto" w:fill="auto"/>
            <w:noWrap/>
            <w:vAlign w:val="bottom"/>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927 (19.9%)</w:t>
            </w:r>
          </w:p>
        </w:tc>
      </w:tr>
    </w:tbl>
    <w:p w:rsidR="00CA7A60" w:rsidRPr="00BB6AFB" w:rsidRDefault="00CA7A60" w:rsidP="00A126E3">
      <w:pPr>
        <w:pStyle w:val="FAREtableheading"/>
      </w:pPr>
    </w:p>
    <w:p w:rsidR="00CA7A60" w:rsidRDefault="00CA7A60" w:rsidP="00C725CA">
      <w:pPr>
        <w:pStyle w:val="FAREnormaltext"/>
      </w:pPr>
      <w:r w:rsidRPr="00C725CA">
        <w:t>The median number of admissions and median length of stay for AOD clients with treatment engagement in 2010/11 remained stable across each of the study years (</w:t>
      </w:r>
      <w:r w:rsidR="00381191">
        <w:fldChar w:fldCharType="begin"/>
      </w:r>
      <w:r w:rsidR="00381191">
        <w:instrText xml:space="preserve"> REF _Ref387152620 \h  \* MERGEFORMAT </w:instrText>
      </w:r>
      <w:r w:rsidR="00381191">
        <w:fldChar w:fldCharType="separate"/>
      </w:r>
      <w:r w:rsidR="00E150CA" w:rsidRPr="006D0F79">
        <w:t xml:space="preserve">Table </w:t>
      </w:r>
      <w:r w:rsidR="00E150CA">
        <w:t>4</w:t>
      </w:r>
      <w:r w:rsidR="00E150CA" w:rsidRPr="006D0F79">
        <w:t>.</w:t>
      </w:r>
      <w:r w:rsidR="00E150CA">
        <w:t>20</w:t>
      </w:r>
      <w:r w:rsidR="00381191">
        <w:fldChar w:fldCharType="end"/>
      </w:r>
      <w:r w:rsidRPr="00C725CA">
        <w:t xml:space="preserve">). </w:t>
      </w:r>
      <w:r>
        <w:t xml:space="preserve">Refer to the Appendices </w:t>
      </w:r>
      <w:r w:rsidR="00574C59">
        <w:t>3.2</w:t>
      </w:r>
      <w:r>
        <w:t xml:space="preserve"> for supplementary tables for breakdowns for client characteristics, service type and drug characteristics by hospital admissions.</w:t>
      </w:r>
    </w:p>
    <w:p w:rsidR="00C725CA" w:rsidRPr="006D0F79" w:rsidRDefault="00C725CA" w:rsidP="00CA7A60">
      <w:pPr>
        <w:spacing w:before="8" w:after="0" w:line="240" w:lineRule="auto"/>
        <w:rPr>
          <w:rFonts w:eastAsia="Times New Roman"/>
          <w:color w:val="000000"/>
          <w:lang w:eastAsia="en-AU"/>
        </w:rPr>
      </w:pPr>
    </w:p>
    <w:p w:rsidR="00CA7A60" w:rsidRDefault="00CA7A60" w:rsidP="00A126E3">
      <w:pPr>
        <w:pStyle w:val="FAREtableheading"/>
      </w:pPr>
      <w:bookmarkStart w:id="224" w:name="_Ref387152620"/>
      <w:bookmarkStart w:id="225" w:name="_Toc387244644"/>
      <w:bookmarkStart w:id="226" w:name="_Toc398105103"/>
      <w:proofErr w:type="gramStart"/>
      <w:r w:rsidRPr="006D0F79">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rsidRPr="006D0F79">
        <w:t>.</w:t>
      </w:r>
      <w:proofErr w:type="gramEnd"/>
      <w:r w:rsidR="00BE3D19" w:rsidRPr="006D0F79">
        <w:fldChar w:fldCharType="begin"/>
      </w:r>
      <w:r w:rsidRPr="006D0F79">
        <w:instrText xml:space="preserve"> SEQ Table \* ARABIC \s 1 </w:instrText>
      </w:r>
      <w:r w:rsidR="00BE3D19" w:rsidRPr="006D0F79">
        <w:fldChar w:fldCharType="separate"/>
      </w:r>
      <w:r w:rsidR="00E150CA">
        <w:rPr>
          <w:noProof/>
        </w:rPr>
        <w:t>20</w:t>
      </w:r>
      <w:r w:rsidR="00BE3D19" w:rsidRPr="006D0F79">
        <w:rPr>
          <w:noProof/>
        </w:rPr>
        <w:fldChar w:fldCharType="end"/>
      </w:r>
      <w:bookmarkEnd w:id="224"/>
      <w:r w:rsidR="00E41BCC">
        <w:rPr>
          <w:noProof/>
        </w:rPr>
        <w:t xml:space="preserve"> </w:t>
      </w:r>
      <w:r w:rsidRPr="00BB6AFB">
        <w:rPr>
          <w:bCs/>
        </w:rPr>
        <w:t xml:space="preserve"> </w:t>
      </w:r>
      <w:r>
        <w:t>M</w:t>
      </w:r>
      <w:r w:rsidRPr="00D4768B">
        <w:rPr>
          <w:rFonts w:eastAsia="Times New Roman"/>
          <w:color w:val="000000"/>
        </w:rPr>
        <w:t xml:space="preserve">edian number of </w:t>
      </w:r>
      <w:r>
        <w:rPr>
          <w:rFonts w:eastAsia="Times New Roman"/>
          <w:color w:val="000000"/>
        </w:rPr>
        <w:t>hospital admissions</w:t>
      </w:r>
      <w:r w:rsidRPr="00D4768B">
        <w:rPr>
          <w:rFonts w:eastAsia="Times New Roman"/>
          <w:color w:val="000000"/>
        </w:rPr>
        <w:t xml:space="preserve"> and length of stay</w:t>
      </w:r>
      <w:bookmarkEnd w:id="225"/>
      <w:bookmarkEnd w:id="226"/>
      <w:r w:rsidRPr="00D4768B">
        <w:rPr>
          <w:rFonts w:eastAsia="Times New Roman"/>
          <w:color w:val="000000"/>
        </w:rPr>
        <w:t xml:space="preserve"> </w:t>
      </w:r>
    </w:p>
    <w:tbl>
      <w:tblPr>
        <w:tblW w:w="5000" w:type="pct"/>
        <w:tblLook w:val="04A0" w:firstRow="1" w:lastRow="0" w:firstColumn="1" w:lastColumn="0" w:noHBand="0" w:noVBand="1"/>
      </w:tblPr>
      <w:tblGrid>
        <w:gridCol w:w="3236"/>
        <w:gridCol w:w="2002"/>
        <w:gridCol w:w="2002"/>
        <w:gridCol w:w="2002"/>
      </w:tblGrid>
      <w:tr w:rsidR="00CA7A60" w:rsidRPr="00D4768B" w:rsidTr="00CA7A60">
        <w:trPr>
          <w:trHeight w:val="244"/>
        </w:trPr>
        <w:tc>
          <w:tcPr>
            <w:tcW w:w="1750" w:type="pct"/>
            <w:tcBorders>
              <w:top w:val="single" w:sz="12" w:space="0" w:color="auto"/>
              <w:left w:val="nil"/>
              <w:bottom w:val="single" w:sz="12" w:space="0" w:color="auto"/>
              <w:right w:val="nil"/>
            </w:tcBorders>
            <w:shd w:val="clear" w:color="auto" w:fill="auto"/>
            <w:noWrap/>
            <w:vAlign w:val="bottom"/>
            <w:hideMark/>
          </w:tcPr>
          <w:p w:rsidR="00CA7A60" w:rsidRPr="00D4768B" w:rsidRDefault="00CA7A60" w:rsidP="00CA7A60">
            <w:pPr>
              <w:spacing w:before="8" w:after="0" w:line="240" w:lineRule="auto"/>
              <w:rPr>
                <w:rFonts w:eastAsia="Times New Roman"/>
                <w:b/>
                <w:bCs/>
                <w:color w:val="000000"/>
                <w:lang w:eastAsia="en-AU"/>
              </w:rPr>
            </w:pPr>
            <w:r w:rsidRPr="00D4768B">
              <w:rPr>
                <w:rFonts w:eastAsia="Times New Roman"/>
                <w:b/>
                <w:bCs/>
                <w:color w:val="000000"/>
                <w:lang w:eastAsia="en-AU"/>
              </w:rPr>
              <w:t> </w:t>
            </w:r>
          </w:p>
        </w:tc>
        <w:tc>
          <w:tcPr>
            <w:tcW w:w="1083" w:type="pct"/>
            <w:tcBorders>
              <w:top w:val="single" w:sz="12" w:space="0" w:color="auto"/>
              <w:left w:val="nil"/>
              <w:bottom w:val="single" w:sz="12" w:space="0" w:color="auto"/>
              <w:right w:val="nil"/>
            </w:tcBorders>
            <w:shd w:val="clear" w:color="auto" w:fill="auto"/>
            <w:vAlign w:val="bottom"/>
            <w:hideMark/>
          </w:tcPr>
          <w:p w:rsidR="00CA7A60" w:rsidRPr="00D4768B" w:rsidRDefault="00CA7A60" w:rsidP="00CA7A60">
            <w:pPr>
              <w:spacing w:before="8" w:after="0" w:line="240" w:lineRule="auto"/>
              <w:jc w:val="right"/>
              <w:rPr>
                <w:rFonts w:eastAsia="Times New Roman"/>
                <w:b/>
                <w:bCs/>
                <w:color w:val="000000"/>
                <w:lang w:eastAsia="en-AU"/>
              </w:rPr>
            </w:pPr>
            <w:r w:rsidRPr="00D4768B">
              <w:rPr>
                <w:rFonts w:eastAsia="Times New Roman"/>
                <w:b/>
                <w:bCs/>
                <w:color w:val="000000"/>
                <w:lang w:eastAsia="en-AU"/>
              </w:rPr>
              <w:t>Admission 09/10 (N=5367)</w:t>
            </w:r>
          </w:p>
        </w:tc>
        <w:tc>
          <w:tcPr>
            <w:tcW w:w="1083" w:type="pct"/>
            <w:tcBorders>
              <w:top w:val="single" w:sz="12" w:space="0" w:color="auto"/>
              <w:left w:val="nil"/>
              <w:bottom w:val="single" w:sz="12" w:space="0" w:color="auto"/>
              <w:right w:val="nil"/>
            </w:tcBorders>
            <w:shd w:val="clear" w:color="auto" w:fill="auto"/>
            <w:vAlign w:val="bottom"/>
            <w:hideMark/>
          </w:tcPr>
          <w:p w:rsidR="00CA7A60" w:rsidRPr="00D4768B" w:rsidRDefault="00CA7A60" w:rsidP="00CA7A60">
            <w:pPr>
              <w:spacing w:before="8" w:after="0" w:line="240" w:lineRule="auto"/>
              <w:jc w:val="right"/>
              <w:rPr>
                <w:rFonts w:eastAsia="Times New Roman"/>
                <w:b/>
                <w:bCs/>
                <w:color w:val="000000"/>
                <w:lang w:eastAsia="en-AU"/>
              </w:rPr>
            </w:pPr>
            <w:r w:rsidRPr="00D4768B">
              <w:rPr>
                <w:rFonts w:eastAsia="Times New Roman"/>
                <w:b/>
                <w:bCs/>
                <w:color w:val="000000"/>
                <w:lang w:eastAsia="en-AU"/>
              </w:rPr>
              <w:t>Admission 10/11 (N=5301)</w:t>
            </w:r>
          </w:p>
        </w:tc>
        <w:tc>
          <w:tcPr>
            <w:tcW w:w="1083" w:type="pct"/>
            <w:tcBorders>
              <w:top w:val="single" w:sz="12" w:space="0" w:color="auto"/>
              <w:left w:val="nil"/>
              <w:bottom w:val="single" w:sz="12" w:space="0" w:color="auto"/>
              <w:right w:val="nil"/>
            </w:tcBorders>
            <w:shd w:val="clear" w:color="auto" w:fill="auto"/>
            <w:vAlign w:val="bottom"/>
            <w:hideMark/>
          </w:tcPr>
          <w:p w:rsidR="00CA7A60" w:rsidRPr="00D4768B" w:rsidRDefault="00CA7A60" w:rsidP="00CA7A60">
            <w:pPr>
              <w:spacing w:before="8" w:after="0" w:line="240" w:lineRule="auto"/>
              <w:jc w:val="right"/>
              <w:rPr>
                <w:rFonts w:eastAsia="Times New Roman"/>
                <w:b/>
                <w:bCs/>
                <w:color w:val="000000"/>
                <w:lang w:eastAsia="en-AU"/>
              </w:rPr>
            </w:pPr>
            <w:r w:rsidRPr="00D4768B">
              <w:rPr>
                <w:rFonts w:eastAsia="Times New Roman"/>
                <w:b/>
                <w:bCs/>
                <w:color w:val="000000"/>
                <w:lang w:eastAsia="en-AU"/>
              </w:rPr>
              <w:t>Admission 11/12 (N=4983)</w:t>
            </w:r>
          </w:p>
        </w:tc>
      </w:tr>
      <w:tr w:rsidR="00CA7A60" w:rsidRPr="00D4768B" w:rsidTr="00CA7A60">
        <w:trPr>
          <w:trHeight w:val="244"/>
        </w:trPr>
        <w:tc>
          <w:tcPr>
            <w:tcW w:w="1750" w:type="pct"/>
            <w:tcBorders>
              <w:top w:val="nil"/>
              <w:left w:val="nil"/>
              <w:bottom w:val="nil"/>
              <w:right w:val="nil"/>
            </w:tcBorders>
            <w:shd w:val="clear" w:color="auto" w:fill="auto"/>
            <w:vAlign w:val="center"/>
            <w:hideMark/>
          </w:tcPr>
          <w:p w:rsidR="00CA7A60" w:rsidRPr="006D0F79" w:rsidRDefault="00CA7A60" w:rsidP="00CA7A60">
            <w:pPr>
              <w:spacing w:before="8" w:after="0" w:line="240" w:lineRule="auto"/>
              <w:rPr>
                <w:rFonts w:eastAsia="Times New Roman"/>
                <w:color w:val="000000"/>
                <w:lang w:eastAsia="en-AU"/>
              </w:rPr>
            </w:pPr>
            <w:r w:rsidRPr="006D0F79">
              <w:rPr>
                <w:rFonts w:eastAsia="Times New Roman"/>
                <w:color w:val="000000"/>
                <w:lang w:eastAsia="en-AU"/>
              </w:rPr>
              <w:t>Median number of admissions (interquartile range)</w:t>
            </w:r>
          </w:p>
        </w:tc>
        <w:tc>
          <w:tcPr>
            <w:tcW w:w="1083" w:type="pct"/>
            <w:tcBorders>
              <w:top w:val="nil"/>
              <w:left w:val="nil"/>
              <w:bottom w:val="nil"/>
              <w:right w:val="nil"/>
            </w:tcBorders>
            <w:shd w:val="clear" w:color="auto" w:fill="auto"/>
            <w:noWrap/>
            <w:vAlign w:val="center"/>
            <w:hideMark/>
          </w:tcPr>
          <w:p w:rsidR="00CA7A60" w:rsidRPr="00D4768B" w:rsidRDefault="00CA7A60" w:rsidP="00CA7A60">
            <w:pPr>
              <w:spacing w:before="8" w:after="0" w:line="240" w:lineRule="auto"/>
              <w:jc w:val="right"/>
              <w:rPr>
                <w:rFonts w:eastAsia="Times New Roman"/>
                <w:color w:val="000000"/>
                <w:lang w:eastAsia="en-AU"/>
              </w:rPr>
            </w:pPr>
            <w:r w:rsidRPr="00D4768B">
              <w:rPr>
                <w:rFonts w:eastAsia="Times New Roman"/>
                <w:color w:val="000000"/>
                <w:lang w:eastAsia="en-AU"/>
              </w:rPr>
              <w:t>1</w:t>
            </w:r>
            <w:r>
              <w:rPr>
                <w:rFonts w:eastAsia="Times New Roman"/>
                <w:color w:val="000000"/>
                <w:lang w:eastAsia="en-AU"/>
              </w:rPr>
              <w:t xml:space="preserve"> </w:t>
            </w:r>
            <w:r w:rsidRPr="00D4768B">
              <w:rPr>
                <w:rFonts w:eastAsia="Times New Roman"/>
                <w:color w:val="000000"/>
                <w:lang w:eastAsia="en-AU"/>
              </w:rPr>
              <w:t>(1,2)</w:t>
            </w:r>
          </w:p>
        </w:tc>
        <w:tc>
          <w:tcPr>
            <w:tcW w:w="1083" w:type="pct"/>
            <w:tcBorders>
              <w:top w:val="nil"/>
              <w:left w:val="nil"/>
              <w:bottom w:val="nil"/>
              <w:right w:val="nil"/>
            </w:tcBorders>
            <w:shd w:val="clear" w:color="auto" w:fill="auto"/>
            <w:noWrap/>
            <w:vAlign w:val="center"/>
            <w:hideMark/>
          </w:tcPr>
          <w:p w:rsidR="00CA7A60" w:rsidRPr="00D4768B" w:rsidRDefault="00CA7A60" w:rsidP="00CA7A60">
            <w:pPr>
              <w:spacing w:before="8" w:after="0" w:line="240" w:lineRule="auto"/>
              <w:jc w:val="right"/>
              <w:rPr>
                <w:rFonts w:eastAsia="Times New Roman"/>
                <w:color w:val="000000"/>
                <w:lang w:eastAsia="en-AU"/>
              </w:rPr>
            </w:pPr>
            <w:r w:rsidRPr="00D4768B">
              <w:rPr>
                <w:rFonts w:eastAsia="Times New Roman"/>
                <w:color w:val="000000"/>
                <w:lang w:eastAsia="en-AU"/>
              </w:rPr>
              <w:t>1</w:t>
            </w:r>
            <w:r>
              <w:rPr>
                <w:rFonts w:eastAsia="Times New Roman"/>
                <w:color w:val="000000"/>
                <w:lang w:eastAsia="en-AU"/>
              </w:rPr>
              <w:t xml:space="preserve"> </w:t>
            </w:r>
            <w:r w:rsidRPr="00D4768B">
              <w:rPr>
                <w:rFonts w:eastAsia="Times New Roman"/>
                <w:color w:val="000000"/>
                <w:lang w:eastAsia="en-AU"/>
              </w:rPr>
              <w:t>(1,2)</w:t>
            </w:r>
          </w:p>
        </w:tc>
        <w:tc>
          <w:tcPr>
            <w:tcW w:w="1083" w:type="pct"/>
            <w:tcBorders>
              <w:top w:val="nil"/>
              <w:left w:val="nil"/>
              <w:bottom w:val="nil"/>
              <w:right w:val="nil"/>
            </w:tcBorders>
            <w:shd w:val="clear" w:color="auto" w:fill="auto"/>
            <w:noWrap/>
            <w:vAlign w:val="center"/>
            <w:hideMark/>
          </w:tcPr>
          <w:p w:rsidR="00CA7A60" w:rsidRPr="00D4768B" w:rsidRDefault="00CA7A60" w:rsidP="00CA7A60">
            <w:pPr>
              <w:spacing w:before="8" w:after="0" w:line="240" w:lineRule="auto"/>
              <w:jc w:val="right"/>
              <w:rPr>
                <w:rFonts w:eastAsia="Times New Roman"/>
                <w:color w:val="000000"/>
                <w:lang w:eastAsia="en-AU"/>
              </w:rPr>
            </w:pPr>
            <w:r w:rsidRPr="00D4768B">
              <w:rPr>
                <w:rFonts w:eastAsia="Times New Roman"/>
                <w:color w:val="000000"/>
                <w:lang w:eastAsia="en-AU"/>
              </w:rPr>
              <w:t>1</w:t>
            </w:r>
            <w:r>
              <w:rPr>
                <w:rFonts w:eastAsia="Times New Roman"/>
                <w:color w:val="000000"/>
                <w:lang w:eastAsia="en-AU"/>
              </w:rPr>
              <w:t xml:space="preserve"> </w:t>
            </w:r>
            <w:r w:rsidRPr="00D4768B">
              <w:rPr>
                <w:rFonts w:eastAsia="Times New Roman"/>
                <w:color w:val="000000"/>
                <w:lang w:eastAsia="en-AU"/>
              </w:rPr>
              <w:t>(1,2)</w:t>
            </w:r>
          </w:p>
        </w:tc>
      </w:tr>
      <w:tr w:rsidR="00CA7A60" w:rsidRPr="00D4768B" w:rsidTr="00CA7A60">
        <w:trPr>
          <w:trHeight w:val="244"/>
        </w:trPr>
        <w:tc>
          <w:tcPr>
            <w:tcW w:w="1750" w:type="pct"/>
            <w:tcBorders>
              <w:top w:val="nil"/>
              <w:left w:val="nil"/>
              <w:bottom w:val="single" w:sz="12" w:space="0" w:color="auto"/>
              <w:right w:val="nil"/>
            </w:tcBorders>
            <w:shd w:val="clear" w:color="auto" w:fill="auto"/>
            <w:vAlign w:val="center"/>
            <w:hideMark/>
          </w:tcPr>
          <w:p w:rsidR="00CA7A60" w:rsidRPr="006D0F79" w:rsidRDefault="00CA7A60" w:rsidP="00CA7A60">
            <w:pPr>
              <w:spacing w:before="8" w:after="0" w:line="240" w:lineRule="auto"/>
              <w:rPr>
                <w:rFonts w:eastAsia="Times New Roman"/>
                <w:color w:val="000000"/>
                <w:lang w:eastAsia="en-AU"/>
              </w:rPr>
            </w:pPr>
            <w:r w:rsidRPr="006D0F79">
              <w:rPr>
                <w:rFonts w:eastAsia="Times New Roman"/>
                <w:color w:val="000000"/>
                <w:lang w:eastAsia="en-AU"/>
              </w:rPr>
              <w:t>Median days of stay  (interquartile range)</w:t>
            </w:r>
          </w:p>
        </w:tc>
        <w:tc>
          <w:tcPr>
            <w:tcW w:w="1083" w:type="pct"/>
            <w:tcBorders>
              <w:top w:val="nil"/>
              <w:left w:val="nil"/>
              <w:bottom w:val="single" w:sz="12" w:space="0" w:color="auto"/>
              <w:right w:val="nil"/>
            </w:tcBorders>
            <w:shd w:val="clear" w:color="auto" w:fill="auto"/>
            <w:noWrap/>
            <w:vAlign w:val="center"/>
            <w:hideMark/>
          </w:tcPr>
          <w:p w:rsidR="00CA7A60" w:rsidRPr="00D4768B" w:rsidRDefault="00CA7A60" w:rsidP="00CA7A60">
            <w:pPr>
              <w:spacing w:before="8" w:after="0" w:line="240" w:lineRule="auto"/>
              <w:jc w:val="right"/>
              <w:rPr>
                <w:rFonts w:eastAsia="Times New Roman"/>
                <w:color w:val="000000"/>
                <w:lang w:eastAsia="en-AU"/>
              </w:rPr>
            </w:pPr>
            <w:r w:rsidRPr="00D4768B">
              <w:rPr>
                <w:rFonts w:eastAsia="Times New Roman"/>
                <w:color w:val="000000"/>
                <w:lang w:eastAsia="en-AU"/>
              </w:rPr>
              <w:t>1.0</w:t>
            </w:r>
            <w:r>
              <w:rPr>
                <w:rFonts w:eastAsia="Times New Roman"/>
                <w:color w:val="000000"/>
                <w:lang w:eastAsia="en-AU"/>
              </w:rPr>
              <w:t xml:space="preserve"> </w:t>
            </w:r>
            <w:r w:rsidRPr="00D4768B">
              <w:rPr>
                <w:rFonts w:eastAsia="Times New Roman"/>
                <w:color w:val="000000"/>
                <w:lang w:eastAsia="en-AU"/>
              </w:rPr>
              <w:t>(1.0, 2.5)</w:t>
            </w:r>
          </w:p>
        </w:tc>
        <w:tc>
          <w:tcPr>
            <w:tcW w:w="1083" w:type="pct"/>
            <w:tcBorders>
              <w:top w:val="nil"/>
              <w:left w:val="nil"/>
              <w:bottom w:val="single" w:sz="12" w:space="0" w:color="auto"/>
              <w:right w:val="nil"/>
            </w:tcBorders>
            <w:shd w:val="clear" w:color="auto" w:fill="auto"/>
            <w:noWrap/>
            <w:vAlign w:val="center"/>
            <w:hideMark/>
          </w:tcPr>
          <w:p w:rsidR="00CA7A60" w:rsidRPr="00D4768B" w:rsidRDefault="00CA7A60" w:rsidP="00CA7A60">
            <w:pPr>
              <w:spacing w:before="8" w:after="0" w:line="240" w:lineRule="auto"/>
              <w:jc w:val="right"/>
              <w:rPr>
                <w:rFonts w:eastAsia="Times New Roman"/>
                <w:color w:val="000000"/>
                <w:lang w:eastAsia="en-AU"/>
              </w:rPr>
            </w:pPr>
            <w:r w:rsidRPr="00D4768B">
              <w:rPr>
                <w:rFonts w:eastAsia="Times New Roman"/>
                <w:color w:val="000000"/>
                <w:lang w:eastAsia="en-AU"/>
              </w:rPr>
              <w:t>1.0</w:t>
            </w:r>
            <w:r>
              <w:rPr>
                <w:rFonts w:eastAsia="Times New Roman"/>
                <w:color w:val="000000"/>
                <w:lang w:eastAsia="en-AU"/>
              </w:rPr>
              <w:t xml:space="preserve"> </w:t>
            </w:r>
            <w:r w:rsidRPr="00D4768B">
              <w:rPr>
                <w:rFonts w:eastAsia="Times New Roman"/>
                <w:color w:val="000000"/>
                <w:lang w:eastAsia="en-AU"/>
              </w:rPr>
              <w:t>(1.0, 3.0)</w:t>
            </w:r>
          </w:p>
        </w:tc>
        <w:tc>
          <w:tcPr>
            <w:tcW w:w="1083" w:type="pct"/>
            <w:tcBorders>
              <w:top w:val="nil"/>
              <w:left w:val="nil"/>
              <w:bottom w:val="single" w:sz="12" w:space="0" w:color="auto"/>
              <w:right w:val="nil"/>
            </w:tcBorders>
            <w:shd w:val="clear" w:color="auto" w:fill="auto"/>
            <w:noWrap/>
            <w:vAlign w:val="center"/>
            <w:hideMark/>
          </w:tcPr>
          <w:p w:rsidR="00CA7A60" w:rsidRPr="00D4768B" w:rsidRDefault="00CA7A60" w:rsidP="00CA7A60">
            <w:pPr>
              <w:spacing w:before="8" w:after="0" w:line="240" w:lineRule="auto"/>
              <w:jc w:val="right"/>
              <w:rPr>
                <w:rFonts w:eastAsia="Times New Roman"/>
                <w:color w:val="000000"/>
                <w:lang w:eastAsia="en-AU"/>
              </w:rPr>
            </w:pPr>
            <w:r w:rsidRPr="00D4768B">
              <w:rPr>
                <w:rFonts w:eastAsia="Times New Roman"/>
                <w:color w:val="000000"/>
                <w:lang w:eastAsia="en-AU"/>
              </w:rPr>
              <w:t>1.0</w:t>
            </w:r>
            <w:r>
              <w:rPr>
                <w:rFonts w:eastAsia="Times New Roman"/>
                <w:color w:val="000000"/>
                <w:lang w:eastAsia="en-AU"/>
              </w:rPr>
              <w:t xml:space="preserve"> </w:t>
            </w:r>
            <w:r w:rsidRPr="00D4768B">
              <w:rPr>
                <w:rFonts w:eastAsia="Times New Roman"/>
                <w:color w:val="000000"/>
                <w:lang w:eastAsia="en-AU"/>
              </w:rPr>
              <w:t>(1.0, 3.0)</w:t>
            </w:r>
          </w:p>
        </w:tc>
      </w:tr>
    </w:tbl>
    <w:p w:rsidR="00CA7A60" w:rsidRPr="00D94FA3" w:rsidRDefault="00CA7A60" w:rsidP="00CA7A60">
      <w:pPr>
        <w:pStyle w:val="FAREnormaltext"/>
      </w:pPr>
      <w:r>
        <w:br w:type="page"/>
      </w:r>
      <w:r w:rsidR="00BE3D19">
        <w:rPr>
          <w:lang w:val="en-AU"/>
        </w:rPr>
        <w:lastRenderedPageBreak/>
        <w:fldChar w:fldCharType="begin"/>
      </w:r>
      <w:r>
        <w:instrText xml:space="preserve"> REF _Ref387143405 \h </w:instrText>
      </w:r>
      <w:r w:rsidR="00BE3D19">
        <w:rPr>
          <w:lang w:val="en-AU"/>
        </w:rPr>
      </w:r>
      <w:r w:rsidR="00BE3D19">
        <w:rPr>
          <w:lang w:val="en-AU"/>
        </w:rPr>
        <w:fldChar w:fldCharType="separate"/>
      </w:r>
      <w:r w:rsidR="00E150CA">
        <w:t xml:space="preserve">Table </w:t>
      </w:r>
      <w:r w:rsidR="00E150CA">
        <w:rPr>
          <w:noProof/>
        </w:rPr>
        <w:t>4</w:t>
      </w:r>
      <w:r w:rsidR="00E150CA">
        <w:t>.</w:t>
      </w:r>
      <w:r w:rsidR="00E150CA">
        <w:rPr>
          <w:noProof/>
        </w:rPr>
        <w:t>21</w:t>
      </w:r>
      <w:r w:rsidR="00BE3D19">
        <w:rPr>
          <w:lang w:val="en-AU"/>
        </w:rPr>
        <w:fldChar w:fldCharType="end"/>
      </w:r>
      <w:r>
        <w:t xml:space="preserve"> shows the proportions of AOD clients diagnosed during a hospital admission with an alcohol-related acute condition by treatment characteristic and primary drug of concern. Overall, there was a decrease in the proportion of clients admitted to hospital with an alcohol-related acute condition between the year prior to AOD treatment and the year following AOD treatment. Comparing service types, the largest reductions in alcohol-related acute condition admissions were observed for residential rehabilitation and supported accommodation. While there were reductions in alcohol-related acute hospitalisations for clients who had both successfully and not successfully completed their AOD treatment episode at the time of treatment termination, the reduction was greater amongst clients who had completed treatment. </w:t>
      </w:r>
    </w:p>
    <w:p w:rsidR="00CA7A60" w:rsidRDefault="00CA7A60" w:rsidP="00A126E3">
      <w:pPr>
        <w:pStyle w:val="FAREtableheading"/>
      </w:pPr>
      <w:bookmarkStart w:id="227" w:name="_Ref387143405"/>
      <w:bookmarkStart w:id="228" w:name="_Toc387244645"/>
      <w:bookmarkStart w:id="229" w:name="_Toc398105104"/>
      <w:proofErr w:type="gramStart"/>
      <w:r>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21</w:t>
      </w:r>
      <w:r w:rsidR="00BE3D19">
        <w:rPr>
          <w:noProof/>
        </w:rPr>
        <w:fldChar w:fldCharType="end"/>
      </w:r>
      <w:bookmarkEnd w:id="227"/>
      <w:r w:rsidR="00E41BCC">
        <w:rPr>
          <w:noProof/>
        </w:rPr>
        <w:t xml:space="preserve"> </w:t>
      </w:r>
      <w:r>
        <w:t xml:space="preserve"> Admissions for alcohol-related acute conditions by AOD </w:t>
      </w:r>
      <w:r w:rsidR="004B5CD4">
        <w:t>treatment</w:t>
      </w:r>
      <w:r>
        <w:t xml:space="preserve"> type, primary drug of concern and treatment termination status, 2009/10, 2010/11 and 2011/12</w:t>
      </w:r>
      <w:bookmarkEnd w:id="228"/>
      <w:bookmarkEnd w:id="229"/>
    </w:p>
    <w:tbl>
      <w:tblPr>
        <w:tblW w:w="5000" w:type="pct"/>
        <w:tblLook w:val="04A0" w:firstRow="1" w:lastRow="0" w:firstColumn="1" w:lastColumn="0" w:noHBand="0" w:noVBand="1"/>
      </w:tblPr>
      <w:tblGrid>
        <w:gridCol w:w="4704"/>
        <w:gridCol w:w="1512"/>
        <w:gridCol w:w="1514"/>
        <w:gridCol w:w="1512"/>
      </w:tblGrid>
      <w:tr w:rsidR="00CA7A60" w:rsidRPr="00B30EA5" w:rsidTr="00CA7A60">
        <w:trPr>
          <w:trHeight w:val="300"/>
        </w:trPr>
        <w:tc>
          <w:tcPr>
            <w:tcW w:w="2545" w:type="pct"/>
            <w:vMerge w:val="restart"/>
            <w:tcBorders>
              <w:top w:val="single" w:sz="12" w:space="0" w:color="auto"/>
              <w:left w:val="nil"/>
              <w:bottom w:val="nil"/>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w:t>
            </w:r>
          </w:p>
        </w:tc>
        <w:tc>
          <w:tcPr>
            <w:tcW w:w="2455" w:type="pct"/>
            <w:gridSpan w:val="3"/>
            <w:tcBorders>
              <w:top w:val="single" w:sz="12" w:space="0" w:color="auto"/>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Alcohol-related acute conditions</w:t>
            </w:r>
          </w:p>
        </w:tc>
      </w:tr>
      <w:tr w:rsidR="00CA7A60" w:rsidRPr="00B30EA5" w:rsidTr="00CA7A60">
        <w:trPr>
          <w:trHeight w:val="300"/>
        </w:trPr>
        <w:tc>
          <w:tcPr>
            <w:tcW w:w="2545" w:type="pct"/>
            <w:vMerge/>
            <w:tcBorders>
              <w:top w:val="single" w:sz="12" w:space="0" w:color="auto"/>
              <w:left w:val="nil"/>
              <w:bottom w:val="nil"/>
              <w:right w:val="nil"/>
            </w:tcBorders>
            <w:vAlign w:val="center"/>
            <w:hideMark/>
          </w:tcPr>
          <w:p w:rsidR="00CA7A60" w:rsidRPr="00B30EA5" w:rsidRDefault="00CA7A60" w:rsidP="00CA7A60">
            <w:pPr>
              <w:spacing w:after="0" w:line="240" w:lineRule="auto"/>
              <w:rPr>
                <w:rFonts w:eastAsia="Times New Roman"/>
                <w:b/>
                <w:bCs/>
                <w:color w:val="000000"/>
                <w:lang w:eastAsia="en-AU"/>
              </w:rPr>
            </w:pP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09/10 (%)</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10/11 (%)</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11/12 (%)</w:t>
            </w:r>
          </w:p>
        </w:tc>
      </w:tr>
      <w:tr w:rsidR="00CA7A60" w:rsidRPr="00B30EA5" w:rsidTr="00CA7A60">
        <w:trPr>
          <w:trHeight w:val="300"/>
        </w:trPr>
        <w:tc>
          <w:tcPr>
            <w:tcW w:w="2545" w:type="pct"/>
            <w:tcBorders>
              <w:top w:val="single" w:sz="12" w:space="0" w:color="auto"/>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Total </w:t>
            </w:r>
            <w:r w:rsidRPr="00941C94">
              <w:rPr>
                <w:rFonts w:eastAsia="Times New Roman"/>
                <w:bCs/>
                <w:color w:val="000000"/>
                <w:sz w:val="24"/>
                <w:szCs w:val="24"/>
                <w:lang w:eastAsia="en-AU"/>
              </w:rPr>
              <w:t>(n=25229)</w:t>
            </w:r>
          </w:p>
        </w:tc>
        <w:tc>
          <w:tcPr>
            <w:tcW w:w="818"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425 (1.7%)</w:t>
            </w:r>
          </w:p>
        </w:tc>
        <w:tc>
          <w:tcPr>
            <w:tcW w:w="819"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546 (2.2%)</w:t>
            </w:r>
          </w:p>
        </w:tc>
        <w:tc>
          <w:tcPr>
            <w:tcW w:w="818"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404 (1.6%)</w:t>
            </w:r>
          </w:p>
        </w:tc>
      </w:tr>
      <w:tr w:rsidR="00CA7A60" w:rsidRPr="00B30EA5" w:rsidTr="00CA7A60">
        <w:trPr>
          <w:trHeight w:val="300"/>
        </w:trPr>
        <w:tc>
          <w:tcPr>
            <w:tcW w:w="2545" w:type="pct"/>
            <w:tcBorders>
              <w:top w:val="nil"/>
              <w:left w:val="nil"/>
              <w:bottom w:val="nil"/>
              <w:right w:val="nil"/>
            </w:tcBorders>
            <w:shd w:val="clear" w:color="auto" w:fill="auto"/>
            <w:noWrap/>
            <w:vAlign w:val="center"/>
            <w:hideMark/>
          </w:tcPr>
          <w:p w:rsidR="00CA7A60" w:rsidRPr="00B30EA5" w:rsidRDefault="004B5CD4" w:rsidP="00CA7A60">
            <w:pPr>
              <w:spacing w:after="0" w:line="240" w:lineRule="auto"/>
              <w:rPr>
                <w:rFonts w:eastAsia="Times New Roman"/>
                <w:b/>
                <w:bCs/>
                <w:color w:val="000000"/>
                <w:sz w:val="24"/>
                <w:szCs w:val="24"/>
                <w:lang w:eastAsia="en-AU"/>
              </w:rPr>
            </w:pPr>
            <w:r>
              <w:rPr>
                <w:rFonts w:eastAsia="Times New Roman"/>
                <w:b/>
                <w:bCs/>
                <w:color w:val="000000"/>
                <w:sz w:val="24"/>
                <w:szCs w:val="24"/>
                <w:lang w:eastAsia="en-AU"/>
              </w:rPr>
              <w:t>Treatment</w:t>
            </w:r>
            <w:r w:rsidR="00CA7A60" w:rsidRPr="00B30EA5">
              <w:rPr>
                <w:rFonts w:eastAsia="Times New Roman"/>
                <w:b/>
                <w:bCs/>
                <w:color w:val="000000"/>
                <w:sz w:val="24"/>
                <w:szCs w:val="24"/>
                <w:lang w:eastAsia="en-AU"/>
              </w:rPr>
              <w:t xml:space="preserve"> type</w:t>
            </w:r>
          </w:p>
        </w:tc>
        <w:tc>
          <w:tcPr>
            <w:tcW w:w="81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819"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81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54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Counselling (n=11919; 47.2%)</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168 (1.4%)</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221 (1.9%)</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161 (1.4%)</w:t>
            </w:r>
          </w:p>
        </w:tc>
      </w:tr>
      <w:tr w:rsidR="00CA7A60" w:rsidRPr="00B30EA5" w:rsidTr="00CA7A60">
        <w:trPr>
          <w:trHeight w:val="300"/>
        </w:trPr>
        <w:tc>
          <w:tcPr>
            <w:tcW w:w="254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withdrawal (n=1962; 7.8%)</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91 (4.6%)</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113 (5.8%)</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82 (4.2%)</w:t>
            </w:r>
          </w:p>
        </w:tc>
      </w:tr>
      <w:tr w:rsidR="00CA7A60" w:rsidRPr="00B30EA5" w:rsidTr="00CA7A60">
        <w:trPr>
          <w:trHeight w:val="300"/>
        </w:trPr>
        <w:tc>
          <w:tcPr>
            <w:tcW w:w="254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withdrawal (n=2582; 10.2%)</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60 (2.3%)</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110 (4.3%)</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68 (2.6%)</w:t>
            </w:r>
          </w:p>
        </w:tc>
      </w:tr>
      <w:tr w:rsidR="00CA7A60" w:rsidRPr="00B30EA5" w:rsidTr="00CA7A60">
        <w:trPr>
          <w:trHeight w:val="300"/>
        </w:trPr>
        <w:tc>
          <w:tcPr>
            <w:tcW w:w="254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Outreach (n=2368; 9.4%)</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 (0.7%)</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 (0.9%)</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25 (1.1%)</w:t>
            </w:r>
          </w:p>
        </w:tc>
      </w:tr>
      <w:tr w:rsidR="00CA7A60" w:rsidRPr="00B30EA5" w:rsidTr="00CA7A60">
        <w:trPr>
          <w:trHeight w:val="300"/>
        </w:trPr>
        <w:tc>
          <w:tcPr>
            <w:tcW w:w="254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Brokerage (n=3904; 15.5%)</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41 (1.1%)</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 (0.8%)</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29 (0.7%)</w:t>
            </w:r>
          </w:p>
        </w:tc>
      </w:tr>
      <w:tr w:rsidR="00CA7A60" w:rsidRPr="00B30EA5" w:rsidTr="00CA7A60">
        <w:trPr>
          <w:trHeight w:val="300"/>
        </w:trPr>
        <w:tc>
          <w:tcPr>
            <w:tcW w:w="254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Aboriginal services (n=733; 2.9%)</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 (0.8%)</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 (1.5%)</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 (1.6%)</w:t>
            </w:r>
          </w:p>
        </w:tc>
      </w:tr>
      <w:tr w:rsidR="00CA7A60" w:rsidRPr="00B30EA5" w:rsidTr="00CA7A60">
        <w:trPr>
          <w:trHeight w:val="300"/>
        </w:trPr>
        <w:tc>
          <w:tcPr>
            <w:tcW w:w="254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Specialist pharmacotherapy (n=401; 1.6%)</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r w:rsidR="00CA7A60" w:rsidRPr="00B30EA5" w:rsidTr="00CA7A60">
        <w:trPr>
          <w:trHeight w:val="300"/>
        </w:trPr>
        <w:tc>
          <w:tcPr>
            <w:tcW w:w="254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rehabilitation (n=176; 0.7%)</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 (6.3%)</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 (4.0%)</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(2.8%)</w:t>
            </w:r>
          </w:p>
        </w:tc>
      </w:tr>
      <w:tr w:rsidR="00CA7A60" w:rsidRPr="00B30EA5" w:rsidTr="00CA7A60">
        <w:trPr>
          <w:trHeight w:val="300"/>
        </w:trPr>
        <w:tc>
          <w:tcPr>
            <w:tcW w:w="254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Supported accommodation (n=269; 1.1%)</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 (3.7%)</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(1.9%)</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r w:rsidR="00CA7A60" w:rsidRPr="00B30EA5" w:rsidTr="00CA7A60">
        <w:trPr>
          <w:trHeight w:val="300"/>
        </w:trPr>
        <w:tc>
          <w:tcPr>
            <w:tcW w:w="254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Post withdrawal linkage (n=256; 1.0%)</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 (3.9%)</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 (2.3%)</w:t>
            </w:r>
          </w:p>
        </w:tc>
      </w:tr>
      <w:tr w:rsidR="00CA7A60" w:rsidRPr="00B30EA5" w:rsidTr="00CA7A60">
        <w:trPr>
          <w:trHeight w:val="300"/>
        </w:trPr>
        <w:tc>
          <w:tcPr>
            <w:tcW w:w="254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Other/unknown (n=659; 2.6%)</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 (2.4%)</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 (1.8%)</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 (1.2%)</w:t>
            </w:r>
          </w:p>
        </w:tc>
      </w:tr>
      <w:tr w:rsidR="00CA7A60" w:rsidRPr="00B30EA5" w:rsidTr="00CA7A60">
        <w:trPr>
          <w:trHeight w:val="300"/>
        </w:trPr>
        <w:tc>
          <w:tcPr>
            <w:tcW w:w="4182" w:type="pct"/>
            <w:gridSpan w:val="3"/>
            <w:tcBorders>
              <w:top w:val="single" w:sz="4" w:space="0" w:color="auto"/>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Treatment termination status</w:t>
            </w:r>
          </w:p>
        </w:tc>
        <w:tc>
          <w:tcPr>
            <w:tcW w:w="818" w:type="pct"/>
            <w:tcBorders>
              <w:top w:val="single" w:sz="4" w:space="0" w:color="auto"/>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54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Completed treatment (n=18690; 74.1%)</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293 (1.6%)</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391 (2.1%)</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280 (1.5%)</w:t>
            </w:r>
          </w:p>
        </w:tc>
      </w:tr>
      <w:tr w:rsidR="00CA7A60" w:rsidRPr="00B30EA5" w:rsidTr="00CA7A60">
        <w:trPr>
          <w:trHeight w:val="300"/>
        </w:trPr>
        <w:tc>
          <w:tcPr>
            <w:tcW w:w="254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Not completed (n=6262; 24.8%)</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128 (2.0%)</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151 (2.4%)</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120 (1.9%)</w:t>
            </w:r>
          </w:p>
        </w:tc>
      </w:tr>
      <w:tr w:rsidR="00CA7A60" w:rsidRPr="00B30EA5" w:rsidTr="00CA7A60">
        <w:trPr>
          <w:trHeight w:val="300"/>
        </w:trPr>
        <w:tc>
          <w:tcPr>
            <w:tcW w:w="2545"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(n=277; 1.1%)</w:t>
            </w:r>
          </w:p>
        </w:tc>
        <w:tc>
          <w:tcPr>
            <w:tcW w:w="818"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819"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818"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r w:rsidR="00CA7A60" w:rsidRPr="00B30EA5" w:rsidTr="00CA7A60">
        <w:trPr>
          <w:trHeight w:val="300"/>
        </w:trPr>
        <w:tc>
          <w:tcPr>
            <w:tcW w:w="2545"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Primary drug of concern</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54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Alcohol (n=11912; 47.2%)</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357 (3.0%)</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475 (4.0%)</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343 (2.9%)</w:t>
            </w:r>
          </w:p>
        </w:tc>
      </w:tr>
      <w:tr w:rsidR="00CA7A60" w:rsidRPr="00B30EA5" w:rsidTr="00CA7A60">
        <w:trPr>
          <w:trHeight w:val="300"/>
        </w:trPr>
        <w:tc>
          <w:tcPr>
            <w:tcW w:w="254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Cannabis (n=5663; 22.4%)</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30 (0.5%)</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34 (0.6%)</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 (0.5%)</w:t>
            </w:r>
          </w:p>
        </w:tc>
      </w:tr>
      <w:tr w:rsidR="00CA7A60" w:rsidRPr="00B30EA5" w:rsidTr="00CA7A60">
        <w:trPr>
          <w:trHeight w:val="300"/>
        </w:trPr>
        <w:tc>
          <w:tcPr>
            <w:tcW w:w="254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Heroin &amp; other opioids (n=3863; 15.3%)</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20 (0.5%)</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 (0.3%)</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 (0.4%)</w:t>
            </w:r>
          </w:p>
        </w:tc>
      </w:tr>
      <w:tr w:rsidR="00CA7A60" w:rsidRPr="00B30EA5" w:rsidTr="00CA7A60">
        <w:trPr>
          <w:trHeight w:val="300"/>
        </w:trPr>
        <w:tc>
          <w:tcPr>
            <w:tcW w:w="2545" w:type="pct"/>
            <w:tcBorders>
              <w:top w:val="nil"/>
              <w:left w:val="nil"/>
              <w:bottom w:val="nil"/>
              <w:right w:val="nil"/>
            </w:tcBorders>
            <w:shd w:val="clear" w:color="auto" w:fill="auto"/>
            <w:noWrap/>
            <w:vAlign w:val="bottom"/>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Amphetamine &amp; other stimulants (n=2198; 8.7%)</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 (0.4%)</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 (0.5%)</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 (0.5%)</w:t>
            </w:r>
          </w:p>
        </w:tc>
      </w:tr>
      <w:tr w:rsidR="00CA7A60" w:rsidRPr="00B30EA5" w:rsidTr="00CA7A60">
        <w:trPr>
          <w:trHeight w:val="300"/>
        </w:trPr>
        <w:tc>
          <w:tcPr>
            <w:tcW w:w="254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Benzodiazepines &amp; other tranquillisers (n=522; 2.1%)</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(1.0%)</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 (1.1%)</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 (1.1%)</w:t>
            </w:r>
          </w:p>
        </w:tc>
      </w:tr>
      <w:tr w:rsidR="00CA7A60" w:rsidRPr="00B30EA5" w:rsidTr="00CA7A60">
        <w:trPr>
          <w:trHeight w:val="300"/>
        </w:trPr>
        <w:tc>
          <w:tcPr>
            <w:tcW w:w="2545" w:type="pct"/>
            <w:tcBorders>
              <w:top w:val="nil"/>
              <w:left w:val="nil"/>
              <w:bottom w:val="nil"/>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(n=730; 2.9%)</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819"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818"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r w:rsidR="00CA7A60" w:rsidRPr="00B30EA5" w:rsidTr="00CA7A60">
        <w:trPr>
          <w:trHeight w:val="300"/>
        </w:trPr>
        <w:tc>
          <w:tcPr>
            <w:tcW w:w="2545"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(n=341; 1.4%)</w:t>
            </w:r>
          </w:p>
        </w:tc>
        <w:tc>
          <w:tcPr>
            <w:tcW w:w="818"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819"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(1.5%)</w:t>
            </w:r>
          </w:p>
        </w:tc>
        <w:tc>
          <w:tcPr>
            <w:tcW w:w="818"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bl>
    <w:p w:rsidR="00CA7A60" w:rsidRDefault="00CA7A60" w:rsidP="00CA7A60">
      <w:pPr>
        <w:pStyle w:val="FAREnormaltext"/>
      </w:pPr>
    </w:p>
    <w:p w:rsidR="00C725CA" w:rsidRDefault="00C725CA">
      <w:pPr>
        <w:spacing w:after="120" w:line="240" w:lineRule="auto"/>
        <w:ind w:left="1191" w:hanging="1134"/>
        <w:jc w:val="both"/>
        <w:rPr>
          <w:lang w:val="en-GB"/>
        </w:rPr>
      </w:pPr>
      <w:r>
        <w:br w:type="page"/>
      </w:r>
    </w:p>
    <w:p w:rsidR="00CA7A60" w:rsidRPr="00D94FA3" w:rsidRDefault="00CA7A60" w:rsidP="00CA7A60">
      <w:pPr>
        <w:pStyle w:val="FAREnormaltext"/>
      </w:pPr>
      <w:r>
        <w:lastRenderedPageBreak/>
        <w:t>Overall, there was a decrease in the proportion of other drug-related acute admissions for AOD clients in the year following treatment engagement when compared with admissions in the year preceding treatment engagement (</w:t>
      </w:r>
      <w:r w:rsidR="00BE3D19">
        <w:fldChar w:fldCharType="begin"/>
      </w:r>
      <w:r>
        <w:instrText xml:space="preserve"> REF _Ref387146001 \h </w:instrText>
      </w:r>
      <w:r w:rsidR="00BE3D19">
        <w:fldChar w:fldCharType="separate"/>
      </w:r>
      <w:r w:rsidR="00E150CA">
        <w:t xml:space="preserve">Table </w:t>
      </w:r>
      <w:r w:rsidR="00E150CA">
        <w:rPr>
          <w:noProof/>
        </w:rPr>
        <w:t>4</w:t>
      </w:r>
      <w:r w:rsidR="00E150CA">
        <w:t>.</w:t>
      </w:r>
      <w:r w:rsidR="00E150CA">
        <w:rPr>
          <w:noProof/>
        </w:rPr>
        <w:t>22</w:t>
      </w:r>
      <w:r w:rsidR="00BE3D19">
        <w:fldChar w:fldCharType="end"/>
      </w:r>
      <w:r>
        <w:rPr>
          <w:noProof/>
        </w:rPr>
        <w:t>)</w:t>
      </w:r>
      <w:r>
        <w:t xml:space="preserve">. Decreases in proportions of other drug-related acute admissions were evident for all treatment types, except outreach and other withdrawal services, and for all primary drugs of concern, except cannabis and </w:t>
      </w:r>
      <w:r w:rsidR="00B473EE">
        <w:t>amphetamines</w:t>
      </w:r>
      <w:r>
        <w:t xml:space="preserve"> and other stimulants.</w:t>
      </w:r>
    </w:p>
    <w:p w:rsidR="00CA7A60" w:rsidRDefault="00CA7A60" w:rsidP="00A126E3">
      <w:pPr>
        <w:pStyle w:val="FAREtableheading"/>
      </w:pPr>
      <w:bookmarkStart w:id="230" w:name="_Ref387146001"/>
      <w:bookmarkStart w:id="231" w:name="_Toc387244646"/>
      <w:bookmarkStart w:id="232" w:name="_Toc398105105"/>
      <w:proofErr w:type="gramStart"/>
      <w:r>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22</w:t>
      </w:r>
      <w:r w:rsidR="00BE3D19">
        <w:rPr>
          <w:noProof/>
        </w:rPr>
        <w:fldChar w:fldCharType="end"/>
      </w:r>
      <w:bookmarkEnd w:id="230"/>
      <w:r>
        <w:t xml:space="preserve"> </w:t>
      </w:r>
      <w:r w:rsidR="00E41BCC">
        <w:t xml:space="preserve"> </w:t>
      </w:r>
      <w:r>
        <w:t xml:space="preserve">Admissions for other drug-related acute conditions by AOD </w:t>
      </w:r>
      <w:r w:rsidR="004B5CD4">
        <w:t>treatment</w:t>
      </w:r>
      <w:r>
        <w:t xml:space="preserve"> type, primary drug of concern and treatment termination status, 2009/10, 2010/11 and 2011/12</w:t>
      </w:r>
      <w:bookmarkEnd w:id="231"/>
      <w:bookmarkEnd w:id="232"/>
      <w:r>
        <w:t xml:space="preserve"> </w:t>
      </w:r>
    </w:p>
    <w:tbl>
      <w:tblPr>
        <w:tblW w:w="5000" w:type="pct"/>
        <w:tblLook w:val="04A0" w:firstRow="1" w:lastRow="0" w:firstColumn="1" w:lastColumn="0" w:noHBand="0" w:noVBand="1"/>
      </w:tblPr>
      <w:tblGrid>
        <w:gridCol w:w="4950"/>
        <w:gridCol w:w="1431"/>
        <w:gridCol w:w="1431"/>
        <w:gridCol w:w="1430"/>
      </w:tblGrid>
      <w:tr w:rsidR="00CA7A60" w:rsidRPr="00941C94" w:rsidTr="00CA7A60">
        <w:trPr>
          <w:trHeight w:val="300"/>
        </w:trPr>
        <w:tc>
          <w:tcPr>
            <w:tcW w:w="2658" w:type="pct"/>
            <w:vMerge w:val="restart"/>
            <w:tcBorders>
              <w:top w:val="single" w:sz="12" w:space="0" w:color="auto"/>
              <w:left w:val="nil"/>
              <w:bottom w:val="single" w:sz="12" w:space="0" w:color="000000"/>
              <w:right w:val="nil"/>
            </w:tcBorders>
            <w:shd w:val="clear" w:color="auto" w:fill="auto"/>
            <w:noWrap/>
            <w:vAlign w:val="center"/>
            <w:hideMark/>
          </w:tcPr>
          <w:p w:rsidR="00CA7A60" w:rsidRPr="00941C94" w:rsidRDefault="00CA7A60" w:rsidP="00CA7A60">
            <w:pPr>
              <w:spacing w:after="0" w:line="240" w:lineRule="auto"/>
              <w:jc w:val="center"/>
              <w:rPr>
                <w:rFonts w:eastAsia="Times New Roman"/>
                <w:b/>
                <w:bCs/>
                <w:color w:val="000000"/>
                <w:lang w:eastAsia="en-AU"/>
              </w:rPr>
            </w:pPr>
            <w:r w:rsidRPr="00941C94">
              <w:rPr>
                <w:rFonts w:eastAsia="Times New Roman"/>
                <w:b/>
                <w:bCs/>
                <w:color w:val="000000"/>
                <w:lang w:eastAsia="en-AU"/>
              </w:rPr>
              <w:t> </w:t>
            </w:r>
          </w:p>
        </w:tc>
        <w:tc>
          <w:tcPr>
            <w:tcW w:w="2342" w:type="pct"/>
            <w:gridSpan w:val="3"/>
            <w:tcBorders>
              <w:top w:val="single" w:sz="12" w:space="0" w:color="auto"/>
              <w:left w:val="nil"/>
              <w:bottom w:val="single" w:sz="4" w:space="0" w:color="auto"/>
              <w:right w:val="nil"/>
            </w:tcBorders>
            <w:shd w:val="clear" w:color="auto" w:fill="auto"/>
            <w:noWrap/>
            <w:vAlign w:val="center"/>
            <w:hideMark/>
          </w:tcPr>
          <w:p w:rsidR="00CA7A60" w:rsidRPr="00941C94" w:rsidRDefault="00CA7A60" w:rsidP="00CA7A60">
            <w:pPr>
              <w:spacing w:after="0" w:line="240" w:lineRule="auto"/>
              <w:jc w:val="center"/>
              <w:rPr>
                <w:rFonts w:eastAsia="Times New Roman"/>
                <w:b/>
                <w:bCs/>
                <w:color w:val="000000"/>
                <w:lang w:eastAsia="en-AU"/>
              </w:rPr>
            </w:pPr>
            <w:r w:rsidRPr="00941C94">
              <w:rPr>
                <w:rFonts w:eastAsia="Times New Roman"/>
                <w:b/>
                <w:bCs/>
                <w:color w:val="000000"/>
                <w:lang w:eastAsia="en-AU"/>
              </w:rPr>
              <w:t>Other drug-related acute conditions</w:t>
            </w:r>
          </w:p>
        </w:tc>
      </w:tr>
      <w:tr w:rsidR="00CA7A60" w:rsidRPr="00941C94" w:rsidTr="00CA7A60">
        <w:trPr>
          <w:trHeight w:val="300"/>
        </w:trPr>
        <w:tc>
          <w:tcPr>
            <w:tcW w:w="2658" w:type="pct"/>
            <w:vMerge/>
            <w:tcBorders>
              <w:top w:val="single" w:sz="12" w:space="0" w:color="auto"/>
              <w:left w:val="nil"/>
              <w:bottom w:val="single" w:sz="12" w:space="0" w:color="000000"/>
              <w:right w:val="nil"/>
            </w:tcBorders>
            <w:vAlign w:val="center"/>
            <w:hideMark/>
          </w:tcPr>
          <w:p w:rsidR="00CA7A60" w:rsidRPr="00941C94" w:rsidRDefault="00CA7A60" w:rsidP="00CA7A60">
            <w:pPr>
              <w:spacing w:after="0" w:line="240" w:lineRule="auto"/>
              <w:rPr>
                <w:rFonts w:eastAsia="Times New Roman"/>
                <w:b/>
                <w:bCs/>
                <w:color w:val="000000"/>
                <w:lang w:eastAsia="en-AU"/>
              </w:rPr>
            </w:pP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center"/>
              <w:rPr>
                <w:rFonts w:eastAsia="Times New Roman"/>
                <w:b/>
                <w:bCs/>
                <w:color w:val="000000"/>
                <w:lang w:eastAsia="en-AU"/>
              </w:rPr>
            </w:pPr>
            <w:r w:rsidRPr="00941C94">
              <w:rPr>
                <w:rFonts w:eastAsia="Times New Roman"/>
                <w:b/>
                <w:bCs/>
                <w:color w:val="000000"/>
                <w:lang w:eastAsia="en-AU"/>
              </w:rPr>
              <w:t>Admission 09/10 (%)</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center"/>
              <w:rPr>
                <w:rFonts w:eastAsia="Times New Roman"/>
                <w:b/>
                <w:bCs/>
                <w:color w:val="000000"/>
                <w:lang w:eastAsia="en-AU"/>
              </w:rPr>
            </w:pPr>
            <w:r w:rsidRPr="00941C94">
              <w:rPr>
                <w:rFonts w:eastAsia="Times New Roman"/>
                <w:b/>
                <w:bCs/>
                <w:color w:val="000000"/>
                <w:lang w:eastAsia="en-AU"/>
              </w:rPr>
              <w:t>Admission 10/11 (%)</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center"/>
              <w:rPr>
                <w:rFonts w:eastAsia="Times New Roman"/>
                <w:b/>
                <w:bCs/>
                <w:color w:val="000000"/>
                <w:lang w:eastAsia="en-AU"/>
              </w:rPr>
            </w:pPr>
            <w:r w:rsidRPr="00941C94">
              <w:rPr>
                <w:rFonts w:eastAsia="Times New Roman"/>
                <w:b/>
                <w:bCs/>
                <w:color w:val="000000"/>
                <w:lang w:eastAsia="en-AU"/>
              </w:rPr>
              <w:t>Admission 11/12 (%)</w:t>
            </w:r>
          </w:p>
        </w:tc>
      </w:tr>
      <w:tr w:rsidR="00CA7A60" w:rsidRPr="00941C94" w:rsidTr="00CA7A60">
        <w:trPr>
          <w:trHeight w:val="300"/>
        </w:trPr>
        <w:tc>
          <w:tcPr>
            <w:tcW w:w="2658" w:type="pct"/>
            <w:tcBorders>
              <w:top w:val="nil"/>
              <w:left w:val="nil"/>
              <w:bottom w:val="single" w:sz="4" w:space="0" w:color="auto"/>
              <w:right w:val="nil"/>
            </w:tcBorders>
            <w:shd w:val="clear" w:color="auto" w:fill="auto"/>
            <w:noWrap/>
            <w:vAlign w:val="center"/>
            <w:hideMark/>
          </w:tcPr>
          <w:p w:rsidR="00CA7A60" w:rsidRPr="00941C94" w:rsidRDefault="00CA7A60" w:rsidP="00CA7A60">
            <w:pPr>
              <w:spacing w:after="0" w:line="240" w:lineRule="auto"/>
              <w:rPr>
                <w:rFonts w:eastAsia="Times New Roman"/>
                <w:b/>
                <w:bCs/>
                <w:color w:val="000000"/>
                <w:sz w:val="24"/>
                <w:szCs w:val="24"/>
                <w:lang w:eastAsia="en-AU"/>
              </w:rPr>
            </w:pPr>
            <w:r w:rsidRPr="00941C94">
              <w:rPr>
                <w:rFonts w:eastAsia="Times New Roman"/>
                <w:b/>
                <w:bCs/>
                <w:color w:val="000000"/>
                <w:sz w:val="24"/>
                <w:szCs w:val="24"/>
                <w:lang w:eastAsia="en-AU"/>
              </w:rPr>
              <w:t xml:space="preserve">Total </w:t>
            </w:r>
            <w:r w:rsidRPr="00941C94">
              <w:rPr>
                <w:rFonts w:eastAsia="Times New Roman"/>
                <w:bCs/>
                <w:color w:val="000000"/>
                <w:sz w:val="24"/>
                <w:szCs w:val="24"/>
                <w:lang w:eastAsia="en-AU"/>
              </w:rPr>
              <w:t>(n=25229)</w:t>
            </w:r>
          </w:p>
        </w:tc>
        <w:tc>
          <w:tcPr>
            <w:tcW w:w="781" w:type="pct"/>
            <w:tcBorders>
              <w:top w:val="single" w:sz="12" w:space="0" w:color="auto"/>
              <w:left w:val="nil"/>
              <w:bottom w:val="single" w:sz="4" w:space="0" w:color="auto"/>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446 (1.8%)</w:t>
            </w:r>
          </w:p>
        </w:tc>
        <w:tc>
          <w:tcPr>
            <w:tcW w:w="781" w:type="pct"/>
            <w:tcBorders>
              <w:top w:val="single" w:sz="12" w:space="0" w:color="auto"/>
              <w:left w:val="nil"/>
              <w:bottom w:val="single" w:sz="4" w:space="0" w:color="auto"/>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601 (2.4%)</w:t>
            </w:r>
          </w:p>
        </w:tc>
        <w:tc>
          <w:tcPr>
            <w:tcW w:w="781" w:type="pct"/>
            <w:tcBorders>
              <w:top w:val="single" w:sz="12" w:space="0" w:color="auto"/>
              <w:left w:val="nil"/>
              <w:bottom w:val="single" w:sz="4" w:space="0" w:color="auto"/>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408 (1.6%)</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4B5CD4" w:rsidP="00CA7A60">
            <w:pPr>
              <w:spacing w:after="0" w:line="240" w:lineRule="auto"/>
              <w:rPr>
                <w:rFonts w:eastAsia="Times New Roman"/>
                <w:b/>
                <w:bCs/>
                <w:color w:val="000000"/>
                <w:sz w:val="24"/>
                <w:szCs w:val="24"/>
                <w:lang w:eastAsia="en-AU"/>
              </w:rPr>
            </w:pPr>
            <w:r>
              <w:rPr>
                <w:rFonts w:eastAsia="Times New Roman"/>
                <w:b/>
                <w:bCs/>
                <w:color w:val="000000"/>
                <w:sz w:val="24"/>
                <w:szCs w:val="24"/>
                <w:lang w:eastAsia="en-AU"/>
              </w:rPr>
              <w:t>Treatment</w:t>
            </w:r>
            <w:r w:rsidR="00CA7A60" w:rsidRPr="00941C94">
              <w:rPr>
                <w:rFonts w:eastAsia="Times New Roman"/>
                <w:b/>
                <w:bCs/>
                <w:color w:val="000000"/>
                <w:sz w:val="24"/>
                <w:szCs w:val="24"/>
                <w:lang w:eastAsia="en-AU"/>
              </w:rPr>
              <w:t xml:space="preserve"> type</w:t>
            </w:r>
          </w:p>
        </w:tc>
        <w:tc>
          <w:tcPr>
            <w:tcW w:w="781"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jc w:val="right"/>
              <w:rPr>
                <w:rFonts w:eastAsia="Times New Roman"/>
                <w:color w:val="000000"/>
                <w:lang w:eastAsia="en-AU"/>
              </w:rPr>
            </w:pP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Counselling (n=11919; 47.2%)</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197 (1.7%)</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280 (2.3%)</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191 (1.6%)</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Residential withdrawal (n=1962; 7.8%)</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56 (2.9%)</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75 (3.8%)</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46 (2.3%)</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Other withdrawal (n=2582; 10.2%)</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34 (1.3%)</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78 (3.0%)</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41 (1.6%)</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Outreach (n=2368; 9.4%)</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36 (1.5%)</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51 (2.2%)</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45 (1.9%)</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Brokerage (n=3904; 15.5%)</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71 (1.8%)</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64 (1.6%)</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49 (1.3%)</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Aboriginal services (n=733; 2.9%)</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6 (0.8%)</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12 (1.6%)</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5 (0.7%)</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Specialist pharmacotherapy (n=401; 1.6%)</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16 (4.0%)</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10 (2.5%)</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10 (2.5%)</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Residential rehabilitation (n=176; 0.7%)</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6 (3.4%)</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N&lt;5</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N&lt;5</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Supported accommodation (n=269; 1.1%)</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9 (3.3%)</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N&lt;5</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N&lt;5</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Post withdrawal linkage (n=256; 1.0%)</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N&lt;5</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11 (4.3%)</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9 (3.5%)</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Other/unknown (n=659; 2.6%)</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11 (1.7%)</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12 (1.8%)</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5 (0.8%)</w:t>
            </w:r>
          </w:p>
        </w:tc>
      </w:tr>
      <w:tr w:rsidR="00CA7A60" w:rsidRPr="00941C94" w:rsidTr="00CA7A60">
        <w:trPr>
          <w:trHeight w:val="300"/>
        </w:trPr>
        <w:tc>
          <w:tcPr>
            <w:tcW w:w="4219" w:type="pct"/>
            <w:gridSpan w:val="3"/>
            <w:tcBorders>
              <w:top w:val="single" w:sz="4" w:space="0" w:color="auto"/>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b/>
                <w:bCs/>
                <w:color w:val="000000"/>
                <w:sz w:val="24"/>
                <w:szCs w:val="24"/>
                <w:lang w:eastAsia="en-AU"/>
              </w:rPr>
            </w:pPr>
            <w:r w:rsidRPr="00941C94">
              <w:rPr>
                <w:rFonts w:eastAsia="Times New Roman"/>
                <w:b/>
                <w:bCs/>
                <w:color w:val="000000"/>
                <w:sz w:val="24"/>
                <w:szCs w:val="24"/>
                <w:lang w:eastAsia="en-AU"/>
              </w:rPr>
              <w:t>Treatment termination status</w:t>
            </w:r>
          </w:p>
        </w:tc>
        <w:tc>
          <w:tcPr>
            <w:tcW w:w="781" w:type="pct"/>
            <w:tcBorders>
              <w:top w:val="single" w:sz="4" w:space="0" w:color="auto"/>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 </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Completed treatment (n=18690; 74.1%)</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304 (1.6%)</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395 (2.1%)</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280 (1.5%)</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Not completed (n=6262; 24.8%)</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138 (2.2%)</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200 (3.2%)</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126 (2.0%)</w:t>
            </w:r>
          </w:p>
        </w:tc>
      </w:tr>
      <w:tr w:rsidR="00CA7A60" w:rsidRPr="00941C94" w:rsidTr="00CA7A60">
        <w:trPr>
          <w:trHeight w:val="300"/>
        </w:trPr>
        <w:tc>
          <w:tcPr>
            <w:tcW w:w="2658" w:type="pct"/>
            <w:tcBorders>
              <w:top w:val="nil"/>
              <w:left w:val="nil"/>
              <w:bottom w:val="single" w:sz="4" w:space="0" w:color="auto"/>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Unknown (n=277; 1.1%)</w:t>
            </w:r>
          </w:p>
        </w:tc>
        <w:tc>
          <w:tcPr>
            <w:tcW w:w="781" w:type="pct"/>
            <w:tcBorders>
              <w:top w:val="nil"/>
              <w:left w:val="nil"/>
              <w:bottom w:val="single" w:sz="4" w:space="0" w:color="auto"/>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N&lt;5</w:t>
            </w:r>
          </w:p>
        </w:tc>
        <w:tc>
          <w:tcPr>
            <w:tcW w:w="781" w:type="pct"/>
            <w:tcBorders>
              <w:top w:val="nil"/>
              <w:left w:val="nil"/>
              <w:bottom w:val="single" w:sz="4" w:space="0" w:color="auto"/>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6 (2.2%)</w:t>
            </w:r>
          </w:p>
        </w:tc>
        <w:tc>
          <w:tcPr>
            <w:tcW w:w="781" w:type="pct"/>
            <w:tcBorders>
              <w:top w:val="nil"/>
              <w:left w:val="nil"/>
              <w:bottom w:val="single" w:sz="4" w:space="0" w:color="auto"/>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N&lt;5</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b/>
                <w:bCs/>
                <w:color w:val="000000"/>
                <w:sz w:val="24"/>
                <w:szCs w:val="24"/>
                <w:lang w:eastAsia="en-AU"/>
              </w:rPr>
            </w:pPr>
            <w:r w:rsidRPr="00941C94">
              <w:rPr>
                <w:rFonts w:eastAsia="Times New Roman"/>
                <w:b/>
                <w:bCs/>
                <w:color w:val="000000"/>
                <w:sz w:val="24"/>
                <w:szCs w:val="24"/>
                <w:lang w:eastAsia="en-AU"/>
              </w:rPr>
              <w:t>Primary drug of concern</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Alcohol (n=11912; 47.2%)</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169 (1.4%)</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214 (1.8%)</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157 (1.3%)</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Cannabis (n=5663; 22.4%)</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71 (1.3%)</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124 (2.2%)</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81 (1.4%)</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Heroin &amp; other opioids (n=3863; 15.3%)</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125 (3.2%)</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131 (3.4%)</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96 (2.5%)</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Amphetamine &amp; other stimulants (n=2198; 8.7%)</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38 (1.7%)</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60 (2.7%)</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42 (1.9%)</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Benzodiazepines &amp; other tranquillisers (n=522; 2.1%)</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20 (3.8%)</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41 (7.9%)</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18 (3.4%)</w:t>
            </w:r>
          </w:p>
        </w:tc>
      </w:tr>
      <w:tr w:rsidR="00CA7A60" w:rsidRPr="00941C94" w:rsidTr="00CA7A60">
        <w:trPr>
          <w:trHeight w:val="300"/>
        </w:trPr>
        <w:tc>
          <w:tcPr>
            <w:tcW w:w="2658" w:type="pct"/>
            <w:tcBorders>
              <w:top w:val="nil"/>
              <w:left w:val="nil"/>
              <w:bottom w:val="nil"/>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Other (n=730; 2.9%)</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15 (2.1%)</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24 (3.3%)</w:t>
            </w:r>
          </w:p>
        </w:tc>
        <w:tc>
          <w:tcPr>
            <w:tcW w:w="781" w:type="pct"/>
            <w:tcBorders>
              <w:top w:val="nil"/>
              <w:left w:val="nil"/>
              <w:bottom w:val="nil"/>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10 (1.4%)</w:t>
            </w:r>
          </w:p>
        </w:tc>
      </w:tr>
      <w:tr w:rsidR="00CA7A60" w:rsidRPr="00941C94" w:rsidTr="00CA7A60">
        <w:trPr>
          <w:trHeight w:val="300"/>
        </w:trPr>
        <w:tc>
          <w:tcPr>
            <w:tcW w:w="2658" w:type="pct"/>
            <w:tcBorders>
              <w:top w:val="nil"/>
              <w:left w:val="nil"/>
              <w:bottom w:val="single" w:sz="12" w:space="0" w:color="auto"/>
              <w:right w:val="nil"/>
            </w:tcBorders>
            <w:shd w:val="clear" w:color="auto" w:fill="auto"/>
            <w:noWrap/>
            <w:vAlign w:val="center"/>
            <w:hideMark/>
          </w:tcPr>
          <w:p w:rsidR="00CA7A60" w:rsidRPr="00941C94" w:rsidRDefault="00CA7A60" w:rsidP="00CA7A60">
            <w:pPr>
              <w:spacing w:after="0" w:line="240" w:lineRule="auto"/>
              <w:rPr>
                <w:rFonts w:eastAsia="Times New Roman"/>
                <w:color w:val="000000"/>
                <w:lang w:eastAsia="en-AU"/>
              </w:rPr>
            </w:pPr>
            <w:r w:rsidRPr="00941C94">
              <w:rPr>
                <w:rFonts w:eastAsia="Times New Roman"/>
                <w:color w:val="000000"/>
                <w:lang w:eastAsia="en-AU"/>
              </w:rPr>
              <w:t>Unknown (n=341; 1.4%)</w:t>
            </w:r>
          </w:p>
        </w:tc>
        <w:tc>
          <w:tcPr>
            <w:tcW w:w="781" w:type="pct"/>
            <w:tcBorders>
              <w:top w:val="nil"/>
              <w:left w:val="nil"/>
              <w:bottom w:val="single" w:sz="12" w:space="0" w:color="auto"/>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8 (2.3%)</w:t>
            </w:r>
          </w:p>
        </w:tc>
        <w:tc>
          <w:tcPr>
            <w:tcW w:w="781" w:type="pct"/>
            <w:tcBorders>
              <w:top w:val="nil"/>
              <w:left w:val="nil"/>
              <w:bottom w:val="single" w:sz="12" w:space="0" w:color="auto"/>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7 (2.1%)</w:t>
            </w:r>
          </w:p>
        </w:tc>
        <w:tc>
          <w:tcPr>
            <w:tcW w:w="781" w:type="pct"/>
            <w:tcBorders>
              <w:top w:val="nil"/>
              <w:left w:val="nil"/>
              <w:bottom w:val="single" w:sz="12" w:space="0" w:color="auto"/>
              <w:right w:val="nil"/>
            </w:tcBorders>
            <w:shd w:val="clear" w:color="auto" w:fill="auto"/>
            <w:vAlign w:val="center"/>
            <w:hideMark/>
          </w:tcPr>
          <w:p w:rsidR="00CA7A60" w:rsidRPr="00941C94" w:rsidRDefault="00CA7A60" w:rsidP="00CA7A60">
            <w:pPr>
              <w:spacing w:after="0" w:line="240" w:lineRule="auto"/>
              <w:jc w:val="right"/>
              <w:rPr>
                <w:rFonts w:eastAsia="Times New Roman"/>
                <w:color w:val="000000"/>
                <w:lang w:eastAsia="en-AU"/>
              </w:rPr>
            </w:pPr>
            <w:r w:rsidRPr="00941C94">
              <w:rPr>
                <w:rFonts w:eastAsia="Times New Roman"/>
                <w:color w:val="000000"/>
                <w:lang w:eastAsia="en-AU"/>
              </w:rPr>
              <w:t>N&lt;5</w:t>
            </w:r>
          </w:p>
        </w:tc>
      </w:tr>
    </w:tbl>
    <w:p w:rsidR="00CA7A60" w:rsidRDefault="00CA7A60" w:rsidP="00A126E3">
      <w:pPr>
        <w:pStyle w:val="FAREtableheading"/>
      </w:pPr>
    </w:p>
    <w:p w:rsidR="00CA7A60" w:rsidRDefault="00BE3D19" w:rsidP="00CA7A60">
      <w:pPr>
        <w:pStyle w:val="FAREnormaltext"/>
      </w:pPr>
      <w:r>
        <w:fldChar w:fldCharType="begin"/>
      </w:r>
      <w:r w:rsidR="00CA7A60">
        <w:instrText xml:space="preserve"> REF _Ref387143271 \h </w:instrText>
      </w:r>
      <w:r>
        <w:fldChar w:fldCharType="separate"/>
      </w:r>
      <w:r w:rsidR="00E150CA">
        <w:t xml:space="preserve">Table </w:t>
      </w:r>
      <w:r w:rsidR="00E150CA">
        <w:rPr>
          <w:noProof/>
        </w:rPr>
        <w:t>4</w:t>
      </w:r>
      <w:r w:rsidR="00E150CA">
        <w:t>.</w:t>
      </w:r>
      <w:r w:rsidR="00E150CA">
        <w:rPr>
          <w:noProof/>
        </w:rPr>
        <w:t>23</w:t>
      </w:r>
      <w:r>
        <w:fldChar w:fldCharType="end"/>
      </w:r>
      <w:r w:rsidR="00CA7A60">
        <w:t xml:space="preserve"> shows the proportion of AOD clients diagnosed in hospital with an alcohol-related chronic condition across the three years by AOD treatment characteristics and primary drug of concern on entry into AOD treatment. Overall, there was stability in proportions of clients admitted with alcohol-related chronic conditions over the three years presented. This is likely a reflection of patterns of morbidity associated with alcohol-related chronic conditions, with need for treatment of recurring symptoms even after reduction or cessation of alcohol consumption.  </w:t>
      </w:r>
    </w:p>
    <w:p w:rsidR="00CA7A60" w:rsidRDefault="00CA7A60" w:rsidP="00CA7A60">
      <w:pPr>
        <w:spacing w:after="120" w:line="240" w:lineRule="auto"/>
        <w:jc w:val="both"/>
        <w:rPr>
          <w:lang w:val="en-GB"/>
        </w:rPr>
      </w:pPr>
      <w:r>
        <w:br w:type="page"/>
      </w:r>
    </w:p>
    <w:p w:rsidR="00CA7A60" w:rsidRDefault="00CA7A60" w:rsidP="00A126E3">
      <w:pPr>
        <w:pStyle w:val="FAREtableheading"/>
      </w:pPr>
      <w:bookmarkStart w:id="233" w:name="_Ref387143271"/>
      <w:bookmarkStart w:id="234" w:name="_Toc387244647"/>
      <w:bookmarkStart w:id="235" w:name="_Toc398105106"/>
      <w:proofErr w:type="gramStart"/>
      <w:r>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23</w:t>
      </w:r>
      <w:r w:rsidR="00BE3D19">
        <w:rPr>
          <w:noProof/>
        </w:rPr>
        <w:fldChar w:fldCharType="end"/>
      </w:r>
      <w:bookmarkEnd w:id="233"/>
      <w:r>
        <w:rPr>
          <w:noProof/>
        </w:rPr>
        <w:t xml:space="preserve"> </w:t>
      </w:r>
      <w:r w:rsidR="00E41BCC">
        <w:rPr>
          <w:noProof/>
        </w:rPr>
        <w:t xml:space="preserve"> </w:t>
      </w:r>
      <w:r>
        <w:t xml:space="preserve">Admissions for alcohol-related chronic conditions by AOD </w:t>
      </w:r>
      <w:r w:rsidR="004B5CD4">
        <w:t>treatment</w:t>
      </w:r>
      <w:r>
        <w:t xml:space="preserve"> type, primary drug of concern and treatment termination status, 2009/10, 2010/11 and 2011/12</w:t>
      </w:r>
      <w:bookmarkEnd w:id="234"/>
      <w:bookmarkEnd w:id="235"/>
    </w:p>
    <w:tbl>
      <w:tblPr>
        <w:tblW w:w="5000" w:type="pct"/>
        <w:tblLook w:val="04A0" w:firstRow="1" w:lastRow="0" w:firstColumn="1" w:lastColumn="0" w:noHBand="0" w:noVBand="1"/>
      </w:tblPr>
      <w:tblGrid>
        <w:gridCol w:w="4950"/>
        <w:gridCol w:w="1431"/>
        <w:gridCol w:w="1431"/>
        <w:gridCol w:w="1430"/>
      </w:tblGrid>
      <w:tr w:rsidR="00CA7A60" w:rsidRPr="00B30EA5" w:rsidTr="00CA7A60">
        <w:trPr>
          <w:trHeight w:val="300"/>
        </w:trPr>
        <w:tc>
          <w:tcPr>
            <w:tcW w:w="2658" w:type="pct"/>
            <w:vMerge w:val="restart"/>
            <w:tcBorders>
              <w:top w:val="single" w:sz="12" w:space="0" w:color="auto"/>
              <w:left w:val="nil"/>
              <w:bottom w:val="single" w:sz="12" w:space="0" w:color="000000"/>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w:t>
            </w:r>
          </w:p>
        </w:tc>
        <w:tc>
          <w:tcPr>
            <w:tcW w:w="2342" w:type="pct"/>
            <w:gridSpan w:val="3"/>
            <w:tcBorders>
              <w:top w:val="single" w:sz="12" w:space="0" w:color="auto"/>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Alcohol related chronic conditions</w:t>
            </w:r>
          </w:p>
        </w:tc>
      </w:tr>
      <w:tr w:rsidR="00CA7A60" w:rsidRPr="00B30EA5" w:rsidTr="00CA7A60">
        <w:trPr>
          <w:trHeight w:val="300"/>
        </w:trPr>
        <w:tc>
          <w:tcPr>
            <w:tcW w:w="2658" w:type="pct"/>
            <w:vMerge/>
            <w:tcBorders>
              <w:top w:val="single" w:sz="12" w:space="0" w:color="auto"/>
              <w:left w:val="nil"/>
              <w:bottom w:val="single" w:sz="12" w:space="0" w:color="000000"/>
              <w:right w:val="nil"/>
            </w:tcBorders>
            <w:vAlign w:val="center"/>
            <w:hideMark/>
          </w:tcPr>
          <w:p w:rsidR="00CA7A60" w:rsidRPr="00B30EA5" w:rsidRDefault="00CA7A60" w:rsidP="00CA7A60">
            <w:pPr>
              <w:spacing w:after="0" w:line="240" w:lineRule="auto"/>
              <w:rPr>
                <w:rFonts w:eastAsia="Times New Roman"/>
                <w:b/>
                <w:bCs/>
                <w:color w:val="000000"/>
                <w:lang w:eastAsia="en-AU"/>
              </w:rPr>
            </w:pP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09/10 (%)</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10/11 (%)</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11/12 (%)</w:t>
            </w:r>
          </w:p>
        </w:tc>
      </w:tr>
      <w:tr w:rsidR="00CA7A60" w:rsidRPr="00B30EA5" w:rsidTr="00CA7A60">
        <w:trPr>
          <w:trHeight w:val="300"/>
        </w:trPr>
        <w:tc>
          <w:tcPr>
            <w:tcW w:w="2658" w:type="pct"/>
            <w:tcBorders>
              <w:top w:val="nil"/>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Total </w:t>
            </w:r>
            <w:r w:rsidRPr="00941C94">
              <w:rPr>
                <w:rFonts w:eastAsia="Times New Roman"/>
                <w:bCs/>
                <w:color w:val="000000"/>
                <w:sz w:val="24"/>
                <w:szCs w:val="24"/>
                <w:lang w:eastAsia="en-AU"/>
              </w:rPr>
              <w:t>(n=25229)</w:t>
            </w:r>
          </w:p>
        </w:tc>
        <w:tc>
          <w:tcPr>
            <w:tcW w:w="781"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334 (1.3%)</w:t>
            </w:r>
          </w:p>
        </w:tc>
        <w:tc>
          <w:tcPr>
            <w:tcW w:w="781"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359 (1.4%)</w:t>
            </w:r>
          </w:p>
        </w:tc>
        <w:tc>
          <w:tcPr>
            <w:tcW w:w="781"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329 (1.3%)</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4B5CD4" w:rsidP="00CA7A60">
            <w:pPr>
              <w:spacing w:after="0" w:line="240" w:lineRule="auto"/>
              <w:rPr>
                <w:rFonts w:eastAsia="Times New Roman"/>
                <w:b/>
                <w:bCs/>
                <w:color w:val="000000"/>
                <w:sz w:val="24"/>
                <w:szCs w:val="24"/>
                <w:lang w:eastAsia="en-AU"/>
              </w:rPr>
            </w:pPr>
            <w:r>
              <w:rPr>
                <w:rFonts w:eastAsia="Times New Roman"/>
                <w:b/>
                <w:bCs/>
                <w:color w:val="000000"/>
                <w:sz w:val="24"/>
                <w:szCs w:val="24"/>
                <w:lang w:eastAsia="en-AU"/>
              </w:rPr>
              <w:t>Treatment</w:t>
            </w:r>
            <w:r w:rsidR="00CA7A60" w:rsidRPr="00B30EA5">
              <w:rPr>
                <w:rFonts w:eastAsia="Times New Roman"/>
                <w:b/>
                <w:bCs/>
                <w:color w:val="000000"/>
                <w:sz w:val="24"/>
                <w:szCs w:val="24"/>
                <w:lang w:eastAsia="en-AU"/>
              </w:rPr>
              <w:t xml:space="preserve"> type</w:t>
            </w:r>
          </w:p>
        </w:tc>
        <w:tc>
          <w:tcPr>
            <w:tcW w:w="781"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Counselling (n=11919; 47.2%)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139 (1.2%)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165 (1.4%)</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148 (1.2%)</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withdrawal (n=1962; 7.8%)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46 (2.3%)</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52 (2.7%)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45 (2.3%)</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withdrawal (n=2582; 10.2%)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55 (2.1%)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59 (2.3%)</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46 (1.8%)</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Outreach (n=2368; 9.4%)</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 (0.5%)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 (0.5%)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 (0.6%)</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Brokerage (n=3904; 15.5%)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37 (0.9%)</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 (0.8%)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41 (1.1%)</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Aboriginal services (n=733; 2.9%)</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18 (2.5%)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 (2.2%)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 (1.4%)</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Specialist pharmacotherapy (n=401; 1.6%)</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 (2.0%)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 (2.7%)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 (1.7%)</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rehabilitation (n=176; 0.7%)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Supported accommodation (n=269; 1.1%)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 (2.2%)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Post withdrawal linkage (n=256; 1.0%)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 (2.3%)</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(2.0%)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(2.0%)</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Other/unknown (n=659; 2.6%)</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(0.8%)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 (1.1%)</w:t>
            </w:r>
          </w:p>
        </w:tc>
      </w:tr>
      <w:tr w:rsidR="00CA7A60" w:rsidRPr="00B30EA5" w:rsidTr="00CA7A60">
        <w:trPr>
          <w:trHeight w:val="300"/>
        </w:trPr>
        <w:tc>
          <w:tcPr>
            <w:tcW w:w="4219" w:type="pct"/>
            <w:gridSpan w:val="3"/>
            <w:tcBorders>
              <w:top w:val="single" w:sz="4" w:space="0" w:color="auto"/>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Treatment termination status</w:t>
            </w:r>
          </w:p>
        </w:tc>
        <w:tc>
          <w:tcPr>
            <w:tcW w:w="781" w:type="pct"/>
            <w:tcBorders>
              <w:top w:val="single" w:sz="4" w:space="0" w:color="auto"/>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Completed treatment (n=18690; 74.1%)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232 (1.2%)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261 (1.4%)</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234 (1.3%)</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Not completed (n=6262; 24.8%)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99 (1.6%)</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95 (1.5%)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91 (1.5%)</w:t>
            </w:r>
          </w:p>
        </w:tc>
      </w:tr>
      <w:tr w:rsidR="00CA7A60" w:rsidRPr="00B30EA5" w:rsidTr="00CA7A60">
        <w:trPr>
          <w:trHeight w:val="300"/>
        </w:trPr>
        <w:tc>
          <w:tcPr>
            <w:tcW w:w="2658" w:type="pct"/>
            <w:tcBorders>
              <w:top w:val="nil"/>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(n=277; 1.1%)</w:t>
            </w:r>
          </w:p>
        </w:tc>
        <w:tc>
          <w:tcPr>
            <w:tcW w:w="781"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81"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81"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Primary drug of concern</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Alcohol (n=11912; 47.2%)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219 (1.8%)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236 (2.0%)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223 (1.9%)</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Cannabis (n=5663; 22.4%)</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47 (0.8%)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38 (0.7%)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46 (0.8%)</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Heroin &amp; other opioids (n=3863; 15.3%)</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38 (1.0%)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44 (1.1%)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36 (0.9%)</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Amphetamine &amp; other stimulants (n=2198; 8.7%)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 (0.5%)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 (0.7%)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 (0.4%)</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Benzodiazepines &amp; other tranquillisers (n=522; 2.1%)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 (1.7%)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(n=730; 2.9%)</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 (1.9%)</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15 (2.1%)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 (1.4%)</w:t>
            </w:r>
          </w:p>
        </w:tc>
      </w:tr>
      <w:tr w:rsidR="00CA7A60" w:rsidRPr="00B30EA5" w:rsidTr="00CA7A60">
        <w:trPr>
          <w:trHeight w:val="300"/>
        </w:trPr>
        <w:tc>
          <w:tcPr>
            <w:tcW w:w="2658" w:type="pct"/>
            <w:tcBorders>
              <w:top w:val="nil"/>
              <w:left w:val="nil"/>
              <w:bottom w:val="single" w:sz="12" w:space="0" w:color="auto"/>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(n=341; 1.4%)</w:t>
            </w:r>
          </w:p>
        </w:tc>
        <w:tc>
          <w:tcPr>
            <w:tcW w:w="781"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81"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c>
          <w:tcPr>
            <w:tcW w:w="781"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N&lt;5</w:t>
            </w:r>
          </w:p>
        </w:tc>
      </w:tr>
    </w:tbl>
    <w:p w:rsidR="00CA7A60" w:rsidRDefault="00CA7A60" w:rsidP="00A126E3">
      <w:pPr>
        <w:pStyle w:val="FAREtableheading"/>
      </w:pPr>
    </w:p>
    <w:p w:rsidR="00CA7A60" w:rsidRDefault="00CA7A60" w:rsidP="00CA7A60">
      <w:pPr>
        <w:pStyle w:val="FAREnormaltext"/>
      </w:pPr>
      <w:r>
        <w:t>Following AOD treatment, there was a decrease in the proportion of clients admitted to hospital with an injury (</w:t>
      </w:r>
      <w:r w:rsidR="00BE3D19">
        <w:fldChar w:fldCharType="begin"/>
      </w:r>
      <w:r>
        <w:instrText xml:space="preserve"> REF _Ref387144109 \h </w:instrText>
      </w:r>
      <w:r w:rsidR="00BE3D19">
        <w:fldChar w:fldCharType="separate"/>
      </w:r>
      <w:r w:rsidR="00E150CA">
        <w:t xml:space="preserve">Table </w:t>
      </w:r>
      <w:r w:rsidR="00E150CA">
        <w:rPr>
          <w:noProof/>
        </w:rPr>
        <w:t>4</w:t>
      </w:r>
      <w:r w:rsidR="00E150CA">
        <w:t>.</w:t>
      </w:r>
      <w:r w:rsidR="00E150CA">
        <w:rPr>
          <w:noProof/>
        </w:rPr>
        <w:t>24</w:t>
      </w:r>
      <w:r w:rsidR="00BE3D19">
        <w:fldChar w:fldCharType="end"/>
      </w:r>
      <w:r>
        <w:rPr>
          <w:noProof/>
        </w:rPr>
        <w:t>). There were reductions in proportions of</w:t>
      </w:r>
      <w:r>
        <w:t xml:space="preserve"> AOD clients diagnosed in hospital with injuries between the year preceding and the year following AOD treatment engagement</w:t>
      </w:r>
      <w:r>
        <w:rPr>
          <w:noProof/>
        </w:rPr>
        <w:t xml:space="preserve"> across all treatment types (</w:t>
      </w:r>
      <w:r>
        <w:t>residential withdrawal, other withdrawal and Aboriginal services) and</w:t>
      </w:r>
      <w:r>
        <w:rPr>
          <w:noProof/>
        </w:rPr>
        <w:t xml:space="preserve"> primary drugs of concern (</w:t>
      </w:r>
      <w:r>
        <w:t xml:space="preserve">except amphetamine and other stimulants and benzodiazepines and other tranquilisers). </w:t>
      </w:r>
    </w:p>
    <w:p w:rsidR="00CA7A60" w:rsidRDefault="00CA7A60" w:rsidP="00CA7A60">
      <w:pPr>
        <w:spacing w:after="120" w:line="240" w:lineRule="auto"/>
        <w:ind w:left="1191" w:hanging="1134"/>
        <w:jc w:val="both"/>
        <w:rPr>
          <w:lang w:val="en-GB"/>
        </w:rPr>
      </w:pPr>
      <w:r>
        <w:br w:type="page"/>
      </w:r>
    </w:p>
    <w:p w:rsidR="00CA7A60" w:rsidRDefault="00CA7A60" w:rsidP="00A126E3">
      <w:pPr>
        <w:pStyle w:val="FAREtableheading"/>
      </w:pPr>
      <w:bookmarkStart w:id="236" w:name="_Ref387144109"/>
      <w:bookmarkStart w:id="237" w:name="_Toc387244648"/>
      <w:bookmarkStart w:id="238" w:name="_Toc398105107"/>
      <w:proofErr w:type="gramStart"/>
      <w:r>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24</w:t>
      </w:r>
      <w:r w:rsidR="00BE3D19">
        <w:rPr>
          <w:noProof/>
        </w:rPr>
        <w:fldChar w:fldCharType="end"/>
      </w:r>
      <w:bookmarkEnd w:id="236"/>
      <w:r w:rsidR="00E41BCC">
        <w:rPr>
          <w:noProof/>
        </w:rPr>
        <w:t xml:space="preserve"> </w:t>
      </w:r>
      <w:r>
        <w:t xml:space="preserve"> Admissions for injuries by AOD </w:t>
      </w:r>
      <w:r w:rsidR="007431B4">
        <w:t>treatment</w:t>
      </w:r>
      <w:r>
        <w:t xml:space="preserve"> type, primary drug of concern and treatment termination status, 2009/10, 2010/11 and 2011/12</w:t>
      </w:r>
      <w:bookmarkEnd w:id="237"/>
      <w:bookmarkEnd w:id="238"/>
      <w:r>
        <w:t xml:space="preserve"> </w:t>
      </w:r>
    </w:p>
    <w:tbl>
      <w:tblPr>
        <w:tblW w:w="5000" w:type="pct"/>
        <w:tblLook w:val="04A0" w:firstRow="1" w:lastRow="0" w:firstColumn="1" w:lastColumn="0" w:noHBand="0" w:noVBand="1"/>
      </w:tblPr>
      <w:tblGrid>
        <w:gridCol w:w="4950"/>
        <w:gridCol w:w="1431"/>
        <w:gridCol w:w="1431"/>
        <w:gridCol w:w="1430"/>
      </w:tblGrid>
      <w:tr w:rsidR="00CA7A60" w:rsidRPr="00B30EA5" w:rsidTr="00CA7A60">
        <w:trPr>
          <w:trHeight w:val="300"/>
        </w:trPr>
        <w:tc>
          <w:tcPr>
            <w:tcW w:w="2658" w:type="pct"/>
            <w:vMerge w:val="restart"/>
            <w:tcBorders>
              <w:top w:val="single" w:sz="12" w:space="0" w:color="auto"/>
              <w:left w:val="nil"/>
              <w:bottom w:val="single" w:sz="12" w:space="0" w:color="000000"/>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w:t>
            </w:r>
          </w:p>
        </w:tc>
        <w:tc>
          <w:tcPr>
            <w:tcW w:w="2342" w:type="pct"/>
            <w:gridSpan w:val="3"/>
            <w:tcBorders>
              <w:top w:val="single" w:sz="12" w:space="0" w:color="auto"/>
              <w:left w:val="nil"/>
              <w:bottom w:val="single" w:sz="4" w:space="0" w:color="auto"/>
              <w:right w:val="nil"/>
            </w:tcBorders>
            <w:shd w:val="clear" w:color="auto" w:fill="auto"/>
            <w:noWrap/>
            <w:vAlign w:val="bottom"/>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Injuries</w:t>
            </w:r>
          </w:p>
        </w:tc>
      </w:tr>
      <w:tr w:rsidR="00CA7A60" w:rsidRPr="00B30EA5" w:rsidTr="00CA7A60">
        <w:trPr>
          <w:trHeight w:val="300"/>
        </w:trPr>
        <w:tc>
          <w:tcPr>
            <w:tcW w:w="2658" w:type="pct"/>
            <w:vMerge/>
            <w:tcBorders>
              <w:top w:val="single" w:sz="12" w:space="0" w:color="auto"/>
              <w:left w:val="nil"/>
              <w:bottom w:val="single" w:sz="12" w:space="0" w:color="000000"/>
              <w:right w:val="nil"/>
            </w:tcBorders>
            <w:vAlign w:val="center"/>
            <w:hideMark/>
          </w:tcPr>
          <w:p w:rsidR="00CA7A60" w:rsidRPr="00B30EA5" w:rsidRDefault="00CA7A60" w:rsidP="00CA7A60">
            <w:pPr>
              <w:spacing w:after="0" w:line="240" w:lineRule="auto"/>
              <w:rPr>
                <w:rFonts w:eastAsia="Times New Roman"/>
                <w:b/>
                <w:bCs/>
                <w:color w:val="000000"/>
                <w:lang w:eastAsia="en-AU"/>
              </w:rPr>
            </w:pP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09/10 (%)</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10/11 (%)</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11/12 (%)</w:t>
            </w:r>
          </w:p>
        </w:tc>
      </w:tr>
      <w:tr w:rsidR="00CA7A60" w:rsidRPr="00B30EA5" w:rsidTr="00CA7A60">
        <w:trPr>
          <w:trHeight w:val="300"/>
        </w:trPr>
        <w:tc>
          <w:tcPr>
            <w:tcW w:w="2658" w:type="pct"/>
            <w:tcBorders>
              <w:top w:val="nil"/>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Total </w:t>
            </w:r>
            <w:r w:rsidRPr="00941C94">
              <w:rPr>
                <w:rFonts w:eastAsia="Times New Roman"/>
                <w:bCs/>
                <w:color w:val="000000"/>
                <w:sz w:val="24"/>
                <w:szCs w:val="24"/>
                <w:lang w:eastAsia="en-AU"/>
              </w:rPr>
              <w:t>(n=25229)</w:t>
            </w:r>
          </w:p>
        </w:tc>
        <w:tc>
          <w:tcPr>
            <w:tcW w:w="781"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1297 (5.1%)</w:t>
            </w:r>
          </w:p>
        </w:tc>
        <w:tc>
          <w:tcPr>
            <w:tcW w:w="781"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1300 (5.2%)</w:t>
            </w:r>
          </w:p>
        </w:tc>
        <w:tc>
          <w:tcPr>
            <w:tcW w:w="781"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1238 (4.9%)</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7431B4" w:rsidP="00CA7A60">
            <w:pPr>
              <w:spacing w:after="0" w:line="240" w:lineRule="auto"/>
              <w:rPr>
                <w:rFonts w:eastAsia="Times New Roman"/>
                <w:b/>
                <w:bCs/>
                <w:color w:val="000000"/>
                <w:sz w:val="24"/>
                <w:szCs w:val="24"/>
                <w:lang w:eastAsia="en-AU"/>
              </w:rPr>
            </w:pPr>
            <w:r>
              <w:rPr>
                <w:rFonts w:eastAsia="Times New Roman"/>
                <w:b/>
                <w:bCs/>
                <w:color w:val="000000"/>
                <w:sz w:val="24"/>
                <w:szCs w:val="24"/>
                <w:lang w:eastAsia="en-AU"/>
              </w:rPr>
              <w:t>Treatment</w:t>
            </w:r>
            <w:r w:rsidR="00CA7A60" w:rsidRPr="00B30EA5">
              <w:rPr>
                <w:rFonts w:eastAsia="Times New Roman"/>
                <w:b/>
                <w:bCs/>
                <w:color w:val="000000"/>
                <w:sz w:val="24"/>
                <w:szCs w:val="24"/>
                <w:lang w:eastAsia="en-AU"/>
              </w:rPr>
              <w:t xml:space="preserve"> type</w:t>
            </w:r>
          </w:p>
        </w:tc>
        <w:tc>
          <w:tcPr>
            <w:tcW w:w="781"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Counselling (n=11919; 47.2%)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560 (4.7%)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595 (5.0%)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533 (4.5%)</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withdrawal (n=1962; 7.8%)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135 (6.9%)</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143 (7.3%)</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152 (7.7%)</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withdrawal (n=2582; 10.2%)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124 (4.8%)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133 (5.2%)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131 (5.1%)</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Outreach (n=2368; 9.4%)</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141 (6.0%)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124 (5.2%)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111 (4.7%)</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Brokerage (n=3904; 15.5%)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208 (5.3%)</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180 (4.6%)</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207 (5.3%)</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Aboriginal services (n=733; 2.9%)</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30 (4.1%)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36 (4.9%)</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37 (5.0%)</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Specialist pharmacotherapy (n=401; 1.6%)</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29 (7.2%)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24 (6.0%)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25 (6.2%)</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rehabilitation (n=176; 0.7%)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 (6.8%)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 (5.7%)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 (2.8%)</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Supported accommodation (n=269; 1.1%)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 (3.3%)</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 (3.7%)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 (4.5%)</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Post withdrawal linkage (n=256; 1.0%)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 (6.3%)</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 (5.5%)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 (3.5%)</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Other/unknown (n=659; 2.6%)</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 (5.0%)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31 (4.7%)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16 (2.4%)</w:t>
            </w:r>
          </w:p>
        </w:tc>
      </w:tr>
      <w:tr w:rsidR="00CA7A60" w:rsidRPr="00B30EA5" w:rsidTr="00CA7A60">
        <w:trPr>
          <w:trHeight w:val="300"/>
        </w:trPr>
        <w:tc>
          <w:tcPr>
            <w:tcW w:w="4219" w:type="pct"/>
            <w:gridSpan w:val="3"/>
            <w:tcBorders>
              <w:top w:val="single" w:sz="4" w:space="0" w:color="auto"/>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Treatment termination status</w:t>
            </w:r>
          </w:p>
        </w:tc>
        <w:tc>
          <w:tcPr>
            <w:tcW w:w="781" w:type="pct"/>
            <w:tcBorders>
              <w:top w:val="single" w:sz="4" w:space="0" w:color="auto"/>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Completed treatment (n=18690; 74.1%)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928 (5.0%)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938 (5.0%)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904 (4.8%)</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Not completed (n=6262; 24.8%)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355 (5.7%)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354 (5.7%)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326 (5.2%)</w:t>
            </w:r>
          </w:p>
        </w:tc>
      </w:tr>
      <w:tr w:rsidR="00CA7A60" w:rsidRPr="00B30EA5" w:rsidTr="00CA7A60">
        <w:trPr>
          <w:trHeight w:val="300"/>
        </w:trPr>
        <w:tc>
          <w:tcPr>
            <w:tcW w:w="2658" w:type="pct"/>
            <w:tcBorders>
              <w:top w:val="nil"/>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(n=277; 1.1%)</w:t>
            </w:r>
          </w:p>
        </w:tc>
        <w:tc>
          <w:tcPr>
            <w:tcW w:w="781"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14 (5.1%)</w:t>
            </w:r>
          </w:p>
        </w:tc>
        <w:tc>
          <w:tcPr>
            <w:tcW w:w="781"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 (2.9%)</w:t>
            </w:r>
          </w:p>
        </w:tc>
        <w:tc>
          <w:tcPr>
            <w:tcW w:w="781"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 (2.9%)</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Primary drug of concern</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Alcohol (n=11912; 47.2%)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667 (5.6%)</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699 (5.9%)</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631 (5.3%)</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Cannabis (n=5663; 22.4%)</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271 (4.8%)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248 (4.4%)</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241 (4.3%)</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Heroin &amp; other opioids (n=3863; 15.3%)</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203 (5.3%)</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198 (5.1%)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193 (5.0%)</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Amphetamine &amp; other stimulants (n=2198; 8.7%)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96 (4.4%)</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81 (3.7%)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99 (4.5%)</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Benzodiazepines &amp; other tranquillisers (n=522; 2.1%)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21 (4.0%)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32 (6.1%)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25 (4.8%)</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(n=730; 2.9%)</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27 (3.7%)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 (4.5%)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29 (4.0%)</w:t>
            </w:r>
          </w:p>
        </w:tc>
      </w:tr>
      <w:tr w:rsidR="00CA7A60" w:rsidRPr="00B30EA5" w:rsidTr="00CA7A60">
        <w:trPr>
          <w:trHeight w:val="300"/>
        </w:trPr>
        <w:tc>
          <w:tcPr>
            <w:tcW w:w="2658" w:type="pct"/>
            <w:tcBorders>
              <w:top w:val="nil"/>
              <w:left w:val="nil"/>
              <w:bottom w:val="single" w:sz="12" w:space="0" w:color="auto"/>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(n=341; 1.4%)</w:t>
            </w:r>
          </w:p>
        </w:tc>
        <w:tc>
          <w:tcPr>
            <w:tcW w:w="781"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 (3.5%)</w:t>
            </w:r>
          </w:p>
        </w:tc>
        <w:tc>
          <w:tcPr>
            <w:tcW w:w="781"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 (2.6%)</w:t>
            </w:r>
          </w:p>
        </w:tc>
        <w:tc>
          <w:tcPr>
            <w:tcW w:w="781"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20 (5.9%)</w:t>
            </w:r>
          </w:p>
        </w:tc>
      </w:tr>
    </w:tbl>
    <w:p w:rsidR="00CA7A60" w:rsidRDefault="00CA7A60" w:rsidP="00CA7A60">
      <w:pPr>
        <w:pStyle w:val="FAREnormaltext"/>
      </w:pPr>
    </w:p>
    <w:p w:rsidR="00CA7A60" w:rsidRDefault="00CA7A60" w:rsidP="00CA7A60">
      <w:pPr>
        <w:pStyle w:val="FAREnormaltext"/>
      </w:pPr>
      <w:r>
        <w:t xml:space="preserve">Hospitalisations for non-AOD-related conditions are shown in </w:t>
      </w:r>
      <w:r w:rsidR="00BE3D19">
        <w:fldChar w:fldCharType="begin"/>
      </w:r>
      <w:r>
        <w:instrText xml:space="preserve"> REF _Ref387144809 \h </w:instrText>
      </w:r>
      <w:r w:rsidR="00BE3D19">
        <w:fldChar w:fldCharType="separate"/>
      </w:r>
      <w:r w:rsidR="00E150CA">
        <w:t xml:space="preserve">Table </w:t>
      </w:r>
      <w:r w:rsidR="00E150CA">
        <w:rPr>
          <w:noProof/>
        </w:rPr>
        <w:t>4</w:t>
      </w:r>
      <w:r w:rsidR="00E150CA">
        <w:t>.</w:t>
      </w:r>
      <w:r w:rsidR="00E150CA">
        <w:rPr>
          <w:noProof/>
        </w:rPr>
        <w:t>25</w:t>
      </w:r>
      <w:r w:rsidR="00BE3D19">
        <w:fldChar w:fldCharType="end"/>
      </w:r>
      <w:r>
        <w:t xml:space="preserve"> for the AOD client cohort. There was a reduction in the proportion of clients admitted with non-AOD-related conditions in the year following AOD treatment. While this reduction was evident for most treatment types, an increase was observed in outreach, Aboriginal, post withdrawal and other/unknown services. Also, while decreases in admissions were evident for clients presenting to AOD services across most primary drugs of concern, there was no change in the proportion of non-AOD-related hospitalisation where the primary drug of concern was benzodiazepines and other tranquilizers. Non-AOD-related condition admissions declined from the year preceding treatment to the year following treatment engagement regardless of treatment termination status.</w:t>
      </w:r>
    </w:p>
    <w:p w:rsidR="00CA7A60" w:rsidRDefault="00CA7A60" w:rsidP="00CA7A60">
      <w:pPr>
        <w:spacing w:after="120" w:line="240" w:lineRule="auto"/>
        <w:ind w:left="1191" w:hanging="1134"/>
        <w:jc w:val="both"/>
        <w:rPr>
          <w:lang w:val="en-GB"/>
        </w:rPr>
      </w:pPr>
      <w:r>
        <w:br w:type="page"/>
      </w:r>
    </w:p>
    <w:p w:rsidR="00CA7A60" w:rsidRDefault="00CA7A60" w:rsidP="00A126E3">
      <w:pPr>
        <w:pStyle w:val="FAREtableheading"/>
      </w:pPr>
      <w:bookmarkStart w:id="239" w:name="_Ref387144809"/>
      <w:bookmarkStart w:id="240" w:name="_Toc387244649"/>
      <w:bookmarkStart w:id="241" w:name="_Toc398105108"/>
      <w:proofErr w:type="gramStart"/>
      <w:r>
        <w:lastRenderedPageBreak/>
        <w:t xml:space="preserve">Table </w:t>
      </w:r>
      <w:r w:rsidR="00BE3D19">
        <w:fldChar w:fldCharType="begin"/>
      </w:r>
      <w:r w:rsidR="009F30FB">
        <w:instrText xml:space="preserve"> STYLEREF 1 \s </w:instrText>
      </w:r>
      <w:r w:rsidR="00BE3D19">
        <w:fldChar w:fldCharType="separate"/>
      </w:r>
      <w:r w:rsidR="00E150CA">
        <w:rPr>
          <w:noProof/>
        </w:rPr>
        <w:t>4</w:t>
      </w:r>
      <w:r w:rsidR="00BE3D19">
        <w:rPr>
          <w:noProof/>
        </w:rPr>
        <w:fldChar w:fldCharType="end"/>
      </w:r>
      <w:r>
        <w:t>.</w:t>
      </w:r>
      <w:proofErr w:type="gramEnd"/>
      <w:r w:rsidR="00BE3D19">
        <w:fldChar w:fldCharType="begin"/>
      </w:r>
      <w:r w:rsidR="009F30FB">
        <w:instrText xml:space="preserve"> SEQ Table \* ARABIC \s 1 </w:instrText>
      </w:r>
      <w:r w:rsidR="00BE3D19">
        <w:fldChar w:fldCharType="separate"/>
      </w:r>
      <w:r w:rsidR="00E150CA">
        <w:rPr>
          <w:noProof/>
        </w:rPr>
        <w:t>25</w:t>
      </w:r>
      <w:r w:rsidR="00BE3D19">
        <w:rPr>
          <w:noProof/>
        </w:rPr>
        <w:fldChar w:fldCharType="end"/>
      </w:r>
      <w:bookmarkEnd w:id="239"/>
      <w:r>
        <w:t xml:space="preserve"> </w:t>
      </w:r>
      <w:r w:rsidR="00E41BCC">
        <w:t xml:space="preserve"> </w:t>
      </w:r>
      <w:r>
        <w:t xml:space="preserve">Admissions for non-AOD-related conditions by AOD </w:t>
      </w:r>
      <w:r w:rsidR="007431B4">
        <w:t>treatment</w:t>
      </w:r>
      <w:r>
        <w:t xml:space="preserve"> type, primary drug of concern and treatment termination status, 2009/10, 2010/11 and 2011/12</w:t>
      </w:r>
      <w:bookmarkEnd w:id="240"/>
      <w:bookmarkEnd w:id="241"/>
      <w:r>
        <w:t xml:space="preserve"> </w:t>
      </w:r>
    </w:p>
    <w:tbl>
      <w:tblPr>
        <w:tblW w:w="5000" w:type="pct"/>
        <w:tblLook w:val="04A0" w:firstRow="1" w:lastRow="0" w:firstColumn="1" w:lastColumn="0" w:noHBand="0" w:noVBand="1"/>
      </w:tblPr>
      <w:tblGrid>
        <w:gridCol w:w="4950"/>
        <w:gridCol w:w="1431"/>
        <w:gridCol w:w="1431"/>
        <w:gridCol w:w="1430"/>
      </w:tblGrid>
      <w:tr w:rsidR="00CA7A60" w:rsidRPr="00B30EA5" w:rsidTr="00CA7A60">
        <w:trPr>
          <w:trHeight w:val="300"/>
        </w:trPr>
        <w:tc>
          <w:tcPr>
            <w:tcW w:w="2658" w:type="pct"/>
            <w:vMerge w:val="restart"/>
            <w:tcBorders>
              <w:top w:val="single" w:sz="12" w:space="0" w:color="auto"/>
              <w:left w:val="nil"/>
              <w:bottom w:val="single" w:sz="12" w:space="0" w:color="000000"/>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w:t>
            </w:r>
          </w:p>
        </w:tc>
        <w:tc>
          <w:tcPr>
            <w:tcW w:w="2342" w:type="pct"/>
            <w:gridSpan w:val="3"/>
            <w:tcBorders>
              <w:top w:val="single" w:sz="12" w:space="0" w:color="auto"/>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 xml:space="preserve">Non-AOD-related conditions </w:t>
            </w:r>
          </w:p>
        </w:tc>
      </w:tr>
      <w:tr w:rsidR="00CA7A60" w:rsidRPr="00B30EA5" w:rsidTr="00CA7A60">
        <w:trPr>
          <w:trHeight w:val="300"/>
        </w:trPr>
        <w:tc>
          <w:tcPr>
            <w:tcW w:w="2658" w:type="pct"/>
            <w:vMerge/>
            <w:tcBorders>
              <w:top w:val="single" w:sz="12" w:space="0" w:color="auto"/>
              <w:left w:val="nil"/>
              <w:bottom w:val="single" w:sz="12" w:space="0" w:color="000000"/>
              <w:right w:val="nil"/>
            </w:tcBorders>
            <w:vAlign w:val="center"/>
            <w:hideMark/>
          </w:tcPr>
          <w:p w:rsidR="00CA7A60" w:rsidRPr="00B30EA5" w:rsidRDefault="00CA7A60" w:rsidP="00CA7A60">
            <w:pPr>
              <w:spacing w:after="0" w:line="240" w:lineRule="auto"/>
              <w:rPr>
                <w:rFonts w:eastAsia="Times New Roman"/>
                <w:b/>
                <w:bCs/>
                <w:color w:val="000000"/>
                <w:lang w:eastAsia="en-AU"/>
              </w:rPr>
            </w:pP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09/10 (%)</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10/11 (%)</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center"/>
              <w:rPr>
                <w:rFonts w:eastAsia="Times New Roman"/>
                <w:b/>
                <w:bCs/>
                <w:color w:val="000000"/>
                <w:lang w:eastAsia="en-AU"/>
              </w:rPr>
            </w:pPr>
            <w:r w:rsidRPr="00B30EA5">
              <w:rPr>
                <w:rFonts w:eastAsia="Times New Roman"/>
                <w:b/>
                <w:bCs/>
                <w:color w:val="000000"/>
                <w:lang w:eastAsia="en-AU"/>
              </w:rPr>
              <w:t>Admission 11/12 (%)</w:t>
            </w:r>
          </w:p>
        </w:tc>
      </w:tr>
      <w:tr w:rsidR="00CA7A60" w:rsidRPr="00B30EA5" w:rsidTr="00CA7A60">
        <w:trPr>
          <w:trHeight w:val="300"/>
        </w:trPr>
        <w:tc>
          <w:tcPr>
            <w:tcW w:w="2658" w:type="pct"/>
            <w:tcBorders>
              <w:top w:val="nil"/>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 xml:space="preserve">Total </w:t>
            </w:r>
            <w:r w:rsidRPr="00941C94">
              <w:rPr>
                <w:rFonts w:eastAsia="Times New Roman"/>
                <w:bCs/>
                <w:color w:val="000000"/>
                <w:sz w:val="24"/>
                <w:szCs w:val="24"/>
                <w:lang w:eastAsia="en-AU"/>
              </w:rPr>
              <w:t>(n=25229)</w:t>
            </w:r>
          </w:p>
        </w:tc>
        <w:tc>
          <w:tcPr>
            <w:tcW w:w="781"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4110 (16.3%)</w:t>
            </w:r>
          </w:p>
        </w:tc>
        <w:tc>
          <w:tcPr>
            <w:tcW w:w="781"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3992 (15.8%)</w:t>
            </w:r>
          </w:p>
        </w:tc>
        <w:tc>
          <w:tcPr>
            <w:tcW w:w="781" w:type="pct"/>
            <w:tcBorders>
              <w:top w:val="single" w:sz="12" w:space="0" w:color="auto"/>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3931 (15.6%)</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7431B4" w:rsidP="00CA7A60">
            <w:pPr>
              <w:spacing w:after="0" w:line="240" w:lineRule="auto"/>
              <w:rPr>
                <w:rFonts w:eastAsia="Times New Roman"/>
                <w:b/>
                <w:bCs/>
                <w:color w:val="000000"/>
                <w:sz w:val="24"/>
                <w:szCs w:val="24"/>
                <w:lang w:eastAsia="en-AU"/>
              </w:rPr>
            </w:pPr>
            <w:r>
              <w:rPr>
                <w:rFonts w:eastAsia="Times New Roman"/>
                <w:b/>
                <w:bCs/>
                <w:color w:val="000000"/>
                <w:sz w:val="24"/>
                <w:szCs w:val="24"/>
                <w:lang w:eastAsia="en-AU"/>
              </w:rPr>
              <w:t>Treatment</w:t>
            </w:r>
            <w:r w:rsidR="00CA7A60" w:rsidRPr="00B30EA5">
              <w:rPr>
                <w:rFonts w:eastAsia="Times New Roman"/>
                <w:b/>
                <w:bCs/>
                <w:color w:val="000000"/>
                <w:sz w:val="24"/>
                <w:szCs w:val="24"/>
                <w:lang w:eastAsia="en-AU"/>
              </w:rPr>
              <w:t xml:space="preserve"> type</w:t>
            </w:r>
          </w:p>
        </w:tc>
        <w:tc>
          <w:tcPr>
            <w:tcW w:w="781"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Counselling (n=11919; 47.2%)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1968 (16.5%)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1921 (16.1%)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1843 (15.5%)</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withdrawal (n=1962; 7.8%)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425 (21.7%)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418 (21.3%)</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411 (20.9%)</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withdrawal (n=2582; 10.2%)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466 (18.0%)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473 (18.3%)</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416 (16.1%)</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Outreach (n=2368; 9.4%)</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303 (12.8%)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288 (12.2%)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336 (14.2%)</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Brokerage (n=3904; 15.5%)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536 (13.7%)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469 (12.0%)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495 (12.7%)</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Aboriginal services (n=733; 2.9%)</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84 (11.5%)</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96 (13.1%)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104 (14.2%)</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Specialist pharmacotherapy (n=401; 1.6%)</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94 (23.4%)</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91 (22.7%)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90 (22.4%)</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Residential rehabilitation (n=176; 0.7%)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31 (17.6%)</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30 (17.0%)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26 (14.8%)</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Supported accommodation (n=269; 1.1%)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56 (20.8%)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51 (19.0%)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51 (19.0%)</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Post withdrawal linkage (n=256; 1.0%)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39 (15.2%)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35 (13.7%)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40 (15.6%)</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Other/unknown (n=659; 2.6%)</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108 (16.4%)</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120 (18.2%)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119 (18.1%)</w:t>
            </w:r>
          </w:p>
        </w:tc>
      </w:tr>
      <w:tr w:rsidR="00CA7A60" w:rsidRPr="00B30EA5" w:rsidTr="00CA7A60">
        <w:trPr>
          <w:trHeight w:val="300"/>
        </w:trPr>
        <w:tc>
          <w:tcPr>
            <w:tcW w:w="4219" w:type="pct"/>
            <w:gridSpan w:val="3"/>
            <w:tcBorders>
              <w:top w:val="single" w:sz="4" w:space="0" w:color="auto"/>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Treatment termination status</w:t>
            </w:r>
          </w:p>
        </w:tc>
        <w:tc>
          <w:tcPr>
            <w:tcW w:w="781" w:type="pct"/>
            <w:tcBorders>
              <w:top w:val="single" w:sz="4" w:space="0" w:color="auto"/>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 </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Completed treatment (n=18690; 74.1%)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2962 (15.8%)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2855 (15.3%)</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2838 (15.2%)</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Not completed (n=6262; 24.8%)</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1103 (17.6%)</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1089 (17.4%)</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1048 (16.7%)</w:t>
            </w:r>
          </w:p>
        </w:tc>
      </w:tr>
      <w:tr w:rsidR="00CA7A60" w:rsidRPr="00B30EA5" w:rsidTr="00CA7A60">
        <w:trPr>
          <w:trHeight w:val="300"/>
        </w:trPr>
        <w:tc>
          <w:tcPr>
            <w:tcW w:w="2658" w:type="pct"/>
            <w:tcBorders>
              <w:top w:val="nil"/>
              <w:left w:val="nil"/>
              <w:bottom w:val="single" w:sz="4" w:space="0" w:color="auto"/>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(n=277; 1.1%)</w:t>
            </w:r>
          </w:p>
        </w:tc>
        <w:tc>
          <w:tcPr>
            <w:tcW w:w="781"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45 (16.2%)</w:t>
            </w:r>
          </w:p>
        </w:tc>
        <w:tc>
          <w:tcPr>
            <w:tcW w:w="781"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48 (17.3%)</w:t>
            </w:r>
          </w:p>
        </w:tc>
        <w:tc>
          <w:tcPr>
            <w:tcW w:w="781" w:type="pct"/>
            <w:tcBorders>
              <w:top w:val="nil"/>
              <w:left w:val="nil"/>
              <w:bottom w:val="single" w:sz="4"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45 (16.2%)</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b/>
                <w:bCs/>
                <w:color w:val="000000"/>
                <w:sz w:val="24"/>
                <w:szCs w:val="24"/>
                <w:lang w:eastAsia="en-AU"/>
              </w:rPr>
            </w:pPr>
            <w:r w:rsidRPr="00B30EA5">
              <w:rPr>
                <w:rFonts w:eastAsia="Times New Roman"/>
                <w:b/>
                <w:bCs/>
                <w:color w:val="000000"/>
                <w:sz w:val="24"/>
                <w:szCs w:val="24"/>
                <w:lang w:eastAsia="en-AU"/>
              </w:rPr>
              <w:t>Primary drug of concern</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Alcohol (n=11912; 47.2%)</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2036 (17.1%)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1981 (16.6%)</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1947 (16.3%)</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Cannabis (n=5663; 22.4%)</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853 (15.1%)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787 (13.9%)</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799 (14.1%)</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Heroin &amp; other opioids (n=3863; 15.3%)</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652 (16.9%)</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655 (17.0%)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637 (16.5%)</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Amphetamine &amp; other stimulants (n=2198; 8.7%)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294 (13.4%)</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284 (12.9%)</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283 (12.9%)</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Benzodiazepines &amp; other tranquillisers (n=522; 2.1%)</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94 (18.0%)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101 (19.3%)</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98 (18.8%)</w:t>
            </w:r>
          </w:p>
        </w:tc>
      </w:tr>
      <w:tr w:rsidR="00CA7A60" w:rsidRPr="00B30EA5" w:rsidTr="00CA7A60">
        <w:trPr>
          <w:trHeight w:val="300"/>
        </w:trPr>
        <w:tc>
          <w:tcPr>
            <w:tcW w:w="2658" w:type="pct"/>
            <w:tcBorders>
              <w:top w:val="nil"/>
              <w:left w:val="nil"/>
              <w:bottom w:val="nil"/>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Other (n=730; 2.9%)</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124 (17.0%)</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122 (16.7%)</w:t>
            </w:r>
          </w:p>
        </w:tc>
        <w:tc>
          <w:tcPr>
            <w:tcW w:w="781" w:type="pct"/>
            <w:tcBorders>
              <w:top w:val="nil"/>
              <w:left w:val="nil"/>
              <w:bottom w:val="nil"/>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111 (15.2%)</w:t>
            </w:r>
          </w:p>
        </w:tc>
      </w:tr>
      <w:tr w:rsidR="00CA7A60" w:rsidRPr="00B30EA5" w:rsidTr="00CA7A60">
        <w:trPr>
          <w:trHeight w:val="300"/>
        </w:trPr>
        <w:tc>
          <w:tcPr>
            <w:tcW w:w="2658" w:type="pct"/>
            <w:tcBorders>
              <w:top w:val="nil"/>
              <w:left w:val="nil"/>
              <w:bottom w:val="single" w:sz="12" w:space="0" w:color="auto"/>
              <w:right w:val="nil"/>
            </w:tcBorders>
            <w:shd w:val="clear" w:color="auto" w:fill="auto"/>
            <w:noWrap/>
            <w:vAlign w:val="center"/>
            <w:hideMark/>
          </w:tcPr>
          <w:p w:rsidR="00CA7A60" w:rsidRPr="00B30EA5" w:rsidRDefault="00CA7A60" w:rsidP="00CA7A60">
            <w:pPr>
              <w:spacing w:after="0" w:line="240" w:lineRule="auto"/>
              <w:rPr>
                <w:rFonts w:eastAsia="Times New Roman"/>
                <w:color w:val="000000"/>
                <w:lang w:eastAsia="en-AU"/>
              </w:rPr>
            </w:pPr>
            <w:r w:rsidRPr="00B30EA5">
              <w:rPr>
                <w:rFonts w:eastAsia="Times New Roman"/>
                <w:color w:val="000000"/>
                <w:lang w:eastAsia="en-AU"/>
              </w:rPr>
              <w:t>Unknown (n=341; 1.4%)</w:t>
            </w:r>
          </w:p>
        </w:tc>
        <w:tc>
          <w:tcPr>
            <w:tcW w:w="781"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57 (16.7%)</w:t>
            </w:r>
          </w:p>
        </w:tc>
        <w:tc>
          <w:tcPr>
            <w:tcW w:w="781"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62 (18.2%)</w:t>
            </w:r>
          </w:p>
        </w:tc>
        <w:tc>
          <w:tcPr>
            <w:tcW w:w="781" w:type="pct"/>
            <w:tcBorders>
              <w:top w:val="nil"/>
              <w:left w:val="nil"/>
              <w:bottom w:val="single" w:sz="12" w:space="0" w:color="auto"/>
              <w:right w:val="nil"/>
            </w:tcBorders>
            <w:shd w:val="clear" w:color="auto" w:fill="auto"/>
            <w:vAlign w:val="center"/>
            <w:hideMark/>
          </w:tcPr>
          <w:p w:rsidR="00CA7A60" w:rsidRPr="00B30EA5" w:rsidRDefault="00CA7A60" w:rsidP="00CA7A60">
            <w:pPr>
              <w:spacing w:after="0" w:line="240" w:lineRule="auto"/>
              <w:jc w:val="right"/>
              <w:rPr>
                <w:rFonts w:eastAsia="Times New Roman"/>
                <w:color w:val="000000"/>
                <w:lang w:eastAsia="en-AU"/>
              </w:rPr>
            </w:pPr>
            <w:r w:rsidRPr="00B30EA5">
              <w:rPr>
                <w:rFonts w:eastAsia="Times New Roman"/>
                <w:color w:val="000000"/>
                <w:lang w:eastAsia="en-AU"/>
              </w:rPr>
              <w:t>56 (16.4%)</w:t>
            </w:r>
          </w:p>
        </w:tc>
      </w:tr>
    </w:tbl>
    <w:p w:rsidR="00CA7A60" w:rsidRDefault="00CA7A60" w:rsidP="00A126E3">
      <w:pPr>
        <w:pStyle w:val="FAREtableheading"/>
      </w:pPr>
    </w:p>
    <w:p w:rsidR="002B7EB3" w:rsidRPr="002B7EB3" w:rsidRDefault="002B7EB3" w:rsidP="00CA7A60">
      <w:pPr>
        <w:spacing w:after="120" w:line="240" w:lineRule="auto"/>
        <w:ind w:left="1191" w:hanging="1134"/>
        <w:jc w:val="both"/>
        <w:rPr>
          <w:b/>
        </w:rPr>
      </w:pPr>
      <w:r w:rsidRPr="002B7EB3">
        <w:rPr>
          <w:b/>
        </w:rPr>
        <w:t>Summary</w:t>
      </w:r>
    </w:p>
    <w:p w:rsidR="00CA7A60" w:rsidRDefault="002B7EB3" w:rsidP="002B7EB3">
      <w:pPr>
        <w:spacing w:after="120" w:line="240" w:lineRule="auto"/>
        <w:jc w:val="both"/>
      </w:pPr>
      <w:r>
        <w:t xml:space="preserve">Overall, decreases in acute service utilisation across emergency department and hospital inpatient settings were evident in the year following treatment engagement. These reductions were found across most client demographic characteristics, treatment types and drug use characteristics. ED presentations and hospital admissions with an acute alcohol-related or other drug-related diagnosis decreased in the year following treatment engagement, as did presentations and admissions for a non-AOD-related condition, indicating improvements in both general health and also the experience of acute drug-related harm such as severe intoxication or overdose. Injury presentations and admissions also decreased following treatment engagement, with larger reductions evident for clients who had been engaged in residential rehabilitation in their index year of treatment. There was stability in ED presentations and hospital admissions in the year prior to and the year following treatment engagement for alcohol-related chronic conditions, which reflects the </w:t>
      </w:r>
      <w:r w:rsidR="00225DFE">
        <w:t>long-term</w:t>
      </w:r>
      <w:r>
        <w:t xml:space="preserve"> impacts (both morbidity and mortality) of heavy alcohol consumption even following treatment and reduction or cessation in alcohol use (Lloyd et al, 2013; Matthews et al, 2013; Heilbronn et al, in </w:t>
      </w:r>
      <w:r>
        <w:lastRenderedPageBreak/>
        <w:t>press). It is important to note that many clients were still actively engaged in treatment in the year following the index year, and the full effects of treatment may not have been captured in such a short time between service engagement and outcome. Further exploration of client trajectories within and across treatment, health and other system is necessary at a population level to enable identification of transitions and outcomes of AOD treatment engagement within and across client populations.</w:t>
      </w:r>
    </w:p>
    <w:p w:rsidR="00D34D43" w:rsidRDefault="00D34D43" w:rsidP="00D34D43">
      <w:pPr>
        <w:rPr>
          <w:lang w:val="en-GB"/>
        </w:rPr>
      </w:pPr>
    </w:p>
    <w:p w:rsidR="00D34D43" w:rsidRPr="005C7C60" w:rsidRDefault="00D34D43" w:rsidP="00D34D43">
      <w:pPr>
        <w:rPr>
          <w:lang w:val="en-GB"/>
        </w:rPr>
      </w:pPr>
    </w:p>
    <w:p w:rsidR="00D34D43" w:rsidRDefault="00D34D43" w:rsidP="00D34D43">
      <w:pPr>
        <w:spacing w:after="120" w:line="240" w:lineRule="auto"/>
        <w:ind w:left="1191" w:hanging="1134"/>
        <w:jc w:val="both"/>
        <w:rPr>
          <w:rFonts w:eastAsia="Times New Roman"/>
          <w:b/>
          <w:bCs/>
          <w:noProof/>
          <w:sz w:val="48"/>
          <w:szCs w:val="28"/>
          <w:lang w:val="en-GB"/>
        </w:rPr>
      </w:pPr>
      <w:r>
        <w:br w:type="page"/>
      </w:r>
    </w:p>
    <w:p w:rsidR="00D34D43" w:rsidRDefault="00D34D43" w:rsidP="00C2662D">
      <w:pPr>
        <w:pStyle w:val="Heading1"/>
      </w:pPr>
      <w:bookmarkStart w:id="242" w:name="_Toc398105056"/>
      <w:r>
        <w:lastRenderedPageBreak/>
        <w:t>Discussion and recommendations</w:t>
      </w:r>
      <w:bookmarkEnd w:id="242"/>
    </w:p>
    <w:p w:rsidR="00516DA3" w:rsidRPr="009D795B" w:rsidRDefault="00516DA3" w:rsidP="00EC6F31">
      <w:pPr>
        <w:pStyle w:val="FAREnormaltext"/>
      </w:pPr>
      <w:r w:rsidRPr="009D795B">
        <w:t xml:space="preserve">This multi-method project incorporated four major phases of work (a systems description, cohort study, </w:t>
      </w:r>
      <w:proofErr w:type="gramStart"/>
      <w:r w:rsidRPr="009D795B">
        <w:t>detailed</w:t>
      </w:r>
      <w:proofErr w:type="gramEnd"/>
      <w:r w:rsidRPr="009D795B">
        <w:t xml:space="preserve"> qualitative interviews and data linkage) with the aim of detailing the AOD system, its clients and their experiences, pathways and outcomes. Indeed, the Patient Pathways cohort, recruited from a wide diversity of treatment services across two states, is the largest AOD treatment outcomes study completed in Australia, with a follow-up rate of around 70%. The study is unique in terms of including a broad range of primary drugs of concern that present to the AOD treatment system, thereby allowing direct comparisons between users of both alcohol and illicit drugs, including diverted pharmaceuticals. </w:t>
      </w:r>
    </w:p>
    <w:p w:rsidR="00516DA3" w:rsidRPr="009D795B" w:rsidRDefault="00516DA3" w:rsidP="00EC6F31">
      <w:pPr>
        <w:pStyle w:val="FAREnormaltext"/>
      </w:pPr>
      <w:r w:rsidRPr="009D795B">
        <w:t>At treatment intake, the cohort reported severe substance use problems as well as substantial complexity in terms of their life situation – with high rates of homelessness, unemployment, acute health problems, including poor psychological health as well as a low quality of life and community engagement. As such, it is not surprising that the sample reported high levels of multiple service involvement, both at treatment intake and at one</w:t>
      </w:r>
      <w:r w:rsidR="00C85B93">
        <w:t>-</w:t>
      </w:r>
      <w:r w:rsidRPr="009D795B">
        <w:t xml:space="preserve">year follow-up. The sample predominantly consisted of </w:t>
      </w:r>
      <w:r w:rsidR="00657ACA">
        <w:t xml:space="preserve">participants </w:t>
      </w:r>
      <w:r w:rsidRPr="009D795B">
        <w:t xml:space="preserve">with chronic substance dependence and significant life complexity. Indeed, for the majority of the sample, </w:t>
      </w:r>
      <w:r w:rsidR="00883313">
        <w:t>PIT</w:t>
      </w:r>
      <w:r w:rsidRPr="009D795B">
        <w:t xml:space="preserve"> at recruitment was not their first experience of the specialist AOD treatment system, and the majority had lengthy addiction and treatment careers. As such, it is important to acknowledge this context when considering the positive changes id</w:t>
      </w:r>
      <w:r w:rsidR="00883313">
        <w:t>entified at the 12 month</w:t>
      </w:r>
      <w:r w:rsidRPr="009D795B">
        <w:t xml:space="preserve"> follow-up across multiple domains. </w:t>
      </w:r>
    </w:p>
    <w:p w:rsidR="00516DA3" w:rsidRPr="009D795B" w:rsidRDefault="00A4515C" w:rsidP="00EC6F31">
      <w:pPr>
        <w:pStyle w:val="FAREnormaltext"/>
      </w:pPr>
      <w:r w:rsidRPr="00EE75BE">
        <w:t>At follow-up, there were marked improvements in substance use and wellbeing across the cohort</w:t>
      </w:r>
      <w:r w:rsidR="00CA1189">
        <w:t xml:space="preserve"> as well as reductions in acute health care use</w:t>
      </w:r>
      <w:r w:rsidR="009A5B3F">
        <w:t>,</w:t>
      </w:r>
      <w:r w:rsidR="00CA1189">
        <w:t xml:space="preserve"> which </w:t>
      </w:r>
      <w:r w:rsidR="009A5B3F">
        <w:t>wa</w:t>
      </w:r>
      <w:r w:rsidR="00CA1189">
        <w:t xml:space="preserve">s also a finding of the </w:t>
      </w:r>
      <w:r w:rsidRPr="00EE75BE">
        <w:t xml:space="preserve">data linkage component. </w:t>
      </w:r>
      <w:r w:rsidR="00516DA3" w:rsidRPr="009D795B">
        <w:t>Where treatment success is defined as either achieving abstinence or a reduction in substance using days greater than 50% in the last month, 5</w:t>
      </w:r>
      <w:r w:rsidR="009A5B3F">
        <w:t>5</w:t>
      </w:r>
      <w:r w:rsidR="00516DA3" w:rsidRPr="009D795B">
        <w:t xml:space="preserve">% of the sample achieved this milestone. Furthermore, if the </w:t>
      </w:r>
      <w:r w:rsidR="00CA1189">
        <w:t xml:space="preserve">higher threshold of abstinence </w:t>
      </w:r>
      <w:r w:rsidR="00516DA3" w:rsidRPr="009D795B">
        <w:t xml:space="preserve">from their </w:t>
      </w:r>
      <w:r w:rsidR="00EE7A8F">
        <w:t>PDOC</w:t>
      </w:r>
      <w:r w:rsidR="00516DA3" w:rsidRPr="009D795B">
        <w:t xml:space="preserve"> is used, this was achieved by 37% of the overall sample who were successfully followed-up. </w:t>
      </w:r>
      <w:r w:rsidRPr="00EE75BE">
        <w:t xml:space="preserve">Whilst these treatment outcomes are likely to be inflated by the bias in follow-up (i.e. that those lost to follow are likely to have had poorer outcomes), this inherent limitation is common to all outcome studies relying on </w:t>
      </w:r>
      <w:r w:rsidR="00E64F2E">
        <w:t>participant</w:t>
      </w:r>
      <w:r w:rsidR="00E64F2E" w:rsidRPr="00EE75BE">
        <w:t xml:space="preserve"> </w:t>
      </w:r>
      <w:r w:rsidRPr="00EE75BE">
        <w:t xml:space="preserve">self-reported outcome data. </w:t>
      </w:r>
      <w:r w:rsidR="00516DA3" w:rsidRPr="009D795B">
        <w:t>Nonetheless</w:t>
      </w:r>
      <w:r w:rsidR="00883313">
        <w:t>,</w:t>
      </w:r>
      <w:r w:rsidR="00516DA3" w:rsidRPr="009D795B">
        <w:t xml:space="preserve"> rates of abstinence from </w:t>
      </w:r>
      <w:r w:rsidR="00EE7A8F">
        <w:t>PDOC</w:t>
      </w:r>
      <w:r w:rsidR="00516DA3" w:rsidRPr="009D795B">
        <w:t xml:space="preserve"> remained higher than comparable treatment studies internationally, which may reflect the short follow-up window, with 14% of the sample having achieved co</w:t>
      </w:r>
      <w:r w:rsidR="00657ACA">
        <w:t xml:space="preserve">ntinuous abstinence from their </w:t>
      </w:r>
      <w:r w:rsidR="00E64F2E">
        <w:t>PDOC</w:t>
      </w:r>
      <w:r w:rsidR="00516DA3" w:rsidRPr="009D795B">
        <w:t xml:space="preserve"> in the year before follow-up. This rate is consistent with findings from the MATES study of methamphetamine dependent users, which also reported a complete abstinence rate of 14% at one year (</w:t>
      </w:r>
      <w:proofErr w:type="spellStart"/>
      <w:r w:rsidR="00516DA3" w:rsidRPr="009D795B">
        <w:t>McKetin</w:t>
      </w:r>
      <w:proofErr w:type="spellEnd"/>
      <w:r w:rsidR="00516DA3" w:rsidRPr="009D795B">
        <w:t xml:space="preserve"> et al, 2012). In addition, 16% of the sample reported abstinence from all drugs in the past month, suggesting around </w:t>
      </w:r>
      <w:r w:rsidR="00883313">
        <w:t>one</w:t>
      </w:r>
      <w:r w:rsidR="00516DA3" w:rsidRPr="009D795B">
        <w:t xml:space="preserve"> in </w:t>
      </w:r>
      <w:r w:rsidR="00883313">
        <w:t>six</w:t>
      </w:r>
      <w:r w:rsidR="00516DA3" w:rsidRPr="009D795B">
        <w:t xml:space="preserve"> study participants who were followed up had been abstinent for at least one month. </w:t>
      </w:r>
      <w:r w:rsidR="00516DA3">
        <w:t xml:space="preserve">Taking a conservative estimate and assuming all participants lost to follow-up (excluding those deceased or incarcerated) </w:t>
      </w:r>
      <w:r w:rsidRPr="00EE75BE">
        <w:t>were still using</w:t>
      </w:r>
      <w:r w:rsidR="009A5B3F">
        <w:t xml:space="preserve"> their </w:t>
      </w:r>
      <w:r w:rsidR="00EE7A8F">
        <w:t>PDOC</w:t>
      </w:r>
      <w:r w:rsidRPr="00EE75BE">
        <w:t xml:space="preserve">, the overall past month abstinence rate from </w:t>
      </w:r>
      <w:r w:rsidR="009A5B3F">
        <w:t xml:space="preserve">their </w:t>
      </w:r>
      <w:r w:rsidR="00EE7A8F">
        <w:t>PDOC</w:t>
      </w:r>
      <w:r w:rsidRPr="00EE75BE">
        <w:t xml:space="preserve"> was 27%</w:t>
      </w:r>
      <w:r w:rsidR="009A5B3F">
        <w:t xml:space="preserve">, with a </w:t>
      </w:r>
      <w:r w:rsidRPr="00EE75BE">
        <w:t xml:space="preserve">treatment success rate </w:t>
      </w:r>
      <w:r w:rsidR="009A5B3F">
        <w:t>of</w:t>
      </w:r>
      <w:r w:rsidRPr="00EE75BE">
        <w:t xml:space="preserve"> 39%.</w:t>
      </w:r>
    </w:p>
    <w:p w:rsidR="00516DA3" w:rsidRPr="009D795B" w:rsidRDefault="00516DA3" w:rsidP="00EC6F31">
      <w:pPr>
        <w:pStyle w:val="FAREnormaltext"/>
      </w:pPr>
      <w:r w:rsidRPr="009D795B">
        <w:t xml:space="preserve">There were also significant gains in quality of life at the follow-up assessment, suggesting that engagement with specialist AOD services has an impact on wellbeing that extends beyond behavioural changes in problematic substance use. In terms of health systems, there was a significant reduction in acute health service utilisation, although the overall figure was still high, with </w:t>
      </w:r>
      <w:r w:rsidRPr="009D795B">
        <w:lastRenderedPageBreak/>
        <w:t xml:space="preserve">more than half of the sample reporting an acute health episode in the year following initial treatment engagement. </w:t>
      </w:r>
    </w:p>
    <w:p w:rsidR="00516DA3" w:rsidRDefault="00516DA3" w:rsidP="00EC6F31">
      <w:pPr>
        <w:pStyle w:val="FAREnormaltext"/>
      </w:pPr>
      <w:r w:rsidRPr="009D795B">
        <w:t>The main predictors of achieving abstinence at follow-up were completion of the index treatment</w:t>
      </w:r>
      <w:r w:rsidR="00E64F2E">
        <w:t xml:space="preserve"> (i.e. PIT)</w:t>
      </w:r>
      <w:r w:rsidRPr="009D795B">
        <w:t xml:space="preserve">, having an index treatment that included residential rehabilitation (or engaging in rehabilitation in the year before or after the PIT) and participating in mutual aid groups in the year after index treatment. Additionally, there was a dose </w:t>
      </w:r>
      <w:r w:rsidR="00E64F2E">
        <w:t>e</w:t>
      </w:r>
      <w:r w:rsidRPr="009D795B">
        <w:t xml:space="preserve">ffect for mutual aid engagement with greater frequency of meeting attendance associated with higher rates of abstinence – </w:t>
      </w:r>
      <w:r w:rsidR="00A4515C" w:rsidRPr="00EE75BE">
        <w:t>for every ten meetings attended there was an 8% increase in the likelihood of abstinence</w:t>
      </w:r>
      <w:r w:rsidR="00C6619A">
        <w:t xml:space="preserve">, which supports the finding of </w:t>
      </w:r>
      <w:proofErr w:type="spellStart"/>
      <w:r w:rsidR="00C6619A">
        <w:t>Kaskutas</w:t>
      </w:r>
      <w:proofErr w:type="spellEnd"/>
      <w:r w:rsidR="00C6619A">
        <w:t xml:space="preserve"> (2009).</w:t>
      </w:r>
      <w:r w:rsidR="00A4515C" w:rsidRPr="00EE75BE">
        <w:t xml:space="preserve"> </w:t>
      </w:r>
      <w:r w:rsidR="00902674">
        <w:t>Our study</w:t>
      </w:r>
      <w:r w:rsidR="00902674" w:rsidRPr="009D795B">
        <w:t xml:space="preserve"> </w:t>
      </w:r>
      <w:r w:rsidRPr="009D795B">
        <w:t xml:space="preserve">findings are consistent with international literature that emphasises the importance of treatment retention and completion (Simpson and Sells, 1990; </w:t>
      </w:r>
      <w:proofErr w:type="spellStart"/>
      <w:r w:rsidRPr="009D795B">
        <w:t>Gossop</w:t>
      </w:r>
      <w:proofErr w:type="spellEnd"/>
      <w:r w:rsidRPr="009D795B">
        <w:t xml:space="preserve"> et al</w:t>
      </w:r>
      <w:r w:rsidR="00883313">
        <w:t>.</w:t>
      </w:r>
      <w:r w:rsidRPr="009D795B">
        <w:t>, 2001), continuity of care (Chi et al</w:t>
      </w:r>
      <w:r w:rsidR="00883313">
        <w:t>.</w:t>
      </w:r>
      <w:r w:rsidRPr="009D795B">
        <w:t>, 2011) and the benefits of mutual aid engagement either as a stand</w:t>
      </w:r>
      <w:r w:rsidR="00883313">
        <w:t>-</w:t>
      </w:r>
      <w:r w:rsidRPr="009D795B">
        <w:t xml:space="preserve">alone form of aftercare or as an adjunctive therapy (Kelly et al, 2013). </w:t>
      </w:r>
    </w:p>
    <w:p w:rsidR="00433B1E" w:rsidRPr="009D795B" w:rsidRDefault="009B49B3" w:rsidP="00EC6F31">
      <w:pPr>
        <w:pStyle w:val="FAREnormaltext"/>
      </w:pPr>
      <w:r w:rsidRPr="00422154">
        <w:t xml:space="preserve">The finding that participants who had residential rehabilitation treatment achieved better outcomes is particularly noteworthy given their greater social disadvantage/adversity at baseline, with significantly greater rates of imprisonment, attendance at a community-based offender program, being held in </w:t>
      </w:r>
      <w:r w:rsidR="00410E52" w:rsidRPr="00422154">
        <w:t xml:space="preserve">a </w:t>
      </w:r>
      <w:r w:rsidRPr="00422154">
        <w:t xml:space="preserve">lock-up or watch-house, remanded in custody and having legal problems in the year before study entry relative to those with acute withdrawal or outpatient services as their PIT. The issue of long waiting times was raised in the qualitative interviews and so the potential to </w:t>
      </w:r>
      <w:r w:rsidR="00433B1E" w:rsidRPr="00422154">
        <w:t>increase the number of</w:t>
      </w:r>
      <w:r w:rsidRPr="00422154">
        <w:t xml:space="preserve"> residential </w:t>
      </w:r>
      <w:r w:rsidR="00433B1E" w:rsidRPr="00422154">
        <w:t>rehabilitation places</w:t>
      </w:r>
      <w:r w:rsidRPr="00422154">
        <w:t xml:space="preserve"> </w:t>
      </w:r>
      <w:r w:rsidR="00433B1E" w:rsidRPr="00422154">
        <w:t>warrants consideration</w:t>
      </w:r>
      <w:r w:rsidRPr="00422154">
        <w:t xml:space="preserve">. Whilst they are </w:t>
      </w:r>
      <w:r w:rsidR="00433B1E" w:rsidRPr="00422154">
        <w:t xml:space="preserve">significantly </w:t>
      </w:r>
      <w:r w:rsidRPr="00422154">
        <w:t>more costly, in the current study at least</w:t>
      </w:r>
      <w:r w:rsidR="00433B1E" w:rsidRPr="00422154">
        <w:t>,</w:t>
      </w:r>
      <w:r w:rsidRPr="00422154">
        <w:t xml:space="preserve"> </w:t>
      </w:r>
      <w:r w:rsidR="00410E52" w:rsidRPr="00422154">
        <w:t>they were</w:t>
      </w:r>
      <w:r w:rsidRPr="00422154">
        <w:t xml:space="preserve"> associated with better outcomes for a population</w:t>
      </w:r>
      <w:r w:rsidR="00433B1E" w:rsidRPr="00422154">
        <w:t xml:space="preserve"> more heavily involved in the criminal justice/legal system and hence </w:t>
      </w:r>
      <w:r w:rsidRPr="00422154">
        <w:t xml:space="preserve">likely to generate further costs </w:t>
      </w:r>
      <w:r w:rsidR="009B46CF" w:rsidRPr="00422154">
        <w:t>to</w:t>
      </w:r>
      <w:r w:rsidRPr="00422154">
        <w:t xml:space="preserve"> society in terms of recidivism</w:t>
      </w:r>
      <w:r w:rsidR="00433B1E" w:rsidRPr="00422154">
        <w:t>, repeated inca</w:t>
      </w:r>
      <w:r w:rsidR="009B46CF" w:rsidRPr="00422154">
        <w:t>rc</w:t>
      </w:r>
      <w:r w:rsidR="00433B1E" w:rsidRPr="00422154">
        <w:t>eration</w:t>
      </w:r>
      <w:r w:rsidR="009B46CF" w:rsidRPr="00422154">
        <w:t xml:space="preserve"> and</w:t>
      </w:r>
      <w:r w:rsidR="00433B1E" w:rsidRPr="00422154">
        <w:t xml:space="preserve"> high social dysfunction </w:t>
      </w:r>
      <w:r w:rsidRPr="00422154">
        <w:t xml:space="preserve">with </w:t>
      </w:r>
      <w:r w:rsidR="009B46CF" w:rsidRPr="00422154">
        <w:t xml:space="preserve">ongoing </w:t>
      </w:r>
      <w:r w:rsidRPr="00422154">
        <w:t xml:space="preserve">substance </w:t>
      </w:r>
      <w:r w:rsidR="009B46CF" w:rsidRPr="00422154">
        <w:t>dependence</w:t>
      </w:r>
      <w:r w:rsidRPr="00422154">
        <w:t>.</w:t>
      </w:r>
      <w:r w:rsidR="00433B1E" w:rsidRPr="00075673">
        <w:t xml:space="preserve"> </w:t>
      </w:r>
    </w:p>
    <w:p w:rsidR="00516DA3" w:rsidRPr="009D795B" w:rsidRDefault="00516DA3" w:rsidP="00EC6F31">
      <w:pPr>
        <w:pStyle w:val="FAREnormaltext"/>
      </w:pPr>
      <w:r w:rsidRPr="009D795B">
        <w:t xml:space="preserve">There are key lessons here for Australian treatment services around effective engagement and the building of therapeutic alliances to promote sufficient treatment retention to allow the impact of treatment to be experienced (Simpson, 2004), and to ensure that, in response to a chronic and relapsing condition (O’Brien and McLellan, 1995), there are adequate linkages and pathways from specialist formal settings of treatment to community-based recovery-focussed organisations. </w:t>
      </w:r>
      <w:r w:rsidR="00A4515C" w:rsidRPr="00A4515C">
        <w:t xml:space="preserve"> </w:t>
      </w:r>
      <w:r w:rsidR="00547272">
        <w:t>It is important that contin</w:t>
      </w:r>
      <w:r w:rsidR="00FC2F89">
        <w:t xml:space="preserve">ued support includes approaches that </w:t>
      </w:r>
      <w:r w:rsidR="00547272">
        <w:t xml:space="preserve">are responsive to the client </w:t>
      </w:r>
      <w:r w:rsidR="009A5B3F">
        <w:t>with the aim of supporting</w:t>
      </w:r>
      <w:r w:rsidR="00547272">
        <w:t xml:space="preserve"> them </w:t>
      </w:r>
      <w:r w:rsidR="009A5B3F">
        <w:t>to complete</w:t>
      </w:r>
      <w:r w:rsidR="00547272">
        <w:t xml:space="preserve"> treatment </w:t>
      </w:r>
      <w:r w:rsidR="009A5B3F">
        <w:t xml:space="preserve">as well as engaging in </w:t>
      </w:r>
      <w:r w:rsidR="00FC2F89">
        <w:t xml:space="preserve">ongoing aftercare. </w:t>
      </w:r>
      <w:r w:rsidR="00C6619A">
        <w:t xml:space="preserve">Previous research has identified scepticism among AOD </w:t>
      </w:r>
      <w:r w:rsidR="00547272">
        <w:t>specialist</w:t>
      </w:r>
      <w:r w:rsidR="00C6619A">
        <w:t xml:space="preserve"> workers</w:t>
      </w:r>
      <w:r w:rsidR="00547272">
        <w:t xml:space="preserve"> on the benefits of m</w:t>
      </w:r>
      <w:r w:rsidR="00C6619A">
        <w:t>utual</w:t>
      </w:r>
      <w:r w:rsidR="009A5B3F">
        <w:t xml:space="preserve"> </w:t>
      </w:r>
      <w:r w:rsidR="00C6619A">
        <w:t>aid</w:t>
      </w:r>
      <w:r w:rsidR="00547272">
        <w:t xml:space="preserve"> </w:t>
      </w:r>
      <w:r w:rsidR="009A5B3F">
        <w:t>(</w:t>
      </w:r>
      <w:r w:rsidR="00547272" w:rsidRPr="00EE75BE">
        <w:t>Day et al, 2010; Gaston-Lopez et al, 201</w:t>
      </w:r>
      <w:r w:rsidR="00075673">
        <w:t>0</w:t>
      </w:r>
      <w:r w:rsidR="00547272" w:rsidRPr="00EE75BE">
        <w:t>)</w:t>
      </w:r>
      <w:r w:rsidR="009A5B3F">
        <w:t>,</w:t>
      </w:r>
      <w:r w:rsidR="00547272">
        <w:t xml:space="preserve"> and therefore </w:t>
      </w:r>
      <w:r w:rsidR="009A5B3F">
        <w:t xml:space="preserve">providing workforce training that </w:t>
      </w:r>
      <w:r w:rsidR="00C6619A">
        <w:t>o</w:t>
      </w:r>
      <w:r w:rsidR="00A4515C" w:rsidRPr="00EE75BE">
        <w:t>vercom</w:t>
      </w:r>
      <w:r w:rsidR="009A5B3F">
        <w:t>es</w:t>
      </w:r>
      <w:r w:rsidR="00A4515C" w:rsidRPr="00EE75BE">
        <w:t xml:space="preserve"> </w:t>
      </w:r>
      <w:r w:rsidR="009A5B3F">
        <w:t xml:space="preserve">worker </w:t>
      </w:r>
      <w:r w:rsidR="00A4515C" w:rsidRPr="00EE75BE">
        <w:t xml:space="preserve">resistance is critical </w:t>
      </w:r>
      <w:r w:rsidR="009A5B3F">
        <w:t>to</w:t>
      </w:r>
      <w:r w:rsidR="009A5B3F" w:rsidRPr="00EE75BE">
        <w:t xml:space="preserve"> </w:t>
      </w:r>
      <w:r w:rsidR="00A4515C" w:rsidRPr="00EE75BE">
        <w:t>ensuring effective pathways to ongoing community support</w:t>
      </w:r>
      <w:r w:rsidR="009A5B3F">
        <w:t xml:space="preserve">. </w:t>
      </w:r>
      <w:r w:rsidR="00B75E62">
        <w:t xml:space="preserve">Indeed, </w:t>
      </w:r>
      <w:r w:rsidR="009A5B3F">
        <w:t xml:space="preserve"> </w:t>
      </w:r>
      <w:r w:rsidR="00B75E62">
        <w:t xml:space="preserve">active linkage to peer support has been identified as an effective pathway by international research </w:t>
      </w:r>
      <w:r w:rsidR="009A5B3F">
        <w:t>(</w:t>
      </w:r>
      <w:proofErr w:type="spellStart"/>
      <w:r w:rsidR="00B75E62">
        <w:t>Timko</w:t>
      </w:r>
      <w:proofErr w:type="spellEnd"/>
      <w:r w:rsidR="00B75E62">
        <w:t xml:space="preserve"> et al., 2006; Manning et al., 2012</w:t>
      </w:r>
      <w:r w:rsidR="007B7602">
        <w:t xml:space="preserve">, </w:t>
      </w:r>
      <w:proofErr w:type="spellStart"/>
      <w:r w:rsidR="007B7602">
        <w:t>Kaskutas</w:t>
      </w:r>
      <w:proofErr w:type="spellEnd"/>
      <w:r w:rsidR="007B7602">
        <w:t xml:space="preserve"> et al, 2009</w:t>
      </w:r>
      <w:r w:rsidR="00B75E62">
        <w:t xml:space="preserve">), and is </w:t>
      </w:r>
      <w:r w:rsidR="009A5B3F">
        <w:t>considered</w:t>
      </w:r>
      <w:r w:rsidR="00A4515C" w:rsidRPr="00EE75BE">
        <w:t xml:space="preserve"> an important component of an integrated treatment system (White, 2009). </w:t>
      </w:r>
    </w:p>
    <w:p w:rsidR="00516DA3" w:rsidRPr="009D795B" w:rsidRDefault="00516DA3" w:rsidP="00EC6F31">
      <w:pPr>
        <w:pStyle w:val="FAREnormaltext"/>
      </w:pPr>
      <w:r w:rsidRPr="009D795B">
        <w:t>The current findings also provide a strong Australian evidence base demonstrating the effectiveness of residential rehabilitation programs</w:t>
      </w:r>
      <w:r w:rsidR="000238A3">
        <w:t xml:space="preserve"> in reducing substance use</w:t>
      </w:r>
      <w:r w:rsidR="00EE5C01">
        <w:t>,</w:t>
      </w:r>
      <w:r w:rsidRPr="009D795B">
        <w:t xml:space="preserve"> and </w:t>
      </w:r>
      <w:r w:rsidR="00902674">
        <w:t>are</w:t>
      </w:r>
      <w:r w:rsidR="00902674" w:rsidRPr="009D795B">
        <w:t xml:space="preserve"> </w:t>
      </w:r>
      <w:r w:rsidRPr="009D795B">
        <w:t>consistent with a growing international literature that is supportive</w:t>
      </w:r>
      <w:r w:rsidRPr="009D795B" w:rsidDel="001B5E4E">
        <w:t xml:space="preserve"> </w:t>
      </w:r>
      <w:r w:rsidRPr="009D795B">
        <w:t xml:space="preserve">of </w:t>
      </w:r>
      <w:r w:rsidR="000238A3">
        <w:t>this treatment modality</w:t>
      </w:r>
      <w:r w:rsidRPr="009D795B">
        <w:t xml:space="preserve"> (e</w:t>
      </w:r>
      <w:r w:rsidR="000238A3">
        <w:t>.</w:t>
      </w:r>
      <w:r w:rsidRPr="009D795B">
        <w:t>g</w:t>
      </w:r>
      <w:r w:rsidR="000238A3">
        <w:t>.</w:t>
      </w:r>
      <w:r w:rsidRPr="009D795B">
        <w:t xml:space="preserve"> </w:t>
      </w:r>
      <w:proofErr w:type="spellStart"/>
      <w:r w:rsidR="00225DFE" w:rsidRPr="00571053">
        <w:t>Vanderplasschen</w:t>
      </w:r>
      <w:proofErr w:type="spellEnd"/>
      <w:r w:rsidR="00225DFE">
        <w:t xml:space="preserve"> et al.,</w:t>
      </w:r>
      <w:r w:rsidRPr="009D795B">
        <w:t xml:space="preserve"> 2014). Both MATES and ATOS demonstrated preferential outcomes among clients who had engaged with rehabilitation (</w:t>
      </w:r>
      <w:proofErr w:type="spellStart"/>
      <w:r w:rsidRPr="009D795B">
        <w:t>McKetin</w:t>
      </w:r>
      <w:proofErr w:type="spellEnd"/>
      <w:r w:rsidRPr="009D795B">
        <w:t xml:space="preserve"> et al</w:t>
      </w:r>
      <w:r w:rsidR="00883313">
        <w:t>.</w:t>
      </w:r>
      <w:r w:rsidRPr="009D795B">
        <w:t xml:space="preserve">, 2012; </w:t>
      </w:r>
      <w:proofErr w:type="spellStart"/>
      <w:r w:rsidR="00EE5C01">
        <w:t>Teesson</w:t>
      </w:r>
      <w:proofErr w:type="spellEnd"/>
      <w:r w:rsidR="00EE5C01">
        <w:t xml:space="preserve"> et al., 2008</w:t>
      </w:r>
      <w:r w:rsidRPr="009D795B">
        <w:t>). In the UK NTORS outcome study, where residential services were grouped together (</w:t>
      </w:r>
      <w:r w:rsidR="00F35DB0">
        <w:t>inpatient</w:t>
      </w:r>
      <w:r w:rsidRPr="009D795B">
        <w:t xml:space="preserve"> </w:t>
      </w:r>
      <w:r w:rsidR="007B22D2">
        <w:t>withdrawal</w:t>
      </w:r>
      <w:r w:rsidRPr="009D795B">
        <w:t xml:space="preserve"> as well as residential </w:t>
      </w:r>
      <w:r w:rsidRPr="009D795B">
        <w:lastRenderedPageBreak/>
        <w:t>rehabilitation), around half of the residential clients maintained abstinence from their primary substance over the subsequent follow-up periods of the study</w:t>
      </w:r>
      <w:r w:rsidR="00FC2F89">
        <w:t xml:space="preserve"> spanning up to five years</w:t>
      </w:r>
      <w:r w:rsidRPr="009D795B">
        <w:t xml:space="preserve">. There is a strong argument from the Pathways study that for </w:t>
      </w:r>
      <w:r w:rsidR="00EE5C01">
        <w:t xml:space="preserve">complex </w:t>
      </w:r>
      <w:r w:rsidRPr="009D795B">
        <w:t>clients</w:t>
      </w:r>
      <w:r w:rsidR="00EE5C01">
        <w:t>,</w:t>
      </w:r>
      <w:r w:rsidRPr="009D795B">
        <w:t xml:space="preserve"> rehabilitation will play a significant role in </w:t>
      </w:r>
      <w:r w:rsidR="00EE5C01">
        <w:t>their treatment</w:t>
      </w:r>
      <w:r w:rsidRPr="009D795B">
        <w:t xml:space="preserve"> and is the modality most likely to help them achieve </w:t>
      </w:r>
      <w:r w:rsidR="00EE5C01">
        <w:t>abstinence and improved wellbeing.</w:t>
      </w:r>
      <w:r w:rsidRPr="009D795B">
        <w:t xml:space="preserve"> This is consistent with both the model of service – clients will go to residential services knowing that they are generally abstinence-oriented – and that, in developmental terms, a period of residential stay can be a sufficient ‘turning point’ in a developmental trajectory (Best, 2014). </w:t>
      </w:r>
      <w:r w:rsidR="00A56D46">
        <w:t>However given the higher cost of residential rehabilitation, it is importa</w:t>
      </w:r>
      <w:r w:rsidR="00883313">
        <w:t>nt to identify alternative cost-</w:t>
      </w:r>
      <w:r w:rsidR="00A56D46">
        <w:t xml:space="preserve">effective models of care and integration within the community. </w:t>
      </w:r>
    </w:p>
    <w:p w:rsidR="009B5612" w:rsidRDefault="00516DA3" w:rsidP="00EC6F31">
      <w:pPr>
        <w:pStyle w:val="FAREnormaltext"/>
      </w:pPr>
      <w:r w:rsidRPr="009D795B">
        <w:t>What the current study did not successfully demonstrate was that integrated treatment across different service types – such as engagement in housing, employment services and other community support services translate</w:t>
      </w:r>
      <w:r w:rsidR="00A56D46">
        <w:t>s</w:t>
      </w:r>
      <w:r w:rsidRPr="009D795B">
        <w:t xml:space="preserve"> into better outcomes. </w:t>
      </w:r>
      <w:r w:rsidR="009B5612">
        <w:t>However</w:t>
      </w:r>
      <w:r w:rsidR="00EE5C01">
        <w:t>,</w:t>
      </w:r>
      <w:r w:rsidR="009B5612">
        <w:t xml:space="preserve"> this </w:t>
      </w:r>
      <w:r w:rsidRPr="009D795B">
        <w:t>finding that should be treated with caution as our ability to map the nature, timing and duration of integrated treatment was limited</w:t>
      </w:r>
      <w:r w:rsidR="009B5612">
        <w:t xml:space="preserve"> and restricted to the </w:t>
      </w:r>
      <w:r w:rsidR="00A56D46">
        <w:t>year following their PIT</w:t>
      </w:r>
      <w:r w:rsidR="009B5612">
        <w:t xml:space="preserve">. It is possible that the benefit of engagement in community health and welfare services will influence </w:t>
      </w:r>
      <w:r w:rsidR="00F35F74">
        <w:t xml:space="preserve">substance use </w:t>
      </w:r>
      <w:r w:rsidR="009B5612">
        <w:t>outcomes in subsequent years</w:t>
      </w:r>
      <w:r w:rsidR="00EE5C01">
        <w:t>,</w:t>
      </w:r>
      <w:r w:rsidR="009B5612">
        <w:t xml:space="preserve"> as </w:t>
      </w:r>
      <w:r w:rsidR="00F3342D">
        <w:t xml:space="preserve">is supported by </w:t>
      </w:r>
      <w:r w:rsidR="00EE5C01">
        <w:t xml:space="preserve">US </w:t>
      </w:r>
      <w:r w:rsidR="00F3342D">
        <w:t>data which demonstrates the effectiveness of a</w:t>
      </w:r>
      <w:r w:rsidR="00EE5C01">
        <w:t xml:space="preserve"> </w:t>
      </w:r>
      <w:r w:rsidR="009B5612" w:rsidRPr="009D795B">
        <w:t>contin</w:t>
      </w:r>
      <w:r w:rsidR="00EE5C01">
        <w:t>uing</w:t>
      </w:r>
      <w:r w:rsidR="009B5612" w:rsidRPr="009D795B">
        <w:t xml:space="preserve"> care </w:t>
      </w:r>
      <w:r w:rsidR="00EE5C01">
        <w:t xml:space="preserve">model </w:t>
      </w:r>
      <w:r w:rsidR="009B5612" w:rsidRPr="009D795B">
        <w:t xml:space="preserve">(involving GP visits, ongoing AOD specialist treatment and support from psychiatric services where needed) </w:t>
      </w:r>
      <w:r w:rsidR="00F3342D">
        <w:t xml:space="preserve">on substance use outcomes </w:t>
      </w:r>
      <w:r w:rsidR="009B5612">
        <w:t>at nine years</w:t>
      </w:r>
      <w:r w:rsidR="00EE5C01">
        <w:t xml:space="preserve"> follow-up</w:t>
      </w:r>
      <w:r w:rsidR="009B5612">
        <w:t xml:space="preserve"> (Chi </w:t>
      </w:r>
      <w:r w:rsidR="00F35F74">
        <w:t xml:space="preserve">&amp; </w:t>
      </w:r>
      <w:proofErr w:type="spellStart"/>
      <w:r w:rsidR="00F35F74">
        <w:t>Weisner</w:t>
      </w:r>
      <w:proofErr w:type="spellEnd"/>
      <w:r w:rsidR="009B5612">
        <w:t>, 20</w:t>
      </w:r>
      <w:r w:rsidR="00F35F74">
        <w:t xml:space="preserve">08). </w:t>
      </w:r>
    </w:p>
    <w:p w:rsidR="00516DA3" w:rsidRPr="009D795B" w:rsidRDefault="00516DA3" w:rsidP="00EC6F31">
      <w:pPr>
        <w:pStyle w:val="FAREnormaltext"/>
      </w:pPr>
      <w:r w:rsidRPr="009D795B">
        <w:t xml:space="preserve">It is important to note that there were differences in outcomes by </w:t>
      </w:r>
      <w:r w:rsidR="008E37C2">
        <w:t>PDOC</w:t>
      </w:r>
      <w:r w:rsidRPr="009D795B">
        <w:t xml:space="preserve">, with </w:t>
      </w:r>
      <w:r w:rsidR="00657ACA">
        <w:t>participant</w:t>
      </w:r>
      <w:r w:rsidRPr="009D795B">
        <w:t xml:space="preserve">s with alcohol problems showing markedly poorer outcomes. </w:t>
      </w:r>
      <w:r w:rsidR="00E45B4B">
        <w:t xml:space="preserve">It is likely that characteristics associated with alcohol–dependent </w:t>
      </w:r>
      <w:r w:rsidR="00657ACA">
        <w:t>individuals</w:t>
      </w:r>
      <w:r w:rsidR="00E45B4B">
        <w:t xml:space="preserve"> presenting to treatment</w:t>
      </w:r>
      <w:r w:rsidR="00883313">
        <w:t>,</w:t>
      </w:r>
      <w:r w:rsidR="00E45B4B">
        <w:t xml:space="preserve"> such as </w:t>
      </w:r>
      <w:r w:rsidR="00F3342D">
        <w:t xml:space="preserve">them </w:t>
      </w:r>
      <w:r w:rsidR="00E45B4B">
        <w:t>being older</w:t>
      </w:r>
      <w:r w:rsidR="00F3342D">
        <w:t xml:space="preserve"> and</w:t>
      </w:r>
      <w:r w:rsidR="00E45B4B">
        <w:t xml:space="preserve"> </w:t>
      </w:r>
      <w:r w:rsidR="00F3342D">
        <w:t xml:space="preserve">experiencing alcohol-related </w:t>
      </w:r>
      <w:r w:rsidR="00E45B4B">
        <w:t>cognitive impairment</w:t>
      </w:r>
      <w:r w:rsidR="00F3342D">
        <w:t>s</w:t>
      </w:r>
      <w:r w:rsidR="00E45B4B">
        <w:t xml:space="preserve"> </w:t>
      </w:r>
      <w:r w:rsidR="006D7277">
        <w:t>(</w:t>
      </w:r>
      <w:proofErr w:type="spellStart"/>
      <w:r w:rsidR="006D7277">
        <w:t>Stavro</w:t>
      </w:r>
      <w:proofErr w:type="spellEnd"/>
      <w:r w:rsidR="006D7277">
        <w:t xml:space="preserve"> et al</w:t>
      </w:r>
      <w:r w:rsidR="00883313">
        <w:t>.,</w:t>
      </w:r>
      <w:r w:rsidR="006D7277">
        <w:t xml:space="preserve"> </w:t>
      </w:r>
      <w:r w:rsidR="00E45B4B">
        <w:t>2013)</w:t>
      </w:r>
      <w:r w:rsidR="00F3342D">
        <w:t>,</w:t>
      </w:r>
      <w:r w:rsidR="00E45B4B">
        <w:t xml:space="preserve"> as well as the pervasive nature of alcohol and its greater social acceptability relative to</w:t>
      </w:r>
      <w:r w:rsidR="006D7277">
        <w:t xml:space="preserve"> illicit</w:t>
      </w:r>
      <w:r w:rsidR="00E45B4B">
        <w:t xml:space="preserve"> drugs</w:t>
      </w:r>
      <w:r w:rsidR="00F3342D">
        <w:t>,</w:t>
      </w:r>
      <w:r w:rsidR="00E45B4B">
        <w:t xml:space="preserve"> pose particular challenges for this group.</w:t>
      </w:r>
      <w:r w:rsidR="006D7277">
        <w:t xml:space="preserve"> </w:t>
      </w:r>
      <w:r w:rsidR="008E37C2">
        <w:t>Individuals in</w:t>
      </w:r>
      <w:r w:rsidR="004C17BA">
        <w:t xml:space="preserve"> t</w:t>
      </w:r>
      <w:r w:rsidRPr="009D795B">
        <w:t xml:space="preserve">his </w:t>
      </w:r>
      <w:r w:rsidR="006D7277">
        <w:t xml:space="preserve">group were also significantly higher users </w:t>
      </w:r>
      <w:r w:rsidRPr="009D795B">
        <w:t xml:space="preserve">of acute services – a finding supported by the data linkage component of the project, which also showed greater health service utilisation among individuals </w:t>
      </w:r>
      <w:r w:rsidR="00F3342D">
        <w:t>with alcohol problems</w:t>
      </w:r>
      <w:r w:rsidRPr="009D795B">
        <w:t xml:space="preserve">. In spite of this effect, </w:t>
      </w:r>
      <w:r w:rsidR="00657ACA">
        <w:t>participants</w:t>
      </w:r>
      <w:r w:rsidRPr="009D795B">
        <w:t xml:space="preserve"> with a primary alcohol concern did show a more robust benefit from receiving an ‘optimal care pathway’ that involved completion of the </w:t>
      </w:r>
      <w:r w:rsidR="008E37C2">
        <w:t>index treatment</w:t>
      </w:r>
      <w:r w:rsidRPr="009D795B">
        <w:t xml:space="preserve">, continuity of care, adequate engagement with community services and engagement in mutual aid groups. Although the overall gain for </w:t>
      </w:r>
      <w:r w:rsidR="00657ACA">
        <w:t xml:space="preserve">participants </w:t>
      </w:r>
      <w:r w:rsidRPr="009D795B">
        <w:t>with alcohol problems was less consistent than for those with primary drug concerns, those who received an optimal pathway of care demonstrated signi</w:t>
      </w:r>
      <w:r w:rsidR="00342103">
        <w:t>ficantly greater improvements in terms of abstinence rates</w:t>
      </w:r>
      <w:r w:rsidRPr="009D795B">
        <w:t xml:space="preserve"> than those who did not. </w:t>
      </w:r>
      <w:r w:rsidR="00342103">
        <w:t xml:space="preserve">The findings suggest that individuals </w:t>
      </w:r>
      <w:r w:rsidRPr="009D795B">
        <w:t xml:space="preserve">with primary alcohol concerns require intensive treatment packages to support their treatment journeys and recovery pathways. </w:t>
      </w:r>
    </w:p>
    <w:p w:rsidR="00F4145F" w:rsidRPr="00EC6F31" w:rsidRDefault="00516DA3" w:rsidP="00EC6F31">
      <w:pPr>
        <w:pStyle w:val="FAREnormaltext"/>
      </w:pPr>
      <w:r w:rsidRPr="009D795B">
        <w:t xml:space="preserve">The data demonstrated positive outcomes for </w:t>
      </w:r>
      <w:r w:rsidR="00657ACA">
        <w:t>participants</w:t>
      </w:r>
      <w:r w:rsidRPr="009D795B">
        <w:t xml:space="preserve"> whose primary drug of concern was </w:t>
      </w:r>
      <w:r w:rsidR="008E37C2">
        <w:t>meth/</w:t>
      </w:r>
      <w:r w:rsidRPr="009D795B">
        <w:t xml:space="preserve">amphetamine (mainly methamphetamine). At the follow-up interview, more than one quarter of participants who cited </w:t>
      </w:r>
      <w:r w:rsidR="00087D81">
        <w:t>meth</w:t>
      </w:r>
      <w:r w:rsidR="00BF5005">
        <w:t>/</w:t>
      </w:r>
      <w:r w:rsidR="00B473EE">
        <w:t>amphetamine</w:t>
      </w:r>
      <w:r w:rsidRPr="009D795B">
        <w:t xml:space="preserve"> as their </w:t>
      </w:r>
      <w:r w:rsidR="00725504">
        <w:t>PDOC</w:t>
      </w:r>
      <w:r w:rsidRPr="009D795B">
        <w:t xml:space="preserve"> reported no use of the drug since the index treatment. This rate is markedly higher than the 14% reported by </w:t>
      </w:r>
      <w:proofErr w:type="spellStart"/>
      <w:r w:rsidRPr="009D795B">
        <w:t>McKetin</w:t>
      </w:r>
      <w:proofErr w:type="spellEnd"/>
      <w:r w:rsidRPr="009D795B">
        <w:t xml:space="preserve"> and coll</w:t>
      </w:r>
      <w:r w:rsidR="00D57802">
        <w:t xml:space="preserve">eagues in 2012, though it was reported </w:t>
      </w:r>
      <w:r w:rsidRPr="009D795B">
        <w:t xml:space="preserve">that rehabilitation treatment was associated with elevated rates of abstinence, consistent with the findings of the Pathways study. Given the </w:t>
      </w:r>
      <w:r w:rsidRPr="00410E52">
        <w:t xml:space="preserve">increasing rates of </w:t>
      </w:r>
      <w:r w:rsidR="00342103" w:rsidRPr="00DF4E2B">
        <w:t>meth</w:t>
      </w:r>
      <w:r w:rsidR="00BF5005">
        <w:t>/</w:t>
      </w:r>
      <w:r w:rsidRPr="00DF4E2B">
        <w:t>amphetamine</w:t>
      </w:r>
      <w:r w:rsidR="00342103" w:rsidRPr="00DF4E2B">
        <w:t xml:space="preserve"> use</w:t>
      </w:r>
      <w:r w:rsidRPr="00DF4E2B">
        <w:t xml:space="preserve"> in Australia, and the public concern around individual and comm</w:t>
      </w:r>
      <w:r w:rsidRPr="00410E52">
        <w:t xml:space="preserve">unity harms associated with use of this class of drugs, it is encouraging that there are </w:t>
      </w:r>
      <w:r w:rsidR="00145301" w:rsidRPr="00EC6F31">
        <w:t xml:space="preserve">consistently positive findings for </w:t>
      </w:r>
      <w:r w:rsidR="00BF5005" w:rsidRPr="00EC6F31">
        <w:t>meth/</w:t>
      </w:r>
      <w:r w:rsidR="00145301" w:rsidRPr="00EC6F31">
        <w:t xml:space="preserve">amphetamine users, both in terms of abstinence and reduced use. The Australian </w:t>
      </w:r>
      <w:r w:rsidR="00145301" w:rsidRPr="00EC6F31">
        <w:lastRenderedPageBreak/>
        <w:t xml:space="preserve">Crime Commission (2014) reports that as a result of its relative accessibility, affordability and destructive side-effects, methamphetamine (ice) use </w:t>
      </w:r>
      <w:proofErr w:type="gramStart"/>
      <w:r w:rsidR="00145301" w:rsidRPr="00EC6F31">
        <w:t>is</w:t>
      </w:r>
      <w:proofErr w:type="gramEnd"/>
      <w:r w:rsidR="00145301" w:rsidRPr="00EC6F31">
        <w:t xml:space="preserve"> considered a national concern. This suggests the need to assertively promote treatment engagement for this population with stronger marketing around the effectiveness of treatment to the general population.</w:t>
      </w:r>
    </w:p>
    <w:p w:rsidR="00516DA3" w:rsidRPr="009D795B" w:rsidRDefault="00145301" w:rsidP="00EC6F31">
      <w:pPr>
        <w:pStyle w:val="FAREnormaltext"/>
      </w:pPr>
      <w:r w:rsidRPr="00EC6F31">
        <w:t>There is also some evidence from both the qualitative and quantitative phases of the project that</w:t>
      </w:r>
      <w:r w:rsidR="00516DA3" w:rsidRPr="009D795B">
        <w:t xml:space="preserve"> one of the key components of an effective treatment model is </w:t>
      </w:r>
      <w:r w:rsidR="00F4145F">
        <w:t>efficient</w:t>
      </w:r>
      <w:r w:rsidR="00516DA3" w:rsidRPr="009D795B">
        <w:t xml:space="preserve"> coordination</w:t>
      </w:r>
      <w:r w:rsidR="00F4145F">
        <w:t xml:space="preserve"> of service integration</w:t>
      </w:r>
      <w:r w:rsidR="00516DA3" w:rsidRPr="009D795B">
        <w:t xml:space="preserve">. While completion of treatment and continuity of care were indicated as key factors in predicting positive outcomes, the qualitative data suggests that this may be linked to ongoing care coordination (in particular in the periods after completion of acute interventions) underpinned by a strong and ongoing therapeutic alliance. The </w:t>
      </w:r>
      <w:r w:rsidR="00657ACA">
        <w:t xml:space="preserve">cohort </w:t>
      </w:r>
      <w:r w:rsidR="00516DA3" w:rsidRPr="009D795B">
        <w:t>in the current study were involved in a diverse</w:t>
      </w:r>
      <w:r w:rsidR="00883313">
        <w:t>,</w:t>
      </w:r>
      <w:r w:rsidR="00516DA3" w:rsidRPr="009D795B">
        <w:t xml:space="preserve"> and at times</w:t>
      </w:r>
      <w:r w:rsidR="00883313">
        <w:t>,</w:t>
      </w:r>
      <w:r w:rsidR="00516DA3" w:rsidRPr="009D795B">
        <w:t xml:space="preserve"> bewildering array of services across the range of helping professions, and our qualitative findings indicate that </w:t>
      </w:r>
      <w:r w:rsidR="00657ACA">
        <w:t>participants</w:t>
      </w:r>
      <w:r w:rsidR="00516DA3" w:rsidRPr="009D795B">
        <w:t xml:space="preserve"> wanted greater support in navigating the system. This is not a counselling role but a coordination one in which the client’s needs are monitored by a care coordinator whose role is to identity and support the client to engage effectively and in a timely manner with the most appropriate services. </w:t>
      </w:r>
    </w:p>
    <w:p w:rsidR="00516DA3" w:rsidRDefault="00516DA3" w:rsidP="00EC6F31">
      <w:pPr>
        <w:pStyle w:val="FAREnormaltext"/>
      </w:pPr>
      <w:r w:rsidRPr="009D795B">
        <w:t>Although the linkage component of the study was conducted in only one state</w:t>
      </w:r>
      <w:r w:rsidR="00883313">
        <w:t xml:space="preserve"> (Victoria)</w:t>
      </w:r>
      <w:r w:rsidRPr="009D795B">
        <w:t xml:space="preserve">, </w:t>
      </w:r>
      <w:r w:rsidR="00F4145F">
        <w:t xml:space="preserve">it remains </w:t>
      </w:r>
      <w:r w:rsidRPr="009D795B">
        <w:t xml:space="preserve">a key strength of the overall study design as it links individual experience and self-report to both objective markers of harm and to the benefits of treatment for a much larger and diverse treatment population – including all clients engaging in AOD treatment over the course of a year. Indeed, consistent with the cohort data, the linkage component identified significant decreases in service utilisation across emergency department (ED) and hospital inpatient settings in the year following treatment engagement. These reductions in acute service use were found across most </w:t>
      </w:r>
      <w:r w:rsidR="00A0703A">
        <w:t xml:space="preserve">participant </w:t>
      </w:r>
      <w:r w:rsidRPr="009D795B">
        <w:t>demographic characteristics, treatment types and drug use characteristics</w:t>
      </w:r>
      <w:r w:rsidR="00FE6018">
        <w:t xml:space="preserve">, though were most evident among those who had received </w:t>
      </w:r>
      <w:r w:rsidR="00225DFE">
        <w:t>long-term</w:t>
      </w:r>
      <w:r w:rsidR="00FE6018">
        <w:t xml:space="preserve"> residential treatment as their PIT</w:t>
      </w:r>
      <w:r w:rsidRPr="009D795B">
        <w:t xml:space="preserve">. </w:t>
      </w:r>
    </w:p>
    <w:p w:rsidR="00766D3F" w:rsidRPr="009D795B" w:rsidRDefault="00766D3F" w:rsidP="00EC6F31">
      <w:pPr>
        <w:pStyle w:val="FAREnormaltext"/>
      </w:pPr>
      <w:r>
        <w:t>Among the four subpopulations of AOD clients present</w:t>
      </w:r>
      <w:r w:rsidR="00DF4E2B">
        <w:t>ing</w:t>
      </w:r>
      <w:r>
        <w:t xml:space="preserve"> with risk factors of </w:t>
      </w:r>
      <w:proofErr w:type="spellStart"/>
      <w:r>
        <w:t>polydrug</w:t>
      </w:r>
      <w:proofErr w:type="spellEnd"/>
      <w:r>
        <w:t xml:space="preserve"> use on entry to AOD treatment, recent injecting drug use history, homeless status on entry into treatment, and forensic status on entry into treatment, overall reductions in ED and hospital utilisation were found following treatment engagement</w:t>
      </w:r>
      <w:r w:rsidR="003A0345">
        <w:t>. This finding</w:t>
      </w:r>
      <w:r w:rsidR="00A316C8">
        <w:t xml:space="preserve"> </w:t>
      </w:r>
      <w:r>
        <w:t>suggests that the effects of treatment on improving health and wellbeing, and reducing health system costs are sustained for patients presenting at higher risk of potential harm than the general AOD treatment population. It is important to acknowledge that there were varying levels of reduction of ED and hospital utilisation within these groups when specific treatment, drug use and sociodemographic characteristics were examined, which offers opportunities for consideration of targeted approaches to identify and respond to risk for specific groups within these higher risk populations (refer to data linkage supplementary report for results for the subpopulation analyses).</w:t>
      </w:r>
    </w:p>
    <w:p w:rsidR="00516DA3" w:rsidRPr="009D795B" w:rsidRDefault="00516DA3" w:rsidP="00EC6F31">
      <w:pPr>
        <w:pStyle w:val="FAREnormaltext"/>
      </w:pPr>
      <w:r w:rsidRPr="009D795B">
        <w:t xml:space="preserve">ED presentations and hospital admissions with an acute alcohol-related or other drug-related diagnosis decreased in the year following treatment engagement, as did presentations and admissions for a non-AOD-related condition, indicating improvements in both general health and also the experience of acute drug-related harm, such as severe intoxication or overdose. Injury presentations and admissions also decreased following treatment engagement, with larger reductions evident for clients who had been engaged in residential rehabilitation in their index year of treatment. There was stability in ED presentations and hospital admissions in the year prior to and </w:t>
      </w:r>
      <w:r w:rsidRPr="009D795B">
        <w:lastRenderedPageBreak/>
        <w:t xml:space="preserve">the year following treatment engagement for alcohol-related chronic conditions, which reflects the </w:t>
      </w:r>
      <w:r w:rsidR="00225DFE">
        <w:t>long-term</w:t>
      </w:r>
      <w:r w:rsidRPr="009D795B">
        <w:t xml:space="preserve"> impacts (both morbidity and mortality) of heavy alcohol consumption even following treatment and reduction or cessation in alcohol use (Lloyd et al</w:t>
      </w:r>
      <w:r w:rsidR="00883313">
        <w:t>.</w:t>
      </w:r>
      <w:r w:rsidRPr="009D795B">
        <w:t>, 2013; Matthews et al</w:t>
      </w:r>
      <w:r w:rsidR="00883313">
        <w:t>.</w:t>
      </w:r>
      <w:r w:rsidRPr="009D795B">
        <w:t>, 2013; Heilbronn et al</w:t>
      </w:r>
      <w:r w:rsidR="00883313">
        <w:t>.</w:t>
      </w:r>
      <w:r w:rsidRPr="009D795B">
        <w:t xml:space="preserve">, in press). </w:t>
      </w:r>
    </w:p>
    <w:p w:rsidR="00516DA3" w:rsidRPr="009D795B" w:rsidRDefault="00516DA3" w:rsidP="00EC6F31">
      <w:pPr>
        <w:pStyle w:val="FAREnormaltext"/>
      </w:pPr>
      <w:r w:rsidRPr="009D795B">
        <w:t>It is important to note that many clients were still actively engaged in treatment in the year following the index year, and the full effects of treatment may not have been captured in such a short time between service engagement and the measurement of outcome. Further exploration of client trajectories within and across treatment, health and other systems is necessary at a population level to enable identification of the transitions and outcomes of AOD treatment engagement within and across differing client populations. Below we recommend further waves of data collection to test the longevity of benefits reported here, and there are clear opportunities to supplement and enhance direct patient assessment across multiple waves and through linkage of health and community service system data.</w:t>
      </w:r>
    </w:p>
    <w:p w:rsidR="007B7602" w:rsidRPr="00EC6F31" w:rsidRDefault="00516DA3" w:rsidP="00EC6F31">
      <w:pPr>
        <w:pStyle w:val="FAREnormaltext"/>
      </w:pPr>
      <w:r w:rsidRPr="009D795B">
        <w:t xml:space="preserve">There are a number of important limitations that must be considered when interpreting the </w:t>
      </w:r>
      <w:r w:rsidR="00FE6018">
        <w:t xml:space="preserve">findings of the Pathways study. The overarching positive finding that AOD treatment is effective must be </w:t>
      </w:r>
      <w:r w:rsidR="00FE6018" w:rsidRPr="00DF4E2B">
        <w:t xml:space="preserve">interpreted with </w:t>
      </w:r>
      <w:r w:rsidR="00A03F8A" w:rsidRPr="00DF4E2B">
        <w:t xml:space="preserve">caution given the absence of a no-treatment control group. </w:t>
      </w:r>
      <w:r w:rsidRPr="00DF4E2B">
        <w:t xml:space="preserve">Whilst </w:t>
      </w:r>
      <w:r w:rsidR="009B46CF" w:rsidRPr="00EC6F31">
        <w:t>the Victorian sample of pathways participants were broadly representative of the Victorian treatment population in terms of gender and age and PDOC, they were not representative of the treatment modality due to an over-sampling of residential</w:t>
      </w:r>
      <w:r w:rsidR="003A0345">
        <w:t xml:space="preserve"> services</w:t>
      </w:r>
      <w:r w:rsidR="009B46CF" w:rsidRPr="00EC6F31">
        <w:t xml:space="preserve"> and an under-sampling of community outpatients. Table 2.1 shows the breakdown of treatment type by jurisdiction on the year prior to recruitment. Inpatient withdrawal accounted for 44% of the pathways cohort and yet only 20% of all Victorian and 8% of all WA treatment episodes. Residential rehabilitation accounted for 29% of the pathways cohort and yet only 3% of all Victorian data and 6% of all WA treatment episodes. Outpatient counselling accounted for only 27% of the pathways cohort, but 51% of all Victorian and 63% of all WA treatment episodes. As such, </w:t>
      </w:r>
      <w:r w:rsidRPr="00DF4E2B">
        <w:t>those in residential treatment were over-represented</w:t>
      </w:r>
      <w:r w:rsidR="009B46CF" w:rsidRPr="00DF4E2B">
        <w:t xml:space="preserve"> in the current sample</w:t>
      </w:r>
      <w:r w:rsidRPr="00DF4E2B">
        <w:t>, because of their greater accessibility and availability for successful recruitment and</w:t>
      </w:r>
      <w:r w:rsidRPr="009D795B">
        <w:t xml:space="preserve"> completion of baseline interviews. </w:t>
      </w:r>
      <w:r w:rsidR="009B46CF">
        <w:t>O</w:t>
      </w:r>
      <w:r w:rsidRPr="009D795B">
        <w:t xml:space="preserve">utpatient counselling clients who agreed to participate </w:t>
      </w:r>
      <w:r w:rsidR="009B46CF">
        <w:t xml:space="preserve">and </w:t>
      </w:r>
      <w:r w:rsidRPr="009D795B">
        <w:t xml:space="preserve">actually attended the interview appointment may </w:t>
      </w:r>
      <w:r w:rsidR="009B46CF">
        <w:t xml:space="preserve">also </w:t>
      </w:r>
      <w:r w:rsidRPr="009D795B">
        <w:t xml:space="preserve">represent a more </w:t>
      </w:r>
      <w:r w:rsidR="00145301" w:rsidRPr="00EC6F31">
        <w:t xml:space="preserve">stable end of the spectrum and hence the findings may not be equally representative of the broader treatment-seeking population within each of the modalities. </w:t>
      </w:r>
    </w:p>
    <w:p w:rsidR="00BD2BFC" w:rsidRDefault="00516DA3" w:rsidP="00EC6F31">
      <w:pPr>
        <w:pStyle w:val="FAREnormaltext"/>
      </w:pPr>
      <w:r w:rsidRPr="009D795B">
        <w:t xml:space="preserve">The </w:t>
      </w:r>
      <w:r w:rsidR="003E52DF">
        <w:t>participant</w:t>
      </w:r>
      <w:r w:rsidR="003E52DF" w:rsidRPr="009D795B">
        <w:t xml:space="preserve"> </w:t>
      </w:r>
      <w:r w:rsidRPr="009D795B">
        <w:t xml:space="preserve">retention rate of just </w:t>
      </w:r>
      <w:proofErr w:type="gramStart"/>
      <w:r w:rsidRPr="009D795B">
        <w:t>under</w:t>
      </w:r>
      <w:proofErr w:type="gramEnd"/>
      <w:r w:rsidRPr="009D795B">
        <w:t xml:space="preserve"> 70% is acceptable but we have no linkage data for the </w:t>
      </w:r>
      <w:r w:rsidR="003E52DF">
        <w:t>those</w:t>
      </w:r>
      <w:r w:rsidR="003E52DF" w:rsidRPr="009D795B">
        <w:t xml:space="preserve"> </w:t>
      </w:r>
      <w:r w:rsidRPr="009D795B">
        <w:t xml:space="preserve">who could not be followed up, and consequently, the positive response to treatment engagement may be inflated since it is based only on </w:t>
      </w:r>
      <w:r w:rsidR="003E52DF">
        <w:t>participants</w:t>
      </w:r>
      <w:r w:rsidR="003E52DF" w:rsidRPr="009D795B">
        <w:t xml:space="preserve"> </w:t>
      </w:r>
      <w:r w:rsidRPr="009D795B">
        <w:t xml:space="preserve">willing to be re-interviewed. A major study limitation is the missed opportunity of consenting </w:t>
      </w:r>
      <w:r w:rsidR="003E52DF">
        <w:t>participants</w:t>
      </w:r>
      <w:r w:rsidR="003E52DF" w:rsidRPr="009D795B">
        <w:t xml:space="preserve"> </w:t>
      </w:r>
      <w:r w:rsidRPr="009D795B">
        <w:t xml:space="preserve">at intake for linkage of their service utilisation data across systems which would have significantly strengthened the study findings and enabled service engagement pathways to be explored for </w:t>
      </w:r>
      <w:r w:rsidR="003E52DF">
        <w:t>participants</w:t>
      </w:r>
      <w:r w:rsidR="003E52DF" w:rsidRPr="009D795B">
        <w:t xml:space="preserve"> </w:t>
      </w:r>
      <w:r w:rsidRPr="009D795B">
        <w:t>who could not be followed up, as well as providing detailed information on objective indicators of harm. It was also n</w:t>
      </w:r>
      <w:r w:rsidR="00883313">
        <w:t xml:space="preserve">ot possible to test the </w:t>
      </w:r>
      <w:r w:rsidR="003E52DF">
        <w:t>participant</w:t>
      </w:r>
      <w:r w:rsidR="00883313">
        <w:t>-level findings against system-</w:t>
      </w:r>
      <w:r w:rsidRPr="009D795B">
        <w:t xml:space="preserve">level factors of treatment processes and pathways. </w:t>
      </w:r>
    </w:p>
    <w:p w:rsidR="00FD58DF" w:rsidRDefault="00BD2BFC" w:rsidP="00EC6F31">
      <w:pPr>
        <w:pStyle w:val="FAREnormaltext"/>
      </w:pPr>
      <w:r>
        <w:t>A</w:t>
      </w:r>
      <w:r w:rsidR="00F3342D">
        <w:t xml:space="preserve"> further</w:t>
      </w:r>
      <w:r w:rsidR="00516DA3" w:rsidRPr="009D795B">
        <w:t xml:space="preserve"> limitation is that the design and method of the follow-up did not enable us to </w:t>
      </w:r>
      <w:r>
        <w:t>thoroughly examine</w:t>
      </w:r>
      <w:r w:rsidR="00516DA3" w:rsidRPr="009D795B">
        <w:t xml:space="preserve"> sequences of service engagement – either prior to baseline or between baseline and follow-up</w:t>
      </w:r>
      <w:r w:rsidR="00F3342D">
        <w:t>,</w:t>
      </w:r>
      <w:r w:rsidR="00516DA3" w:rsidRPr="009D795B">
        <w:t xml:space="preserve"> and so our ability to report on optimal pathways is </w:t>
      </w:r>
      <w:r>
        <w:t xml:space="preserve">somewhat </w:t>
      </w:r>
      <w:r w:rsidR="00516DA3" w:rsidRPr="009D795B">
        <w:t>limited. Furthermore</w:t>
      </w:r>
      <w:r w:rsidR="00F3342D">
        <w:t>,</w:t>
      </w:r>
      <w:r w:rsidR="00516DA3" w:rsidRPr="009D795B">
        <w:t xml:space="preserve"> the </w:t>
      </w:r>
      <w:r w:rsidR="00516DA3" w:rsidRPr="009D795B">
        <w:lastRenderedPageBreak/>
        <w:t xml:space="preserve">reliability/accuracy of self-reported data on AOD, community health and welfare and acute medical service use over the course of a one-year period is not known and may have been susceptible to recall bias, </w:t>
      </w:r>
      <w:r w:rsidR="00C641F7">
        <w:t xml:space="preserve">particularly </w:t>
      </w:r>
      <w:r w:rsidR="00516DA3" w:rsidRPr="009D795B">
        <w:t>in the qualitative interviews w</w:t>
      </w:r>
      <w:r w:rsidR="00C641F7">
        <w:t>h</w:t>
      </w:r>
      <w:r w:rsidR="00516DA3" w:rsidRPr="009D795B">
        <w:t>ere clients were asked to recall their exper</w:t>
      </w:r>
      <w:r w:rsidR="00EC6F31">
        <w:t xml:space="preserve">ience over the past two years. </w:t>
      </w:r>
      <w:r w:rsidR="00516DA3" w:rsidRPr="009D795B">
        <w:t xml:space="preserve">Despite intentional sampling of both treatment successes and failures for the qualitative interviews, more than two-thirds of those interviewed reported </w:t>
      </w:r>
      <w:r w:rsidR="00516DA3" w:rsidRPr="00DF4E2B">
        <w:t xml:space="preserve">treatment successes and hence their data could portray a more positive experience of treatment. The question of how to best measure integrated pathways remains outstanding, and will be an important one for future projects of this kind. The high levels of multi-agency engagement in this cohort at both baseline and follow-up would suggest the importance of mapping intensity and sequencing of multi-agency engagement, and there is additional work to be done in this area. </w:t>
      </w:r>
      <w:r w:rsidR="00DB55DC" w:rsidRPr="00DF4E2B">
        <w:t xml:space="preserve"> One final limitation to highlight was that a standardised measure of mental disorder or symptom</w:t>
      </w:r>
      <w:r w:rsidR="009B46CF" w:rsidRPr="00422154">
        <w:t>atology</w:t>
      </w:r>
      <w:r w:rsidR="00DB55DC" w:rsidRPr="00422154">
        <w:t xml:space="preserve"> was not included in the </w:t>
      </w:r>
      <w:r w:rsidR="00FC746F" w:rsidRPr="00422154">
        <w:t>interview assessmen</w:t>
      </w:r>
      <w:r w:rsidR="009B46CF" w:rsidRPr="00422154">
        <w:t>t</w:t>
      </w:r>
      <w:r w:rsidR="00DB55DC" w:rsidRPr="00422154">
        <w:t xml:space="preserve"> battery. Whilst the WHO-QOL psychological domain served as a proxy measure of poor psychological health</w:t>
      </w:r>
      <w:r w:rsidR="00FC746F" w:rsidRPr="00422154">
        <w:t>, it would have been useful given the high prevalence of co-morbid psychiatric conditions among treatment seeking AOD clients</w:t>
      </w:r>
      <w:r w:rsidR="00EC6F31">
        <w:t xml:space="preserve"> (</w:t>
      </w:r>
      <w:proofErr w:type="spellStart"/>
      <w:r w:rsidR="00EC6F31">
        <w:t>Teesson</w:t>
      </w:r>
      <w:proofErr w:type="spellEnd"/>
      <w:r w:rsidR="00EC6F31">
        <w:t>, Slade, &amp; Mills, 2009)</w:t>
      </w:r>
      <w:r w:rsidR="0039205D" w:rsidRPr="00422154">
        <w:t xml:space="preserve"> </w:t>
      </w:r>
      <w:r w:rsidR="00FC746F" w:rsidRPr="00422154">
        <w:t>to have understood which conditions (e.g</w:t>
      </w:r>
      <w:r w:rsidR="009B46CF" w:rsidRPr="00422154">
        <w:t>.,</w:t>
      </w:r>
      <w:r w:rsidR="00FC746F" w:rsidRPr="00422154">
        <w:t xml:space="preserve"> personality disorder, PTSD, major depression </w:t>
      </w:r>
      <w:proofErr w:type="spellStart"/>
      <w:r w:rsidR="00FC746F" w:rsidRPr="00422154">
        <w:t>etc</w:t>
      </w:r>
      <w:proofErr w:type="spellEnd"/>
      <w:r w:rsidR="00FC746F" w:rsidRPr="00422154">
        <w:t>) were associated with poorer outcomes with</w:t>
      </w:r>
      <w:r w:rsidR="009B46CF" w:rsidRPr="00422154">
        <w:t>in</w:t>
      </w:r>
      <w:r w:rsidR="00FC746F" w:rsidRPr="00422154">
        <w:t xml:space="preserve"> the different treatment pathways</w:t>
      </w:r>
      <w:r w:rsidR="009B46CF" w:rsidRPr="00422154">
        <w:t>.</w:t>
      </w:r>
      <w:r w:rsidR="00FC746F" w:rsidRPr="00422154">
        <w:t xml:space="preserve"> The fact that the presence of unmet need in terms of psychological health (meaning an abnormal </w:t>
      </w:r>
      <w:proofErr w:type="spellStart"/>
      <w:r w:rsidR="00FC746F" w:rsidRPr="00422154">
        <w:t>QoL</w:t>
      </w:r>
      <w:proofErr w:type="spellEnd"/>
      <w:r w:rsidR="00FC746F" w:rsidRPr="00422154">
        <w:t xml:space="preserve"> and not attending mental health services post-PIT) had little influence on outcome may be due to its </w:t>
      </w:r>
      <w:r w:rsidR="001A1C23" w:rsidRPr="00422154">
        <w:t xml:space="preserve">(poor) </w:t>
      </w:r>
      <w:r w:rsidR="00FC746F" w:rsidRPr="00422154">
        <w:t>measurement using this tool.</w:t>
      </w:r>
      <w:r w:rsidR="00FC746F">
        <w:t xml:space="preserve"> </w:t>
      </w:r>
    </w:p>
    <w:p w:rsidR="007B7602" w:rsidRPr="009D795B" w:rsidRDefault="00516DA3" w:rsidP="00EC6F31">
      <w:pPr>
        <w:pStyle w:val="FAREnormaltext"/>
      </w:pPr>
      <w:r w:rsidRPr="009D795B">
        <w:t xml:space="preserve">Despite these limitations, the Pathways study constitutes the largest client outcome study undertaken in Australia with a </w:t>
      </w:r>
      <w:r w:rsidR="00C641F7">
        <w:t>respectable follow-up</w:t>
      </w:r>
      <w:r w:rsidRPr="009D795B">
        <w:t xml:space="preserve"> rate. Further</w:t>
      </w:r>
      <w:r w:rsidR="00C641F7">
        <w:t>,</w:t>
      </w:r>
      <w:r w:rsidRPr="009D795B">
        <w:t xml:space="preserve"> the inclusion of a diverse range of treatment-seeking individuals, across different treatment types</w:t>
      </w:r>
      <w:r w:rsidR="00C641F7">
        <w:t xml:space="preserve"> and</w:t>
      </w:r>
      <w:r w:rsidRPr="009D795B">
        <w:t xml:space="preserve"> drugs of concern</w:t>
      </w:r>
      <w:r w:rsidR="00C641F7">
        <w:t>,</w:t>
      </w:r>
      <w:r w:rsidRPr="009D795B">
        <w:t xml:space="preserve"> provides valuable new information that addresses a significant </w:t>
      </w:r>
      <w:r w:rsidR="00C641F7">
        <w:t xml:space="preserve">evidence </w:t>
      </w:r>
      <w:r w:rsidRPr="009D795B">
        <w:t xml:space="preserve">gap within </w:t>
      </w:r>
      <w:r w:rsidR="00C641F7">
        <w:t>the</w:t>
      </w:r>
      <w:r w:rsidR="00C641F7" w:rsidRPr="009D795B">
        <w:t xml:space="preserve"> </w:t>
      </w:r>
      <w:r w:rsidRPr="009D795B">
        <w:t xml:space="preserve">Australian context. </w:t>
      </w:r>
      <w:r w:rsidRPr="00422154">
        <w:t xml:space="preserve">For these reasons, there are significant </w:t>
      </w:r>
      <w:r w:rsidR="00C641F7" w:rsidRPr="00422154">
        <w:t xml:space="preserve">implications for </w:t>
      </w:r>
      <w:r w:rsidR="00883313" w:rsidRPr="00422154">
        <w:t>policy and practice</w:t>
      </w:r>
      <w:r w:rsidRPr="00422154">
        <w:t xml:space="preserve">. </w:t>
      </w:r>
      <w:r w:rsidR="00DF4E2B" w:rsidRPr="00422154">
        <w:t xml:space="preserve">As argued previously by </w:t>
      </w:r>
      <w:proofErr w:type="spellStart"/>
      <w:r w:rsidR="00DF4E2B" w:rsidRPr="00422154">
        <w:t>Babor</w:t>
      </w:r>
      <w:proofErr w:type="spellEnd"/>
      <w:r w:rsidR="00DF4E2B" w:rsidRPr="00422154">
        <w:t xml:space="preserve"> et al. (2010</w:t>
      </w:r>
      <w:r w:rsidR="002F3076">
        <w:t>, p. 248</w:t>
      </w:r>
      <w:r w:rsidR="00DF4E2B" w:rsidRPr="00422154">
        <w:t>), “</w:t>
      </w:r>
      <w:r w:rsidR="007B7602" w:rsidRPr="00422154">
        <w:t>Policymakers who focus only on decisions about individual service programmes will usually find that they have limited impact on the outcomes they wish to produce. In contrast, policymakers who think and act at a systems level, and do so in light of the emerging evidence based on the nature and impact of systems, have a much greater likelihood of making a significant contribution to ameliorating drug problems at both the individual and population level.”</w:t>
      </w:r>
    </w:p>
    <w:p w:rsidR="00516DA3" w:rsidRDefault="00516DA3" w:rsidP="00D92E6D">
      <w:pPr>
        <w:pStyle w:val="FAREnormaltext"/>
      </w:pPr>
      <w:r w:rsidRPr="009D795B">
        <w:t xml:space="preserve">Conclusions: The Patient Pathways program of research has been innovative in </w:t>
      </w:r>
      <w:r w:rsidR="00C641F7">
        <w:t>its adoption of</w:t>
      </w:r>
      <w:r w:rsidR="00C641F7" w:rsidRPr="009D795B">
        <w:t xml:space="preserve"> </w:t>
      </w:r>
      <w:r w:rsidR="00C641F7">
        <w:t>a multi-method</w:t>
      </w:r>
      <w:r w:rsidRPr="009D795B">
        <w:t xml:space="preserve"> approach – a systems approach to mapping the structures and processes of specialist AOD treatment and delivery at a jurisdictional level; a cohort study involving recruitment and follow-up of 800 alcohol and drug users in treatment, and supplemented by in-depth qualitative interviews of a sub-sample; and analysis of treatment effectiveness using linked ED presentations and hospital admissions for all individuals engaged in specialist treatment in Victoria over </w:t>
      </w:r>
      <w:r w:rsidR="00883313">
        <w:t>three</w:t>
      </w:r>
      <w:r w:rsidRPr="009D795B">
        <w:t xml:space="preserve"> years. The qualitative and quantitative cohort data and the linkage analysis provide a consistently positive message about treatment effectiveness that demonstrate clear gains in wellbeing, as well as reductions in substance use and acute health service</w:t>
      </w:r>
      <w:r w:rsidRPr="009D795B" w:rsidDel="00D74BCB">
        <w:t xml:space="preserve"> </w:t>
      </w:r>
      <w:r w:rsidRPr="009D795B">
        <w:t xml:space="preserve">utilisation. This is particularly likely to occur if rehabilitation occurs at some point in the window of analysis, the index treatment is completed, and the individual goes on to engage in mutual aid in the community. The results are particularly encouraging for primary users of amphetamine type stimulants. However, the picture is not universally positive – around half of the sample showed either no or small reductions in their substance use despite ongoing involvement with specialist AOD and other forms of professional help services. Improvements in employment and housing were limited and there was considerable </w:t>
      </w:r>
      <w:r w:rsidRPr="009D795B">
        <w:lastRenderedPageBreak/>
        <w:t xml:space="preserve">ongoing utilisation of acute health services. These problems are particularly </w:t>
      </w:r>
      <w:r w:rsidR="00C641F7">
        <w:t>prevalent among</w:t>
      </w:r>
      <w:r w:rsidRPr="009D795B">
        <w:t xml:space="preserve"> </w:t>
      </w:r>
      <w:r w:rsidR="002F3076">
        <w:t>participants</w:t>
      </w:r>
      <w:r w:rsidR="002F3076" w:rsidRPr="009D795B">
        <w:t xml:space="preserve"> </w:t>
      </w:r>
      <w:r w:rsidRPr="009D795B">
        <w:t xml:space="preserve">with primary alcohol problems – who benefit most from </w:t>
      </w:r>
      <w:r w:rsidR="00C641F7">
        <w:t>optimal care pathways</w:t>
      </w:r>
      <w:r w:rsidRPr="009D795B">
        <w:t xml:space="preserve">. Further testing of this and equivalent samples are required, both to test the durability of the positive effects reported and to allow us to refine and develop the underlying conceptual framework. </w:t>
      </w:r>
    </w:p>
    <w:p w:rsidR="0026107A" w:rsidRDefault="00607AAF" w:rsidP="00574C59">
      <w:pPr>
        <w:pStyle w:val="FAREH2Nbr"/>
      </w:pPr>
      <w:r w:rsidRPr="0026107A">
        <w:t xml:space="preserve"> </w:t>
      </w:r>
      <w:bookmarkStart w:id="243" w:name="_Toc398105057"/>
      <w:r w:rsidRPr="0026107A">
        <w:t>Recommendations</w:t>
      </w:r>
      <w:bookmarkEnd w:id="243"/>
      <w:r w:rsidRPr="0026107A">
        <w:t xml:space="preserve"> </w:t>
      </w:r>
    </w:p>
    <w:p w:rsidR="00422154" w:rsidRPr="00F1574B" w:rsidRDefault="00422154" w:rsidP="00422154">
      <w:pPr>
        <w:tabs>
          <w:tab w:val="left" w:pos="2246"/>
        </w:tabs>
        <w:spacing w:line="240" w:lineRule="auto"/>
        <w:rPr>
          <w:b/>
        </w:rPr>
      </w:pPr>
      <w:r w:rsidRPr="00F1574B">
        <w:rPr>
          <w:b/>
        </w:rPr>
        <w:t xml:space="preserve">Recommendations </w:t>
      </w:r>
      <w:r>
        <w:rPr>
          <w:b/>
        </w:rPr>
        <w:t>for promoting treatment and supporting best practice</w:t>
      </w:r>
    </w:p>
    <w:p w:rsidR="00422154" w:rsidRPr="00A273D8" w:rsidRDefault="00422154" w:rsidP="00422154">
      <w:pPr>
        <w:pStyle w:val="ListParagraph"/>
        <w:numPr>
          <w:ilvl w:val="0"/>
          <w:numId w:val="47"/>
        </w:numPr>
        <w:spacing w:after="80" w:line="240" w:lineRule="auto"/>
        <w:jc w:val="both"/>
        <w:rPr>
          <w:rFonts w:asciiTheme="minorHAnsi" w:eastAsia="SimSun" w:hAnsiTheme="minorHAnsi" w:cs="Arial"/>
          <w:sz w:val="22"/>
        </w:rPr>
      </w:pPr>
      <w:r w:rsidRPr="00A273D8">
        <w:rPr>
          <w:rFonts w:asciiTheme="minorHAnsi" w:eastAsia="SimSun" w:hAnsiTheme="minorHAnsi" w:cs="Arial"/>
          <w:i/>
          <w:sz w:val="22"/>
        </w:rPr>
        <w:t>Promote the importance and benefit of accessing AOD treatment and strengthen pathways into treatment</w:t>
      </w:r>
      <w:r w:rsidRPr="00A273D8">
        <w:rPr>
          <w:rFonts w:asciiTheme="minorHAnsi" w:eastAsia="SimSun" w:hAnsiTheme="minorHAnsi" w:cs="Arial"/>
          <w:sz w:val="22"/>
        </w:rPr>
        <w:t>. Findings from the client survey, qualitative</w:t>
      </w:r>
      <w:r>
        <w:rPr>
          <w:rFonts w:asciiTheme="minorHAnsi" w:eastAsia="SimSun" w:hAnsiTheme="minorHAnsi" w:cs="Arial"/>
          <w:sz w:val="22"/>
        </w:rPr>
        <w:t xml:space="preserve"> </w:t>
      </w:r>
      <w:r w:rsidRPr="0020320C">
        <w:rPr>
          <w:rFonts w:asciiTheme="minorHAnsi" w:eastAsia="SimSun" w:hAnsiTheme="minorHAnsi" w:cs="Arial"/>
          <w:sz w:val="22"/>
        </w:rPr>
        <w:t xml:space="preserve">and linkage data </w:t>
      </w:r>
      <w:r>
        <w:rPr>
          <w:rFonts w:asciiTheme="minorHAnsi" w:eastAsia="SimSun" w:hAnsiTheme="minorHAnsi" w:cs="Arial"/>
          <w:sz w:val="22"/>
        </w:rPr>
        <w:t>i</w:t>
      </w:r>
      <w:r w:rsidRPr="00A273D8">
        <w:rPr>
          <w:rFonts w:asciiTheme="minorHAnsi" w:eastAsia="SimSun" w:hAnsiTheme="minorHAnsi" w:cs="Arial"/>
          <w:sz w:val="22"/>
        </w:rPr>
        <w:t>llustrate that engagement with AOD treatment significantly reduces problematic substance use, improves quality of life, and reduces utilisation of acute health services. These findings are critically important for promoting clinician and client confidence. Such evidence is also important for inspiring greater optimism about the value of treatment and recovery</w:t>
      </w:r>
      <w:r>
        <w:rPr>
          <w:rStyle w:val="FootnoteReference"/>
          <w:rFonts w:asciiTheme="minorHAnsi" w:eastAsia="SimSun" w:hAnsiTheme="minorHAnsi" w:cs="Arial"/>
          <w:sz w:val="22"/>
        </w:rPr>
        <w:footnoteReference w:id="7"/>
      </w:r>
      <w:r>
        <w:rPr>
          <w:rFonts w:asciiTheme="minorHAnsi" w:eastAsia="SimSun" w:hAnsiTheme="minorHAnsi" w:cs="Arial"/>
          <w:sz w:val="22"/>
        </w:rPr>
        <w:t xml:space="preserve"> </w:t>
      </w:r>
      <w:r w:rsidRPr="00A273D8">
        <w:rPr>
          <w:rFonts w:asciiTheme="minorHAnsi" w:eastAsia="SimSun" w:hAnsiTheme="minorHAnsi" w:cs="Arial"/>
          <w:sz w:val="22"/>
        </w:rPr>
        <w:t>prognoses for affected families and communities, as well as key linked professions and services, such as housing, justice and mental health.</w:t>
      </w:r>
      <w:r w:rsidR="004212FD">
        <w:rPr>
          <w:rFonts w:asciiTheme="minorHAnsi" w:eastAsia="SimSun" w:hAnsiTheme="minorHAnsi" w:cs="Arial"/>
          <w:sz w:val="22"/>
        </w:rPr>
        <w:t xml:space="preserve"> </w:t>
      </w:r>
    </w:p>
    <w:p w:rsidR="00422154" w:rsidRDefault="00422154" w:rsidP="00422154">
      <w:pPr>
        <w:pStyle w:val="ListParagraph"/>
        <w:spacing w:after="80" w:line="240" w:lineRule="auto"/>
        <w:jc w:val="both"/>
        <w:rPr>
          <w:rFonts w:asciiTheme="minorHAnsi" w:eastAsia="SimSun" w:hAnsiTheme="minorHAnsi" w:cs="Arial"/>
          <w:sz w:val="22"/>
        </w:rPr>
      </w:pPr>
    </w:p>
    <w:p w:rsidR="00422154" w:rsidRDefault="00422154" w:rsidP="00422154">
      <w:pPr>
        <w:pStyle w:val="ListParagraph"/>
        <w:numPr>
          <w:ilvl w:val="0"/>
          <w:numId w:val="47"/>
        </w:numPr>
        <w:spacing w:after="80" w:line="240" w:lineRule="auto"/>
        <w:jc w:val="both"/>
        <w:rPr>
          <w:rFonts w:asciiTheme="minorHAnsi" w:eastAsia="SimSun" w:hAnsiTheme="minorHAnsi" w:cs="Arial"/>
          <w:sz w:val="22"/>
        </w:rPr>
      </w:pPr>
      <w:r>
        <w:rPr>
          <w:rFonts w:asciiTheme="minorHAnsi" w:eastAsia="SimSun" w:hAnsiTheme="minorHAnsi" w:cs="Arial"/>
          <w:i/>
          <w:sz w:val="22"/>
        </w:rPr>
        <w:t>(a) Promote</w:t>
      </w:r>
      <w:r w:rsidRPr="006A7CC4">
        <w:rPr>
          <w:rFonts w:asciiTheme="minorHAnsi" w:eastAsia="SimSun" w:hAnsiTheme="minorHAnsi" w:cs="Arial"/>
          <w:i/>
          <w:sz w:val="22"/>
        </w:rPr>
        <w:t xml:space="preserve"> </w:t>
      </w:r>
      <w:r>
        <w:rPr>
          <w:rFonts w:asciiTheme="minorHAnsi" w:eastAsia="SimSun" w:hAnsiTheme="minorHAnsi" w:cs="Arial"/>
          <w:i/>
          <w:sz w:val="22"/>
        </w:rPr>
        <w:t>workforce models</w:t>
      </w:r>
      <w:r w:rsidRPr="006A7CC4">
        <w:rPr>
          <w:rFonts w:asciiTheme="minorHAnsi" w:eastAsia="SimSun" w:hAnsiTheme="minorHAnsi" w:cs="Arial"/>
          <w:i/>
          <w:sz w:val="22"/>
        </w:rPr>
        <w:t xml:space="preserve"> </w:t>
      </w:r>
      <w:r>
        <w:rPr>
          <w:rFonts w:asciiTheme="minorHAnsi" w:eastAsia="SimSun" w:hAnsiTheme="minorHAnsi" w:cs="Arial"/>
          <w:i/>
          <w:sz w:val="22"/>
        </w:rPr>
        <w:t>that</w:t>
      </w:r>
      <w:r w:rsidRPr="006A7CC4">
        <w:rPr>
          <w:rFonts w:asciiTheme="minorHAnsi" w:eastAsia="SimSun" w:hAnsiTheme="minorHAnsi" w:cs="Arial"/>
          <w:i/>
          <w:sz w:val="22"/>
        </w:rPr>
        <w:t xml:space="preserve"> </w:t>
      </w:r>
      <w:r>
        <w:rPr>
          <w:rFonts w:asciiTheme="minorHAnsi" w:eastAsia="SimSun" w:hAnsiTheme="minorHAnsi" w:cs="Arial"/>
          <w:i/>
          <w:sz w:val="22"/>
        </w:rPr>
        <w:t>enhance</w:t>
      </w:r>
      <w:r w:rsidRPr="006A7CC4">
        <w:rPr>
          <w:rFonts w:asciiTheme="minorHAnsi" w:eastAsia="SimSun" w:hAnsiTheme="minorHAnsi" w:cs="Arial"/>
          <w:i/>
          <w:sz w:val="22"/>
        </w:rPr>
        <w:t xml:space="preserve"> rates of treatment completion.</w:t>
      </w:r>
      <w:r w:rsidRPr="006A7CC4">
        <w:rPr>
          <w:rFonts w:asciiTheme="minorHAnsi" w:eastAsia="SimSun" w:hAnsiTheme="minorHAnsi" w:cs="Arial"/>
          <w:sz w:val="22"/>
        </w:rPr>
        <w:t xml:space="preserve">  </w:t>
      </w:r>
      <w:r>
        <w:rPr>
          <w:rFonts w:asciiTheme="minorHAnsi" w:eastAsia="SimSun" w:hAnsiTheme="minorHAnsi" w:cs="Arial"/>
          <w:sz w:val="22"/>
        </w:rPr>
        <w:t>Given that treatment completion was a robust predictor of client outcomes, em</w:t>
      </w:r>
      <w:r w:rsidRPr="006A7CC4">
        <w:rPr>
          <w:rFonts w:asciiTheme="minorHAnsi" w:eastAsia="SimSun" w:hAnsiTheme="minorHAnsi" w:cs="Arial"/>
          <w:sz w:val="22"/>
        </w:rPr>
        <w:t xml:space="preserve">phasis should be </w:t>
      </w:r>
      <w:r>
        <w:rPr>
          <w:rFonts w:asciiTheme="minorHAnsi" w:eastAsia="SimSun" w:hAnsiTheme="minorHAnsi" w:cs="Arial"/>
          <w:sz w:val="22"/>
        </w:rPr>
        <w:t>placed</w:t>
      </w:r>
      <w:r w:rsidRPr="006A7CC4">
        <w:rPr>
          <w:rFonts w:asciiTheme="minorHAnsi" w:eastAsia="SimSun" w:hAnsiTheme="minorHAnsi" w:cs="Arial"/>
          <w:sz w:val="22"/>
        </w:rPr>
        <w:t xml:space="preserve"> on promoting ways of building and maintaining the therapeutic alliance</w:t>
      </w:r>
      <w:r>
        <w:rPr>
          <w:rFonts w:asciiTheme="minorHAnsi" w:eastAsia="SimSun" w:hAnsiTheme="minorHAnsi" w:cs="Arial"/>
          <w:sz w:val="22"/>
        </w:rPr>
        <w:t>. This should include</w:t>
      </w:r>
      <w:r w:rsidRPr="006A7CC4">
        <w:rPr>
          <w:rFonts w:asciiTheme="minorHAnsi" w:eastAsia="SimSun" w:hAnsiTheme="minorHAnsi" w:cs="Arial"/>
          <w:sz w:val="22"/>
        </w:rPr>
        <w:t xml:space="preserve"> encouraging active client participation in care planning and review</w:t>
      </w:r>
      <w:r>
        <w:rPr>
          <w:rFonts w:asciiTheme="minorHAnsi" w:eastAsia="SimSun" w:hAnsiTheme="minorHAnsi" w:cs="Arial"/>
          <w:sz w:val="22"/>
        </w:rPr>
        <w:t>, and embedding supervision and quality assurance processes that support effective client engagement and retention in treatment.</w:t>
      </w:r>
    </w:p>
    <w:p w:rsidR="00422154" w:rsidRPr="006A7CC4" w:rsidRDefault="00422154" w:rsidP="00422154">
      <w:pPr>
        <w:spacing w:after="80" w:line="240" w:lineRule="auto"/>
        <w:ind w:left="720"/>
        <w:jc w:val="both"/>
        <w:rPr>
          <w:rFonts w:asciiTheme="minorHAnsi" w:eastAsia="SimSun" w:hAnsiTheme="minorHAnsi" w:cs="Arial"/>
        </w:rPr>
      </w:pPr>
      <w:r>
        <w:rPr>
          <w:rFonts w:asciiTheme="minorHAnsi" w:eastAsia="SimSun" w:hAnsiTheme="minorHAnsi" w:cs="Arial"/>
        </w:rPr>
        <w:t>(b)</w:t>
      </w:r>
      <w:r w:rsidRPr="006A7CC4">
        <w:rPr>
          <w:rFonts w:asciiTheme="minorHAnsi" w:eastAsia="SimSun" w:hAnsiTheme="minorHAnsi" w:cs="Arial"/>
          <w:i/>
        </w:rPr>
        <w:t xml:space="preserve"> </w:t>
      </w:r>
      <w:r>
        <w:rPr>
          <w:rFonts w:asciiTheme="minorHAnsi" w:eastAsia="SimSun" w:hAnsiTheme="minorHAnsi" w:cs="Arial"/>
          <w:i/>
        </w:rPr>
        <w:t>Consider</w:t>
      </w:r>
      <w:r w:rsidRPr="006A7CC4">
        <w:rPr>
          <w:rFonts w:asciiTheme="minorHAnsi" w:eastAsia="SimSun" w:hAnsiTheme="minorHAnsi" w:cs="Arial"/>
          <w:i/>
        </w:rPr>
        <w:t xml:space="preserve"> structural changes </w:t>
      </w:r>
      <w:r>
        <w:rPr>
          <w:rFonts w:asciiTheme="minorHAnsi" w:eastAsia="SimSun" w:hAnsiTheme="minorHAnsi" w:cs="Arial"/>
          <w:i/>
        </w:rPr>
        <w:t>to service delivery that</w:t>
      </w:r>
      <w:r w:rsidRPr="006A7CC4">
        <w:rPr>
          <w:rFonts w:asciiTheme="minorHAnsi" w:eastAsia="SimSun" w:hAnsiTheme="minorHAnsi" w:cs="Arial"/>
          <w:i/>
        </w:rPr>
        <w:t xml:space="preserve"> </w:t>
      </w:r>
      <w:r>
        <w:rPr>
          <w:rFonts w:asciiTheme="minorHAnsi" w:eastAsia="SimSun" w:hAnsiTheme="minorHAnsi" w:cs="Arial"/>
          <w:i/>
        </w:rPr>
        <w:t>enhance</w:t>
      </w:r>
      <w:r w:rsidRPr="006A7CC4">
        <w:rPr>
          <w:rFonts w:asciiTheme="minorHAnsi" w:eastAsia="SimSun" w:hAnsiTheme="minorHAnsi" w:cs="Arial"/>
          <w:i/>
        </w:rPr>
        <w:t xml:space="preserve"> treatment completion</w:t>
      </w:r>
      <w:r w:rsidRPr="006A7CC4">
        <w:rPr>
          <w:rFonts w:asciiTheme="minorHAnsi" w:eastAsia="SimSun" w:hAnsiTheme="minorHAnsi" w:cs="Arial"/>
        </w:rPr>
        <w:t xml:space="preserve"> and </w:t>
      </w:r>
      <w:r w:rsidRPr="006964C4">
        <w:rPr>
          <w:rFonts w:asciiTheme="minorHAnsi" w:eastAsia="SimSun" w:hAnsiTheme="minorHAnsi" w:cs="Arial"/>
          <w:i/>
        </w:rPr>
        <w:t>address barriers to help-seeking</w:t>
      </w:r>
      <w:r w:rsidRPr="006A7CC4">
        <w:rPr>
          <w:rFonts w:asciiTheme="minorHAnsi" w:eastAsia="SimSun" w:hAnsiTheme="minorHAnsi" w:cs="Arial"/>
        </w:rPr>
        <w:t xml:space="preserve"> (</w:t>
      </w:r>
      <w:r>
        <w:rPr>
          <w:rFonts w:asciiTheme="minorHAnsi" w:eastAsia="SimSun" w:hAnsiTheme="minorHAnsi" w:cs="Arial"/>
        </w:rPr>
        <w:t xml:space="preserve">e.g., </w:t>
      </w:r>
      <w:r w:rsidRPr="006A7CC4">
        <w:rPr>
          <w:rFonts w:asciiTheme="minorHAnsi" w:eastAsia="SimSun" w:hAnsiTheme="minorHAnsi" w:cs="Arial"/>
        </w:rPr>
        <w:t xml:space="preserve">services </w:t>
      </w:r>
      <w:r>
        <w:rPr>
          <w:rFonts w:asciiTheme="minorHAnsi" w:eastAsia="SimSun" w:hAnsiTheme="minorHAnsi" w:cs="Arial"/>
        </w:rPr>
        <w:t xml:space="preserve">offered </w:t>
      </w:r>
      <w:r w:rsidRPr="006A7CC4">
        <w:rPr>
          <w:rFonts w:asciiTheme="minorHAnsi" w:eastAsia="SimSun" w:hAnsiTheme="minorHAnsi" w:cs="Arial"/>
        </w:rPr>
        <w:t>outside business hours, telephone support</w:t>
      </w:r>
      <w:r>
        <w:rPr>
          <w:rFonts w:asciiTheme="minorHAnsi" w:eastAsia="SimSun" w:hAnsiTheme="minorHAnsi" w:cs="Arial"/>
        </w:rPr>
        <w:t>,</w:t>
      </w:r>
      <w:r w:rsidRPr="006A7CC4">
        <w:rPr>
          <w:rFonts w:asciiTheme="minorHAnsi" w:eastAsia="SimSun" w:hAnsiTheme="minorHAnsi" w:cs="Arial"/>
        </w:rPr>
        <w:t xml:space="preserve"> etc.)</w:t>
      </w:r>
      <w:r>
        <w:rPr>
          <w:rFonts w:asciiTheme="minorHAnsi" w:eastAsia="SimSun" w:hAnsiTheme="minorHAnsi" w:cs="Arial"/>
        </w:rPr>
        <w:t>. Such approaches would address common barriers to treatment identified in the qualitative interviews.</w:t>
      </w:r>
      <w:r w:rsidRPr="006A7CC4">
        <w:rPr>
          <w:rFonts w:asciiTheme="minorHAnsi" w:eastAsia="SimSun" w:hAnsiTheme="minorHAnsi" w:cs="Arial"/>
        </w:rPr>
        <w:t xml:space="preserve"> </w:t>
      </w:r>
    </w:p>
    <w:p w:rsidR="00422154" w:rsidRDefault="00422154" w:rsidP="00422154">
      <w:pPr>
        <w:pStyle w:val="ListParagraph"/>
        <w:spacing w:after="80" w:line="240" w:lineRule="auto"/>
        <w:jc w:val="both"/>
        <w:rPr>
          <w:rFonts w:asciiTheme="minorHAnsi" w:eastAsia="SimSun" w:hAnsiTheme="minorHAnsi" w:cs="Arial"/>
          <w:sz w:val="22"/>
        </w:rPr>
      </w:pPr>
    </w:p>
    <w:p w:rsidR="00422154" w:rsidRPr="007C294E" w:rsidRDefault="00422154" w:rsidP="00422154">
      <w:pPr>
        <w:spacing w:line="240" w:lineRule="auto"/>
        <w:rPr>
          <w:rFonts w:asciiTheme="minorHAnsi" w:eastAsia="SimSun" w:hAnsiTheme="minorHAnsi" w:cs="Arial"/>
        </w:rPr>
      </w:pPr>
      <w:r w:rsidRPr="00F1574B">
        <w:rPr>
          <w:b/>
        </w:rPr>
        <w:t xml:space="preserve">Recommendations </w:t>
      </w:r>
      <w:r>
        <w:rPr>
          <w:b/>
        </w:rPr>
        <w:t>for c</w:t>
      </w:r>
      <w:r w:rsidRPr="0020320C">
        <w:rPr>
          <w:b/>
        </w:rPr>
        <w:t>ontinuity of care</w:t>
      </w:r>
    </w:p>
    <w:p w:rsidR="00422154" w:rsidRPr="006A7CC4" w:rsidRDefault="00422154" w:rsidP="00422154">
      <w:pPr>
        <w:pStyle w:val="ListParagraph"/>
        <w:numPr>
          <w:ilvl w:val="0"/>
          <w:numId w:val="47"/>
        </w:numPr>
        <w:spacing w:after="80" w:line="240" w:lineRule="auto"/>
        <w:jc w:val="both"/>
        <w:rPr>
          <w:rFonts w:asciiTheme="minorHAnsi" w:eastAsia="SimSun" w:hAnsiTheme="minorHAnsi" w:cs="Arial"/>
        </w:rPr>
      </w:pPr>
      <w:r w:rsidRPr="006A7CC4">
        <w:rPr>
          <w:rFonts w:asciiTheme="minorHAnsi" w:eastAsia="SimSun" w:hAnsiTheme="minorHAnsi" w:cs="Arial"/>
          <w:i/>
          <w:sz w:val="22"/>
        </w:rPr>
        <w:t>Promote continuity of care</w:t>
      </w:r>
      <w:r w:rsidRPr="006A7CC4">
        <w:rPr>
          <w:rFonts w:asciiTheme="minorHAnsi" w:eastAsia="SimSun" w:hAnsiTheme="minorHAnsi" w:cs="Arial"/>
          <w:sz w:val="22"/>
        </w:rPr>
        <w:t>. Clients frequently present with complex and severe problems, and with previous experience of the treatment system. However, most funding systems currently focus on discrete, activity-based episodes of care, with little investment in structures to support continuity of care across treatment modalities and over time. In the light of the recently completed Review of the AOD Treatment Service Sector, it is timely to consider funding models that promote continuity and service integration. Funding models should accommodate and promote treatment journeys that involve multiple treatment modalities and greater linkage to follow-up care</w:t>
      </w:r>
      <w:r w:rsidRPr="006A7CC4">
        <w:rPr>
          <w:rFonts w:asciiTheme="minorHAnsi" w:eastAsia="SimSun" w:hAnsiTheme="minorHAnsi" w:cs="Arial"/>
        </w:rPr>
        <w:t>.</w:t>
      </w:r>
    </w:p>
    <w:p w:rsidR="00422154" w:rsidRDefault="00422154" w:rsidP="00422154">
      <w:pPr>
        <w:pStyle w:val="ListParagraph"/>
        <w:spacing w:after="80" w:line="240" w:lineRule="auto"/>
        <w:jc w:val="both"/>
        <w:rPr>
          <w:rFonts w:asciiTheme="minorHAnsi" w:eastAsia="SimSun" w:hAnsiTheme="minorHAnsi" w:cs="Arial"/>
          <w:sz w:val="22"/>
        </w:rPr>
      </w:pPr>
    </w:p>
    <w:p w:rsidR="00422154" w:rsidRPr="00C30595" w:rsidRDefault="00422154" w:rsidP="00422154">
      <w:pPr>
        <w:pStyle w:val="ListParagraph"/>
        <w:numPr>
          <w:ilvl w:val="0"/>
          <w:numId w:val="47"/>
        </w:numPr>
        <w:spacing w:after="80" w:line="240" w:lineRule="auto"/>
        <w:jc w:val="both"/>
        <w:rPr>
          <w:rFonts w:asciiTheme="minorHAnsi" w:eastAsia="SimSun" w:hAnsiTheme="minorHAnsi" w:cs="Arial"/>
          <w:i/>
          <w:sz w:val="22"/>
        </w:rPr>
      </w:pPr>
      <w:r w:rsidRPr="00633C7D">
        <w:rPr>
          <w:rFonts w:asciiTheme="minorHAnsi" w:eastAsia="SimSun" w:hAnsiTheme="minorHAnsi" w:cs="Arial"/>
          <w:i/>
          <w:sz w:val="22"/>
        </w:rPr>
        <w:t xml:space="preserve">Encourage services to engage in assertive follow-up of clients. </w:t>
      </w:r>
      <w:r>
        <w:rPr>
          <w:rFonts w:asciiTheme="minorHAnsi" w:eastAsia="SimSun" w:hAnsiTheme="minorHAnsi" w:cs="Arial"/>
          <w:sz w:val="22"/>
        </w:rPr>
        <w:t>Supported by the qualitative data, assertive follow-up of clients following treatment promotes continuity and re-</w:t>
      </w:r>
      <w:r>
        <w:rPr>
          <w:rFonts w:asciiTheme="minorHAnsi" w:eastAsia="SimSun" w:hAnsiTheme="minorHAnsi" w:cs="Arial"/>
          <w:sz w:val="22"/>
        </w:rPr>
        <w:lastRenderedPageBreak/>
        <w:t xml:space="preserve">engagement with the treatment system when needed. Examples could include introducing a </w:t>
      </w:r>
      <w:r w:rsidRPr="00633C7D">
        <w:rPr>
          <w:rFonts w:asciiTheme="minorHAnsi" w:eastAsia="SimSun" w:hAnsiTheme="minorHAnsi" w:cs="Arial"/>
          <w:sz w:val="22"/>
        </w:rPr>
        <w:t xml:space="preserve">routine </w:t>
      </w:r>
      <w:r>
        <w:rPr>
          <w:rFonts w:asciiTheme="minorHAnsi" w:eastAsia="SimSun" w:hAnsiTheme="minorHAnsi" w:cs="Arial"/>
          <w:sz w:val="22"/>
        </w:rPr>
        <w:t xml:space="preserve">telephone follow-up call 4-8 weeks </w:t>
      </w:r>
      <w:r w:rsidRPr="00633C7D">
        <w:rPr>
          <w:rFonts w:asciiTheme="minorHAnsi" w:eastAsia="SimSun" w:hAnsiTheme="minorHAnsi" w:cs="Arial"/>
          <w:sz w:val="22"/>
        </w:rPr>
        <w:t xml:space="preserve">after completing a treatment </w:t>
      </w:r>
      <w:r>
        <w:rPr>
          <w:rFonts w:asciiTheme="minorHAnsi" w:eastAsia="SimSun" w:hAnsiTheme="minorHAnsi" w:cs="Arial"/>
          <w:sz w:val="22"/>
        </w:rPr>
        <w:t>episode</w:t>
      </w:r>
      <w:r w:rsidRPr="00633C7D">
        <w:rPr>
          <w:rFonts w:asciiTheme="minorHAnsi" w:eastAsia="SimSun" w:hAnsiTheme="minorHAnsi" w:cs="Arial"/>
          <w:i/>
          <w:sz w:val="22"/>
        </w:rPr>
        <w:t>.</w:t>
      </w:r>
      <w:r w:rsidRPr="00C30595">
        <w:rPr>
          <w:rFonts w:asciiTheme="minorHAnsi" w:eastAsia="SimSun" w:hAnsiTheme="minorHAnsi" w:cs="Arial"/>
          <w:i/>
          <w:sz w:val="22"/>
        </w:rPr>
        <w:t xml:space="preserve"> </w:t>
      </w:r>
    </w:p>
    <w:p w:rsidR="00422154" w:rsidRDefault="00422154" w:rsidP="00422154">
      <w:pPr>
        <w:spacing w:after="80" w:line="240" w:lineRule="auto"/>
        <w:jc w:val="both"/>
        <w:rPr>
          <w:rFonts w:asciiTheme="minorHAnsi" w:eastAsia="SimSun" w:hAnsiTheme="minorHAnsi" w:cs="Arial"/>
          <w:b/>
        </w:rPr>
      </w:pPr>
    </w:p>
    <w:p w:rsidR="00422154" w:rsidRPr="00377B74" w:rsidRDefault="00422154" w:rsidP="00422154">
      <w:pPr>
        <w:spacing w:after="80" w:line="240" w:lineRule="auto"/>
        <w:jc w:val="both"/>
        <w:rPr>
          <w:rFonts w:asciiTheme="minorHAnsi" w:eastAsia="SimSun" w:hAnsiTheme="minorHAnsi" w:cs="Arial"/>
          <w:b/>
        </w:rPr>
      </w:pPr>
      <w:r w:rsidRPr="00F1574B">
        <w:rPr>
          <w:b/>
        </w:rPr>
        <w:t xml:space="preserve">Recommendation </w:t>
      </w:r>
      <w:r>
        <w:rPr>
          <w:b/>
        </w:rPr>
        <w:t>for</w:t>
      </w:r>
      <w:r w:rsidRPr="00377B74">
        <w:rPr>
          <w:rFonts w:asciiTheme="minorHAnsi" w:eastAsia="SimSun" w:hAnsiTheme="minorHAnsi" w:cs="Arial"/>
          <w:b/>
        </w:rPr>
        <w:t xml:space="preserve"> accessibility</w:t>
      </w:r>
      <w:r>
        <w:rPr>
          <w:rFonts w:asciiTheme="minorHAnsi" w:eastAsia="SimSun" w:hAnsiTheme="minorHAnsi" w:cs="Arial"/>
          <w:b/>
        </w:rPr>
        <w:t xml:space="preserve"> of</w:t>
      </w:r>
      <w:r w:rsidRPr="00377B74">
        <w:rPr>
          <w:rFonts w:asciiTheme="minorHAnsi" w:eastAsia="SimSun" w:hAnsiTheme="minorHAnsi" w:cs="Arial"/>
          <w:b/>
        </w:rPr>
        <w:t xml:space="preserve"> </w:t>
      </w:r>
      <w:r>
        <w:rPr>
          <w:rFonts w:asciiTheme="minorHAnsi" w:eastAsia="SimSun" w:hAnsiTheme="minorHAnsi" w:cs="Arial"/>
          <w:b/>
        </w:rPr>
        <w:t>long-term</w:t>
      </w:r>
      <w:r w:rsidRPr="00377B74">
        <w:rPr>
          <w:rFonts w:asciiTheme="minorHAnsi" w:eastAsia="SimSun" w:hAnsiTheme="minorHAnsi" w:cs="Arial"/>
          <w:b/>
        </w:rPr>
        <w:t xml:space="preserve"> residential care</w:t>
      </w:r>
    </w:p>
    <w:p w:rsidR="00422154" w:rsidRPr="00C71C00" w:rsidRDefault="00422154" w:rsidP="00422154">
      <w:pPr>
        <w:pStyle w:val="ListParagraph"/>
        <w:numPr>
          <w:ilvl w:val="0"/>
          <w:numId w:val="47"/>
        </w:numPr>
        <w:spacing w:after="80" w:line="240" w:lineRule="auto"/>
        <w:jc w:val="both"/>
        <w:rPr>
          <w:rFonts w:asciiTheme="minorHAnsi" w:eastAsia="SimSun" w:hAnsiTheme="minorHAnsi" w:cs="Arial"/>
          <w:sz w:val="22"/>
        </w:rPr>
      </w:pPr>
      <w:r w:rsidRPr="00C71C00">
        <w:rPr>
          <w:rFonts w:asciiTheme="minorHAnsi" w:eastAsia="SimSun" w:hAnsiTheme="minorHAnsi" w:cs="Arial"/>
          <w:i/>
          <w:sz w:val="22"/>
        </w:rPr>
        <w:t xml:space="preserve">Increase availability of rehabilitation places and reduce the waiting list for </w:t>
      </w:r>
      <w:r>
        <w:rPr>
          <w:rFonts w:asciiTheme="minorHAnsi" w:eastAsia="SimSun" w:hAnsiTheme="minorHAnsi" w:cs="Arial"/>
          <w:i/>
          <w:sz w:val="22"/>
        </w:rPr>
        <w:t>long-term</w:t>
      </w:r>
      <w:r w:rsidRPr="00C71C00">
        <w:rPr>
          <w:rFonts w:asciiTheme="minorHAnsi" w:eastAsia="SimSun" w:hAnsiTheme="minorHAnsi" w:cs="Arial"/>
          <w:i/>
          <w:sz w:val="22"/>
        </w:rPr>
        <w:t xml:space="preserve"> residential care</w:t>
      </w:r>
      <w:r w:rsidRPr="00C71C00">
        <w:rPr>
          <w:rFonts w:asciiTheme="minorHAnsi" w:eastAsia="SimSun" w:hAnsiTheme="minorHAnsi" w:cs="Arial"/>
          <w:sz w:val="22"/>
        </w:rPr>
        <w:t>. Given the evidence from both the client survey and linkage data that better outcomes are achieved among those receiving long</w:t>
      </w:r>
      <w:r>
        <w:rPr>
          <w:rFonts w:asciiTheme="minorHAnsi" w:eastAsia="SimSun" w:hAnsiTheme="minorHAnsi" w:cs="Arial"/>
          <w:sz w:val="22"/>
        </w:rPr>
        <w:t>-</w:t>
      </w:r>
      <w:r w:rsidRPr="00C71C00">
        <w:rPr>
          <w:rFonts w:asciiTheme="minorHAnsi" w:eastAsia="SimSun" w:hAnsiTheme="minorHAnsi" w:cs="Arial"/>
          <w:sz w:val="22"/>
        </w:rPr>
        <w:t>term residential care, it is crucial that funders and specialist service providers recognise the critical role that rehabilitative services play in a comprehensive specialist treatment system</w:t>
      </w:r>
      <w:r>
        <w:rPr>
          <w:rFonts w:asciiTheme="minorHAnsi" w:eastAsia="SimSun" w:hAnsiTheme="minorHAnsi" w:cs="Arial"/>
          <w:sz w:val="22"/>
        </w:rPr>
        <w:t>, particularly for individuals who have greater levels of complexity</w:t>
      </w:r>
      <w:r w:rsidRPr="00C71C00">
        <w:rPr>
          <w:rFonts w:asciiTheme="minorHAnsi" w:eastAsia="SimSun" w:hAnsiTheme="minorHAnsi" w:cs="Arial"/>
          <w:sz w:val="22"/>
        </w:rPr>
        <w:t>. The qualitative findings indicate that</w:t>
      </w:r>
      <w:r>
        <w:rPr>
          <w:rFonts w:asciiTheme="minorHAnsi" w:eastAsia="SimSun" w:hAnsiTheme="minorHAnsi" w:cs="Arial"/>
          <w:sz w:val="22"/>
        </w:rPr>
        <w:t xml:space="preserve"> long</w:t>
      </w:r>
      <w:r w:rsidRPr="00C71C00">
        <w:rPr>
          <w:rFonts w:asciiTheme="minorHAnsi" w:eastAsia="SimSun" w:hAnsiTheme="minorHAnsi" w:cs="Arial"/>
          <w:sz w:val="22"/>
        </w:rPr>
        <w:t xml:space="preserve"> waiting</w:t>
      </w:r>
      <w:r>
        <w:rPr>
          <w:rFonts w:asciiTheme="minorHAnsi" w:eastAsia="SimSun" w:hAnsiTheme="minorHAnsi" w:cs="Arial"/>
          <w:sz w:val="22"/>
        </w:rPr>
        <w:t xml:space="preserve"> times for access to residential treatment</w:t>
      </w:r>
      <w:r w:rsidRPr="00C71C00">
        <w:rPr>
          <w:rFonts w:asciiTheme="minorHAnsi" w:eastAsia="SimSun" w:hAnsiTheme="minorHAnsi" w:cs="Arial"/>
          <w:sz w:val="22"/>
        </w:rPr>
        <w:t xml:space="preserve"> are a key barrier to </w:t>
      </w:r>
      <w:r>
        <w:rPr>
          <w:rFonts w:asciiTheme="minorHAnsi" w:eastAsia="SimSun" w:hAnsiTheme="minorHAnsi" w:cs="Arial"/>
          <w:sz w:val="22"/>
        </w:rPr>
        <w:t>treatment engagement. It</w:t>
      </w:r>
      <w:r w:rsidRPr="00C71C00">
        <w:rPr>
          <w:rFonts w:asciiTheme="minorHAnsi" w:eastAsia="SimSun" w:hAnsiTheme="minorHAnsi" w:cs="Arial"/>
          <w:sz w:val="22"/>
        </w:rPr>
        <w:t xml:space="preserve"> is imperative that such unmet needs are addressed, and that the benefits of residential rehabilitation are promoted among clinicians and clients. </w:t>
      </w:r>
    </w:p>
    <w:p w:rsidR="00422154" w:rsidRDefault="00422154" w:rsidP="00422154">
      <w:pPr>
        <w:spacing w:after="80" w:line="240" w:lineRule="auto"/>
        <w:jc w:val="both"/>
        <w:rPr>
          <w:rFonts w:asciiTheme="minorHAnsi" w:eastAsia="SimSun" w:hAnsiTheme="minorHAnsi" w:cs="Arial"/>
          <w:b/>
        </w:rPr>
      </w:pPr>
    </w:p>
    <w:p w:rsidR="00422154" w:rsidRDefault="00422154" w:rsidP="00422154">
      <w:pPr>
        <w:spacing w:after="80" w:line="240" w:lineRule="auto"/>
        <w:jc w:val="both"/>
        <w:rPr>
          <w:rFonts w:asciiTheme="minorHAnsi" w:eastAsia="SimSun" w:hAnsiTheme="minorHAnsi" w:cs="Arial"/>
        </w:rPr>
      </w:pPr>
      <w:r w:rsidRPr="00F1574B">
        <w:rPr>
          <w:b/>
        </w:rPr>
        <w:t xml:space="preserve">Recommendation </w:t>
      </w:r>
      <w:r>
        <w:rPr>
          <w:b/>
        </w:rPr>
        <w:t>for</w:t>
      </w:r>
      <w:r w:rsidRPr="00377B74">
        <w:rPr>
          <w:rFonts w:asciiTheme="minorHAnsi" w:eastAsia="SimSun" w:hAnsiTheme="minorHAnsi" w:cs="Arial"/>
          <w:b/>
        </w:rPr>
        <w:t xml:space="preserve"> </w:t>
      </w:r>
      <w:r>
        <w:rPr>
          <w:rFonts w:asciiTheme="minorHAnsi" w:eastAsia="SimSun" w:hAnsiTheme="minorHAnsi" w:cs="Arial"/>
          <w:b/>
        </w:rPr>
        <w:t>c</w:t>
      </w:r>
      <w:r w:rsidRPr="007C294E">
        <w:rPr>
          <w:rFonts w:asciiTheme="minorHAnsi" w:eastAsia="SimSun" w:hAnsiTheme="minorHAnsi" w:cs="Arial"/>
          <w:b/>
        </w:rPr>
        <w:t>are coordination</w:t>
      </w:r>
      <w:r>
        <w:rPr>
          <w:rFonts w:asciiTheme="minorHAnsi" w:eastAsia="SimSun" w:hAnsiTheme="minorHAnsi" w:cs="Arial"/>
        </w:rPr>
        <w:t xml:space="preserve"> </w:t>
      </w:r>
    </w:p>
    <w:p w:rsidR="00422154" w:rsidRPr="00BD0CCD" w:rsidRDefault="00422154" w:rsidP="00422154">
      <w:pPr>
        <w:pStyle w:val="ListParagraph"/>
        <w:numPr>
          <w:ilvl w:val="0"/>
          <w:numId w:val="47"/>
        </w:numPr>
        <w:spacing w:after="80" w:line="240" w:lineRule="auto"/>
        <w:jc w:val="both"/>
        <w:rPr>
          <w:rFonts w:asciiTheme="minorHAnsi" w:eastAsia="SimSun" w:hAnsiTheme="minorHAnsi" w:cs="Arial"/>
        </w:rPr>
      </w:pPr>
      <w:r w:rsidRPr="00BD0CCD">
        <w:rPr>
          <w:rFonts w:asciiTheme="minorHAnsi" w:eastAsia="SimSun" w:hAnsiTheme="minorHAnsi" w:cs="Arial"/>
          <w:i/>
          <w:sz w:val="22"/>
        </w:rPr>
        <w:t>Support care coordination</w:t>
      </w:r>
      <w:r w:rsidRPr="00BD0CCD">
        <w:rPr>
          <w:rFonts w:asciiTheme="minorHAnsi" w:eastAsia="SimSun" w:hAnsiTheme="minorHAnsi" w:cs="Arial"/>
          <w:sz w:val="22"/>
        </w:rPr>
        <w:t>. Linked to the issue of continuity of care, and identified as a key theme in the qualitative interviews, was limited availability of care coordination. Our findings highlight the importance of supporting complex clients effectively transition through the AOD treatment system and engage with relevant health and welfare services when needed, so as to enhance treatment retention and completion. While this role could be performed within agencies, there are opportunities to explore low-cost options such as telephone and online support, provided in every jurisdiction, to assist in both coordinating care and providing a vehicle for long-term engagement and follow-up</w:t>
      </w:r>
      <w:r w:rsidRPr="00BD0CCD">
        <w:rPr>
          <w:rFonts w:asciiTheme="minorHAnsi" w:eastAsia="SimSun" w:hAnsiTheme="minorHAnsi" w:cs="Arial"/>
        </w:rPr>
        <w:t>.</w:t>
      </w:r>
    </w:p>
    <w:p w:rsidR="00422154" w:rsidRDefault="00422154" w:rsidP="00422154">
      <w:pPr>
        <w:spacing w:after="80" w:line="240" w:lineRule="auto"/>
        <w:jc w:val="both"/>
        <w:rPr>
          <w:rFonts w:asciiTheme="minorHAnsi" w:eastAsia="SimSun" w:hAnsiTheme="minorHAnsi" w:cs="Arial"/>
          <w:b/>
        </w:rPr>
      </w:pPr>
    </w:p>
    <w:p w:rsidR="00422154" w:rsidRPr="007D59D6" w:rsidRDefault="00422154" w:rsidP="00422154">
      <w:pPr>
        <w:spacing w:after="80" w:line="240" w:lineRule="auto"/>
        <w:jc w:val="both"/>
        <w:rPr>
          <w:rFonts w:asciiTheme="minorHAnsi" w:eastAsia="SimSun" w:hAnsiTheme="minorHAnsi" w:cs="Arial"/>
          <w:b/>
        </w:rPr>
      </w:pPr>
      <w:r w:rsidRPr="00F1574B">
        <w:rPr>
          <w:b/>
        </w:rPr>
        <w:t xml:space="preserve">Recommendation </w:t>
      </w:r>
      <w:r>
        <w:rPr>
          <w:b/>
        </w:rPr>
        <w:t xml:space="preserve">for </w:t>
      </w:r>
      <w:r>
        <w:rPr>
          <w:rFonts w:asciiTheme="minorHAnsi" w:eastAsia="SimSun" w:hAnsiTheme="minorHAnsi" w:cs="Arial"/>
          <w:b/>
        </w:rPr>
        <w:t>p</w:t>
      </w:r>
      <w:r w:rsidRPr="007D59D6">
        <w:rPr>
          <w:rFonts w:asciiTheme="minorHAnsi" w:eastAsia="SimSun" w:hAnsiTheme="minorHAnsi" w:cs="Arial"/>
          <w:b/>
        </w:rPr>
        <w:t>romotion of aftercare and mutual aid/peer support</w:t>
      </w:r>
    </w:p>
    <w:p w:rsidR="00422154" w:rsidRPr="007D59D6" w:rsidRDefault="00422154" w:rsidP="00422154">
      <w:pPr>
        <w:pStyle w:val="ListParagraph"/>
        <w:numPr>
          <w:ilvl w:val="0"/>
          <w:numId w:val="47"/>
        </w:numPr>
        <w:spacing w:after="80" w:line="240" w:lineRule="auto"/>
        <w:jc w:val="both"/>
        <w:rPr>
          <w:rFonts w:asciiTheme="minorHAnsi" w:eastAsia="SimSun" w:hAnsiTheme="minorHAnsi" w:cs="Arial"/>
        </w:rPr>
      </w:pPr>
      <w:r w:rsidRPr="007D59D6">
        <w:rPr>
          <w:rFonts w:asciiTheme="minorHAnsi" w:eastAsia="SimSun" w:hAnsiTheme="minorHAnsi" w:cs="Arial"/>
          <w:i/>
          <w:sz w:val="22"/>
        </w:rPr>
        <w:t>Specialist AOD services should develop and promote interventions and pathways to aftercare</w:t>
      </w:r>
      <w:r w:rsidRPr="007D59D6">
        <w:rPr>
          <w:rFonts w:asciiTheme="minorHAnsi" w:eastAsia="SimSun" w:hAnsiTheme="minorHAnsi" w:cs="Arial"/>
          <w:sz w:val="22"/>
        </w:rPr>
        <w:t xml:space="preserve"> such as supportive community groups, including but not restricted to mutual aid groups. This could include assertive linkage to peer support groups, such as 12-step and SMART Recovery, using readily available and evidenced-based models that improve engagement with mutual aid (such as the MAAEZ model developed by </w:t>
      </w:r>
      <w:proofErr w:type="spellStart"/>
      <w:r w:rsidRPr="004663DC">
        <w:rPr>
          <w:rFonts w:asciiTheme="minorHAnsi" w:eastAsia="SimSun" w:hAnsiTheme="minorHAnsi" w:cs="Arial"/>
          <w:sz w:val="22"/>
        </w:rPr>
        <w:t>Kaskutas</w:t>
      </w:r>
      <w:proofErr w:type="spellEnd"/>
      <w:r w:rsidRPr="004663DC">
        <w:rPr>
          <w:rFonts w:asciiTheme="minorHAnsi" w:eastAsia="SimSun" w:hAnsiTheme="minorHAnsi" w:cs="Arial"/>
          <w:sz w:val="22"/>
        </w:rPr>
        <w:t xml:space="preserve"> and</w:t>
      </w:r>
      <w:r w:rsidRPr="007D59D6">
        <w:rPr>
          <w:rFonts w:asciiTheme="minorHAnsi" w:eastAsia="SimSun" w:hAnsiTheme="minorHAnsi" w:cs="Arial"/>
          <w:sz w:val="22"/>
        </w:rPr>
        <w:t xml:space="preserve"> colleagues in the US). Being free and widely available (including online meetings), such support groups can be cost-effective models of aftercare</w:t>
      </w:r>
      <w:r>
        <w:rPr>
          <w:rFonts w:asciiTheme="minorHAnsi" w:eastAsia="SimSun" w:hAnsiTheme="minorHAnsi" w:cs="Arial"/>
          <w:sz w:val="22"/>
        </w:rPr>
        <w:t>, at least for some clients</w:t>
      </w:r>
      <w:r w:rsidRPr="007D59D6">
        <w:rPr>
          <w:rFonts w:asciiTheme="minorHAnsi" w:eastAsia="SimSun" w:hAnsiTheme="minorHAnsi" w:cs="Arial"/>
          <w:sz w:val="22"/>
        </w:rPr>
        <w:t>. Previous research has shown that such approaches require workforce training to support staff to make these initial connections and to develop relationships with mutual aid groups.</w:t>
      </w:r>
    </w:p>
    <w:p w:rsidR="00422154" w:rsidRDefault="00422154" w:rsidP="00422154">
      <w:pPr>
        <w:pStyle w:val="ListParagraph"/>
        <w:spacing w:after="80" w:line="240" w:lineRule="auto"/>
        <w:jc w:val="both"/>
        <w:rPr>
          <w:rFonts w:asciiTheme="minorHAnsi" w:eastAsia="SimSun" w:hAnsiTheme="minorHAnsi" w:cs="Arial"/>
          <w:sz w:val="22"/>
        </w:rPr>
      </w:pPr>
    </w:p>
    <w:p w:rsidR="00422154" w:rsidRPr="00633C7D" w:rsidRDefault="00422154" w:rsidP="00422154">
      <w:pPr>
        <w:spacing w:after="80" w:line="240" w:lineRule="auto"/>
        <w:jc w:val="both"/>
        <w:rPr>
          <w:rFonts w:asciiTheme="minorHAnsi" w:eastAsia="SimSun" w:hAnsiTheme="minorHAnsi" w:cs="Arial"/>
          <w:b/>
        </w:rPr>
      </w:pPr>
      <w:r w:rsidRPr="00F1574B">
        <w:rPr>
          <w:b/>
        </w:rPr>
        <w:t>Recommendation</w:t>
      </w:r>
      <w:r>
        <w:rPr>
          <w:b/>
        </w:rPr>
        <w:t>s</w:t>
      </w:r>
      <w:r w:rsidRPr="00F1574B">
        <w:rPr>
          <w:b/>
        </w:rPr>
        <w:t xml:space="preserve"> </w:t>
      </w:r>
      <w:r>
        <w:rPr>
          <w:b/>
        </w:rPr>
        <w:t>for</w:t>
      </w:r>
      <w:r w:rsidRPr="00377B74">
        <w:rPr>
          <w:rFonts w:asciiTheme="minorHAnsi" w:eastAsia="SimSun" w:hAnsiTheme="minorHAnsi" w:cs="Arial"/>
          <w:b/>
        </w:rPr>
        <w:t xml:space="preserve"> </w:t>
      </w:r>
      <w:r>
        <w:rPr>
          <w:rFonts w:asciiTheme="minorHAnsi" w:eastAsia="SimSun" w:hAnsiTheme="minorHAnsi" w:cs="Arial"/>
          <w:b/>
        </w:rPr>
        <w:t>treatment intensity and pathways tailored to client characteristics</w:t>
      </w:r>
    </w:p>
    <w:p w:rsidR="00422154" w:rsidRPr="00F45708" w:rsidRDefault="00422154" w:rsidP="00422154">
      <w:pPr>
        <w:pStyle w:val="ListParagraph"/>
        <w:numPr>
          <w:ilvl w:val="0"/>
          <w:numId w:val="47"/>
        </w:numPr>
        <w:spacing w:after="80" w:line="240" w:lineRule="auto"/>
        <w:jc w:val="both"/>
        <w:rPr>
          <w:rFonts w:asciiTheme="minorHAnsi" w:eastAsia="SimSun" w:hAnsiTheme="minorHAnsi" w:cs="Arial"/>
          <w:sz w:val="22"/>
        </w:rPr>
      </w:pPr>
      <w:r w:rsidRPr="0063218D">
        <w:rPr>
          <w:rFonts w:asciiTheme="minorHAnsi" w:eastAsia="SimSun" w:hAnsiTheme="minorHAnsi" w:cs="Arial"/>
          <w:i/>
          <w:sz w:val="22"/>
        </w:rPr>
        <w:t>Improve continuity of care and optimal care pathways for alcohol-dependent clients.</w:t>
      </w:r>
      <w:r w:rsidRPr="00633C7D">
        <w:rPr>
          <w:rFonts w:asciiTheme="minorHAnsi" w:eastAsia="SimSun" w:hAnsiTheme="minorHAnsi" w:cs="Arial"/>
          <w:sz w:val="22"/>
        </w:rPr>
        <w:t xml:space="preserve"> </w:t>
      </w:r>
      <w:r>
        <w:rPr>
          <w:rFonts w:asciiTheme="minorHAnsi" w:eastAsia="SimSun" w:hAnsiTheme="minorHAnsi" w:cs="Arial"/>
          <w:sz w:val="22"/>
        </w:rPr>
        <w:t>Clients with a primary alcohol problem were less likely to have good</w:t>
      </w:r>
      <w:r w:rsidRPr="00633C7D">
        <w:rPr>
          <w:rFonts w:asciiTheme="minorHAnsi" w:eastAsia="SimSun" w:hAnsiTheme="minorHAnsi" w:cs="Arial"/>
          <w:sz w:val="22"/>
        </w:rPr>
        <w:t xml:space="preserve"> outcomes</w:t>
      </w:r>
      <w:r>
        <w:rPr>
          <w:rFonts w:asciiTheme="minorHAnsi" w:eastAsia="SimSun" w:hAnsiTheme="minorHAnsi" w:cs="Arial"/>
          <w:sz w:val="22"/>
        </w:rPr>
        <w:t xml:space="preserve"> across all arms of the study</w:t>
      </w:r>
      <w:r w:rsidRPr="00633C7D">
        <w:rPr>
          <w:rFonts w:asciiTheme="minorHAnsi" w:eastAsia="SimSun" w:hAnsiTheme="minorHAnsi" w:cs="Arial"/>
          <w:sz w:val="22"/>
        </w:rPr>
        <w:t>,</w:t>
      </w:r>
      <w:r>
        <w:rPr>
          <w:rFonts w:asciiTheme="minorHAnsi" w:eastAsia="SimSun" w:hAnsiTheme="minorHAnsi" w:cs="Arial"/>
          <w:sz w:val="22"/>
        </w:rPr>
        <w:t xml:space="preserve"> yet </w:t>
      </w:r>
      <w:r w:rsidRPr="00633C7D">
        <w:rPr>
          <w:rFonts w:asciiTheme="minorHAnsi" w:eastAsia="SimSun" w:hAnsiTheme="minorHAnsi" w:cs="Arial"/>
          <w:sz w:val="22"/>
        </w:rPr>
        <w:t>benefit</w:t>
      </w:r>
      <w:r>
        <w:rPr>
          <w:rFonts w:asciiTheme="minorHAnsi" w:eastAsia="SimSun" w:hAnsiTheme="minorHAnsi" w:cs="Arial"/>
          <w:sz w:val="22"/>
        </w:rPr>
        <w:t>ed the most</w:t>
      </w:r>
      <w:r w:rsidRPr="00633C7D">
        <w:rPr>
          <w:rFonts w:asciiTheme="minorHAnsi" w:eastAsia="SimSun" w:hAnsiTheme="minorHAnsi" w:cs="Arial"/>
          <w:sz w:val="22"/>
        </w:rPr>
        <w:t xml:space="preserve"> from having optimal care pathways. This </w:t>
      </w:r>
      <w:r>
        <w:rPr>
          <w:rFonts w:asciiTheme="minorHAnsi" w:eastAsia="SimSun" w:hAnsiTheme="minorHAnsi" w:cs="Arial"/>
          <w:sz w:val="22"/>
        </w:rPr>
        <w:t>suggests more intense treatment is likely to be required for these clients, but also that achieving change is more challenging in a context of high alcohol availability and acceptability. As much as possible, clients s</w:t>
      </w:r>
      <w:r w:rsidRPr="00633C7D">
        <w:rPr>
          <w:rFonts w:asciiTheme="minorHAnsi" w:eastAsia="SimSun" w:hAnsiTheme="minorHAnsi" w:cs="Arial"/>
          <w:sz w:val="22"/>
        </w:rPr>
        <w:t>hould be encouraged to continue engaging in on-going AOD treatment</w:t>
      </w:r>
      <w:r>
        <w:rPr>
          <w:rFonts w:asciiTheme="minorHAnsi" w:eastAsia="SimSun" w:hAnsiTheme="minorHAnsi" w:cs="Arial"/>
          <w:sz w:val="22"/>
        </w:rPr>
        <w:t xml:space="preserve"> after completion of a treatment episode</w:t>
      </w:r>
      <w:r w:rsidRPr="00633C7D">
        <w:rPr>
          <w:rFonts w:asciiTheme="minorHAnsi" w:eastAsia="SimSun" w:hAnsiTheme="minorHAnsi" w:cs="Arial"/>
          <w:sz w:val="22"/>
        </w:rPr>
        <w:t xml:space="preserve">, </w:t>
      </w:r>
      <w:r>
        <w:rPr>
          <w:rFonts w:asciiTheme="minorHAnsi" w:eastAsia="SimSun" w:hAnsiTheme="minorHAnsi" w:cs="Arial"/>
          <w:sz w:val="22"/>
        </w:rPr>
        <w:t>make use of</w:t>
      </w:r>
      <w:r w:rsidRPr="00633C7D">
        <w:rPr>
          <w:rFonts w:asciiTheme="minorHAnsi" w:eastAsia="SimSun" w:hAnsiTheme="minorHAnsi" w:cs="Arial"/>
          <w:sz w:val="22"/>
        </w:rPr>
        <w:t xml:space="preserve"> </w:t>
      </w:r>
      <w:r>
        <w:rPr>
          <w:rFonts w:asciiTheme="minorHAnsi" w:eastAsia="SimSun" w:hAnsiTheme="minorHAnsi" w:cs="Arial"/>
          <w:sz w:val="22"/>
        </w:rPr>
        <w:t xml:space="preserve">appropriate </w:t>
      </w:r>
      <w:r w:rsidRPr="00633C7D">
        <w:rPr>
          <w:rFonts w:asciiTheme="minorHAnsi" w:eastAsia="SimSun" w:hAnsiTheme="minorHAnsi" w:cs="Arial"/>
          <w:sz w:val="22"/>
        </w:rPr>
        <w:t xml:space="preserve">community services </w:t>
      </w:r>
      <w:r>
        <w:rPr>
          <w:rFonts w:asciiTheme="minorHAnsi" w:eastAsia="SimSun" w:hAnsiTheme="minorHAnsi" w:cs="Arial"/>
          <w:sz w:val="22"/>
        </w:rPr>
        <w:t xml:space="preserve">and </w:t>
      </w:r>
      <w:r w:rsidRPr="00F45708">
        <w:rPr>
          <w:rFonts w:asciiTheme="minorHAnsi" w:eastAsia="SimSun" w:hAnsiTheme="minorHAnsi" w:cs="Arial"/>
          <w:sz w:val="22"/>
        </w:rPr>
        <w:t xml:space="preserve">receive on-going support and aftercare (e.g., mutual aid attendance). Efforts to enhance retention and early re-engagement for those who drop out of treatment are likely to improve outcomes with this population, and should be piloted. </w:t>
      </w:r>
      <w:r w:rsidRPr="005723E2">
        <w:rPr>
          <w:rFonts w:asciiTheme="minorHAnsi" w:eastAsia="SimSun" w:hAnsiTheme="minorHAnsi" w:cs="Arial"/>
          <w:sz w:val="22"/>
        </w:rPr>
        <w:t xml:space="preserve">Investment in public health/community based approaches to reduce consumption and availability also warrant </w:t>
      </w:r>
      <w:r w:rsidRPr="005723E2">
        <w:rPr>
          <w:rFonts w:asciiTheme="minorHAnsi" w:eastAsia="SimSun" w:hAnsiTheme="minorHAnsi" w:cs="Arial"/>
          <w:sz w:val="22"/>
        </w:rPr>
        <w:lastRenderedPageBreak/>
        <w:t>continued investigation so as to support individuals adversely affected by alcohol to reduce their drinking, as well as reducing and preventing alcohol-related problems across the community.</w:t>
      </w:r>
    </w:p>
    <w:p w:rsidR="00422154" w:rsidRPr="00516DA3" w:rsidRDefault="00422154" w:rsidP="00422154">
      <w:pPr>
        <w:spacing w:after="80" w:line="240" w:lineRule="auto"/>
        <w:jc w:val="both"/>
        <w:rPr>
          <w:rFonts w:asciiTheme="minorHAnsi" w:eastAsia="SimSun" w:hAnsiTheme="minorHAnsi" w:cs="Arial"/>
        </w:rPr>
      </w:pPr>
    </w:p>
    <w:p w:rsidR="00422154" w:rsidRPr="00C30B05" w:rsidRDefault="00422154" w:rsidP="00422154">
      <w:pPr>
        <w:pStyle w:val="ListParagraph"/>
        <w:numPr>
          <w:ilvl w:val="0"/>
          <w:numId w:val="47"/>
        </w:numPr>
        <w:spacing w:after="80" w:line="240" w:lineRule="auto"/>
        <w:jc w:val="both"/>
        <w:rPr>
          <w:rFonts w:asciiTheme="minorHAnsi" w:eastAsia="SimSun" w:hAnsiTheme="minorHAnsi" w:cs="Arial"/>
          <w:sz w:val="22"/>
        </w:rPr>
      </w:pPr>
      <w:r w:rsidRPr="00C30B05">
        <w:rPr>
          <w:rFonts w:asciiTheme="minorHAnsi" w:eastAsia="SimSun" w:hAnsiTheme="minorHAnsi" w:cs="Arial"/>
          <w:i/>
          <w:sz w:val="22"/>
        </w:rPr>
        <w:t>Develop mechanisms for the assertive engagement of individuals with problematic meth</w:t>
      </w:r>
      <w:r w:rsidR="00BF5005">
        <w:rPr>
          <w:rFonts w:asciiTheme="minorHAnsi" w:eastAsia="SimSun" w:hAnsiTheme="minorHAnsi" w:cs="Arial"/>
          <w:i/>
          <w:sz w:val="22"/>
        </w:rPr>
        <w:t>/</w:t>
      </w:r>
      <w:r w:rsidRPr="00C30B05">
        <w:rPr>
          <w:rFonts w:asciiTheme="minorHAnsi" w:eastAsia="SimSun" w:hAnsiTheme="minorHAnsi" w:cs="Arial"/>
          <w:i/>
          <w:sz w:val="22"/>
        </w:rPr>
        <w:t>amphetamine use into treatment</w:t>
      </w:r>
      <w:r w:rsidRPr="00C30B05">
        <w:rPr>
          <w:rFonts w:asciiTheme="minorHAnsi" w:eastAsia="SimSun" w:hAnsiTheme="minorHAnsi" w:cs="Arial"/>
          <w:sz w:val="22"/>
        </w:rPr>
        <w:t>. The positive treatment outcomes achieved in this population, combined with the significant community harms accrued by those not in treatment suggests that this group should be actively engaged in treatment. This should include enhancing pathways to treatment through promoting referrals from agencies where these clients typically present (</w:t>
      </w:r>
      <w:r>
        <w:rPr>
          <w:rFonts w:asciiTheme="minorHAnsi" w:eastAsia="SimSun" w:hAnsiTheme="minorHAnsi" w:cs="Arial"/>
          <w:sz w:val="22"/>
        </w:rPr>
        <w:t>e.g. m</w:t>
      </w:r>
      <w:r w:rsidRPr="00C30B05">
        <w:rPr>
          <w:rFonts w:asciiTheme="minorHAnsi" w:eastAsia="SimSun" w:hAnsiTheme="minorHAnsi" w:cs="Arial"/>
          <w:sz w:val="22"/>
        </w:rPr>
        <w:t>ental health, primary care and criminal justice</w:t>
      </w:r>
      <w:r>
        <w:rPr>
          <w:rFonts w:asciiTheme="minorHAnsi" w:eastAsia="SimSun" w:hAnsiTheme="minorHAnsi" w:cs="Arial"/>
          <w:sz w:val="22"/>
        </w:rPr>
        <w:t xml:space="preserve"> services</w:t>
      </w:r>
      <w:r w:rsidRPr="00C30B05">
        <w:rPr>
          <w:rFonts w:asciiTheme="minorHAnsi" w:eastAsia="SimSun" w:hAnsiTheme="minorHAnsi" w:cs="Arial"/>
          <w:sz w:val="22"/>
        </w:rPr>
        <w:t>).</w:t>
      </w:r>
      <w:r w:rsidR="004212FD">
        <w:rPr>
          <w:rFonts w:asciiTheme="minorHAnsi" w:eastAsia="SimSun" w:hAnsiTheme="minorHAnsi" w:cs="Arial"/>
          <w:sz w:val="22"/>
        </w:rPr>
        <w:t xml:space="preserve"> </w:t>
      </w:r>
    </w:p>
    <w:p w:rsidR="00422154" w:rsidRDefault="00422154" w:rsidP="00422154">
      <w:pPr>
        <w:spacing w:after="80" w:line="240" w:lineRule="auto"/>
        <w:jc w:val="both"/>
        <w:rPr>
          <w:rFonts w:asciiTheme="minorHAnsi" w:eastAsia="SimSun" w:hAnsiTheme="minorHAnsi" w:cs="Arial"/>
        </w:rPr>
      </w:pPr>
    </w:p>
    <w:p w:rsidR="00422154" w:rsidRPr="00633C7D" w:rsidRDefault="00422154" w:rsidP="00422154">
      <w:pPr>
        <w:spacing w:after="80" w:line="240" w:lineRule="auto"/>
        <w:jc w:val="both"/>
        <w:rPr>
          <w:rFonts w:asciiTheme="minorHAnsi" w:eastAsia="SimSun" w:hAnsiTheme="minorHAnsi" w:cs="Arial"/>
          <w:b/>
        </w:rPr>
      </w:pPr>
      <w:r w:rsidRPr="00F1574B">
        <w:rPr>
          <w:b/>
        </w:rPr>
        <w:t>Recommendation</w:t>
      </w:r>
      <w:r>
        <w:rPr>
          <w:b/>
        </w:rPr>
        <w:t>s</w:t>
      </w:r>
      <w:r w:rsidRPr="00F1574B">
        <w:rPr>
          <w:b/>
        </w:rPr>
        <w:t xml:space="preserve"> </w:t>
      </w:r>
      <w:r>
        <w:rPr>
          <w:b/>
        </w:rPr>
        <w:t>for</w:t>
      </w:r>
      <w:r w:rsidRPr="00377B74">
        <w:rPr>
          <w:rFonts w:asciiTheme="minorHAnsi" w:eastAsia="SimSun" w:hAnsiTheme="minorHAnsi" w:cs="Arial"/>
          <w:b/>
        </w:rPr>
        <w:t xml:space="preserve"> </w:t>
      </w:r>
      <w:r>
        <w:rPr>
          <w:rFonts w:asciiTheme="minorHAnsi" w:eastAsia="SimSun" w:hAnsiTheme="minorHAnsi" w:cs="Arial"/>
          <w:b/>
        </w:rPr>
        <w:t>f</w:t>
      </w:r>
      <w:r w:rsidRPr="00633C7D">
        <w:rPr>
          <w:rFonts w:asciiTheme="minorHAnsi" w:eastAsia="SimSun" w:hAnsiTheme="minorHAnsi" w:cs="Arial"/>
          <w:b/>
        </w:rPr>
        <w:t xml:space="preserve">uture </w:t>
      </w:r>
      <w:r>
        <w:rPr>
          <w:rFonts w:asciiTheme="minorHAnsi" w:eastAsia="SimSun" w:hAnsiTheme="minorHAnsi" w:cs="Arial"/>
          <w:b/>
        </w:rPr>
        <w:t>research</w:t>
      </w:r>
    </w:p>
    <w:p w:rsidR="00422154" w:rsidRPr="00BA6C75" w:rsidRDefault="00422154" w:rsidP="00422154">
      <w:pPr>
        <w:pStyle w:val="ListParagraph"/>
        <w:numPr>
          <w:ilvl w:val="0"/>
          <w:numId w:val="47"/>
        </w:numPr>
        <w:spacing w:after="80" w:line="240" w:lineRule="auto"/>
        <w:jc w:val="both"/>
        <w:rPr>
          <w:rFonts w:asciiTheme="minorHAnsi" w:eastAsia="SimSun" w:hAnsiTheme="minorHAnsi" w:cs="Arial"/>
          <w:i/>
          <w:sz w:val="22"/>
        </w:rPr>
      </w:pPr>
      <w:r>
        <w:rPr>
          <w:rFonts w:asciiTheme="minorHAnsi" w:eastAsia="SimSun" w:hAnsiTheme="minorHAnsi" w:cs="Arial"/>
          <w:i/>
          <w:sz w:val="22"/>
        </w:rPr>
        <w:t xml:space="preserve"> </w:t>
      </w:r>
      <w:r w:rsidR="00A316C8">
        <w:rPr>
          <w:rFonts w:asciiTheme="minorHAnsi" w:eastAsia="SimSun" w:hAnsiTheme="minorHAnsi" w:cs="Arial"/>
          <w:i/>
          <w:sz w:val="22"/>
        </w:rPr>
        <w:t>Extend</w:t>
      </w:r>
      <w:r w:rsidR="00A316C8" w:rsidRPr="00C30595">
        <w:rPr>
          <w:rFonts w:asciiTheme="minorHAnsi" w:eastAsia="SimSun" w:hAnsiTheme="minorHAnsi" w:cs="Arial"/>
          <w:i/>
          <w:sz w:val="22"/>
        </w:rPr>
        <w:t xml:space="preserve"> the use of linkage data</w:t>
      </w:r>
      <w:r w:rsidR="00A316C8">
        <w:rPr>
          <w:rFonts w:asciiTheme="minorHAnsi" w:eastAsia="SimSun" w:hAnsiTheme="minorHAnsi" w:cs="Arial"/>
          <w:i/>
          <w:sz w:val="22"/>
        </w:rPr>
        <w:t>, as piloted in Chapter 4</w:t>
      </w:r>
      <w:r w:rsidR="00A316C8" w:rsidRPr="00C30595">
        <w:rPr>
          <w:rFonts w:asciiTheme="minorHAnsi" w:eastAsia="SimSun" w:hAnsiTheme="minorHAnsi" w:cs="Arial"/>
          <w:i/>
          <w:sz w:val="22"/>
        </w:rPr>
        <w:t>.</w:t>
      </w:r>
      <w:r w:rsidR="00A316C8" w:rsidRPr="00C30595">
        <w:rPr>
          <w:rFonts w:asciiTheme="minorHAnsi" w:eastAsia="SimSun" w:hAnsiTheme="minorHAnsi" w:cs="Arial"/>
          <w:sz w:val="22"/>
        </w:rPr>
        <w:t xml:space="preserve"> </w:t>
      </w:r>
      <w:r w:rsidR="00A316C8">
        <w:rPr>
          <w:rFonts w:asciiTheme="minorHAnsi" w:eastAsia="SimSun" w:hAnsiTheme="minorHAnsi" w:cs="Arial"/>
          <w:sz w:val="22"/>
        </w:rPr>
        <w:t>As</w:t>
      </w:r>
      <w:r w:rsidR="00A316C8" w:rsidRPr="00C30595">
        <w:rPr>
          <w:rFonts w:asciiTheme="minorHAnsi" w:eastAsia="SimSun" w:hAnsiTheme="minorHAnsi" w:cs="Arial"/>
          <w:sz w:val="22"/>
        </w:rPr>
        <w:t xml:space="preserve"> the </w:t>
      </w:r>
      <w:r w:rsidR="00A316C8">
        <w:rPr>
          <w:rFonts w:asciiTheme="minorHAnsi" w:eastAsia="SimSun" w:hAnsiTheme="minorHAnsi" w:cs="Arial"/>
          <w:sz w:val="22"/>
        </w:rPr>
        <w:t>‘</w:t>
      </w:r>
      <w:r w:rsidR="00A316C8" w:rsidRPr="004C17BA">
        <w:rPr>
          <w:rFonts w:asciiTheme="minorHAnsi" w:eastAsia="SimSun" w:hAnsiTheme="minorHAnsi" w:cs="Arial"/>
          <w:sz w:val="22"/>
        </w:rPr>
        <w:t>Tracking Residential Addiction Clients for Effectiveness Research (</w:t>
      </w:r>
      <w:r w:rsidR="00A316C8" w:rsidRPr="00C30595">
        <w:rPr>
          <w:rFonts w:asciiTheme="minorHAnsi" w:eastAsia="SimSun" w:hAnsiTheme="minorHAnsi" w:cs="Arial"/>
          <w:sz w:val="22"/>
        </w:rPr>
        <w:t>TRACER</w:t>
      </w:r>
      <w:r w:rsidR="00A316C8">
        <w:rPr>
          <w:rFonts w:asciiTheme="minorHAnsi" w:eastAsia="SimSun" w:hAnsiTheme="minorHAnsi" w:cs="Arial"/>
          <w:sz w:val="22"/>
        </w:rPr>
        <w:t>)’</w:t>
      </w:r>
      <w:r w:rsidR="00A316C8" w:rsidRPr="00C30595">
        <w:rPr>
          <w:rFonts w:asciiTheme="minorHAnsi" w:eastAsia="SimSun" w:hAnsiTheme="minorHAnsi" w:cs="Arial"/>
          <w:sz w:val="22"/>
        </w:rPr>
        <w:t xml:space="preserve"> study in the UK </w:t>
      </w:r>
      <w:r w:rsidR="00A316C8">
        <w:rPr>
          <w:rFonts w:asciiTheme="minorHAnsi" w:eastAsia="SimSun" w:hAnsiTheme="minorHAnsi" w:cs="Arial"/>
          <w:sz w:val="22"/>
        </w:rPr>
        <w:t>has shown, gaining client consent for ongoing linkage work</w:t>
      </w:r>
      <w:r w:rsidR="00A316C8" w:rsidRPr="00C30595">
        <w:rPr>
          <w:rFonts w:asciiTheme="minorHAnsi" w:eastAsia="SimSun" w:hAnsiTheme="minorHAnsi" w:cs="Arial"/>
          <w:sz w:val="22"/>
        </w:rPr>
        <w:t xml:space="preserve"> allow</w:t>
      </w:r>
      <w:r w:rsidR="00A316C8">
        <w:rPr>
          <w:rFonts w:asciiTheme="minorHAnsi" w:eastAsia="SimSun" w:hAnsiTheme="minorHAnsi" w:cs="Arial"/>
          <w:sz w:val="22"/>
        </w:rPr>
        <w:t>s</w:t>
      </w:r>
      <w:r w:rsidR="00A316C8" w:rsidRPr="00C30595">
        <w:rPr>
          <w:rFonts w:asciiTheme="minorHAnsi" w:eastAsia="SimSun" w:hAnsiTheme="minorHAnsi" w:cs="Arial"/>
          <w:sz w:val="22"/>
        </w:rPr>
        <w:t xml:space="preserve"> the mapping of long-term outcomes </w:t>
      </w:r>
      <w:r w:rsidR="00A316C8">
        <w:rPr>
          <w:rFonts w:asciiTheme="minorHAnsi" w:eastAsia="SimSun" w:hAnsiTheme="minorHAnsi" w:cs="Arial"/>
          <w:sz w:val="22"/>
        </w:rPr>
        <w:t xml:space="preserve">while </w:t>
      </w:r>
      <w:r w:rsidR="00A316C8" w:rsidRPr="00C30595">
        <w:rPr>
          <w:rFonts w:asciiTheme="minorHAnsi" w:eastAsia="SimSun" w:hAnsiTheme="minorHAnsi" w:cs="Arial"/>
          <w:sz w:val="22"/>
        </w:rPr>
        <w:t xml:space="preserve">requiring </w:t>
      </w:r>
      <w:r w:rsidR="00A316C8">
        <w:rPr>
          <w:rFonts w:asciiTheme="minorHAnsi" w:eastAsia="SimSun" w:hAnsiTheme="minorHAnsi" w:cs="Arial"/>
          <w:sz w:val="22"/>
        </w:rPr>
        <w:t>only limited</w:t>
      </w:r>
      <w:r w:rsidR="00A316C8" w:rsidRPr="00C30595">
        <w:rPr>
          <w:rFonts w:asciiTheme="minorHAnsi" w:eastAsia="SimSun" w:hAnsiTheme="minorHAnsi" w:cs="Arial"/>
          <w:sz w:val="22"/>
        </w:rPr>
        <w:t xml:space="preserve"> resources</w:t>
      </w:r>
      <w:r w:rsidR="00A316C8">
        <w:rPr>
          <w:rFonts w:asciiTheme="minorHAnsi" w:eastAsia="SimSun" w:hAnsiTheme="minorHAnsi" w:cs="Arial"/>
          <w:sz w:val="22"/>
        </w:rPr>
        <w:t>, and is an important adjunct to treatment outcome research</w:t>
      </w:r>
      <w:r w:rsidR="00A316C8" w:rsidRPr="00C30595">
        <w:rPr>
          <w:rFonts w:asciiTheme="minorHAnsi" w:eastAsia="SimSun" w:hAnsiTheme="minorHAnsi" w:cs="Arial"/>
          <w:i/>
          <w:sz w:val="22"/>
        </w:rPr>
        <w:t xml:space="preserve">. </w:t>
      </w:r>
      <w:r w:rsidR="00A316C8">
        <w:rPr>
          <w:rFonts w:asciiTheme="minorHAnsi" w:eastAsia="SimSun" w:hAnsiTheme="minorHAnsi" w:cs="Arial"/>
          <w:sz w:val="22"/>
        </w:rPr>
        <w:t>Such data are essential for sophisticated outcome monitoring, system planning and mapping of health care and welfare service utilisation to clinical outcomes</w:t>
      </w:r>
      <w:r>
        <w:rPr>
          <w:rFonts w:asciiTheme="minorHAnsi" w:eastAsia="SimSun" w:hAnsiTheme="minorHAnsi" w:cs="Arial"/>
          <w:sz w:val="22"/>
        </w:rPr>
        <w:t>.</w:t>
      </w:r>
    </w:p>
    <w:p w:rsidR="00422154" w:rsidRPr="00BA6C75" w:rsidRDefault="00422154" w:rsidP="00422154">
      <w:pPr>
        <w:spacing w:after="80" w:line="240" w:lineRule="auto"/>
        <w:jc w:val="both"/>
        <w:rPr>
          <w:rFonts w:asciiTheme="minorHAnsi" w:eastAsia="SimSun" w:hAnsiTheme="minorHAnsi" w:cs="Arial"/>
          <w:i/>
        </w:rPr>
      </w:pPr>
    </w:p>
    <w:p w:rsidR="00422154" w:rsidRDefault="00422154" w:rsidP="00422154">
      <w:pPr>
        <w:pStyle w:val="ListParagraph"/>
        <w:numPr>
          <w:ilvl w:val="0"/>
          <w:numId w:val="47"/>
        </w:numPr>
        <w:spacing w:after="80" w:line="240" w:lineRule="auto"/>
        <w:jc w:val="both"/>
        <w:rPr>
          <w:rFonts w:asciiTheme="minorHAnsi" w:eastAsia="SimSun" w:hAnsiTheme="minorHAnsi" w:cs="Arial"/>
          <w:sz w:val="22"/>
        </w:rPr>
      </w:pPr>
      <w:r w:rsidRPr="003C4681">
        <w:rPr>
          <w:rFonts w:asciiTheme="minorHAnsi" w:eastAsia="SimSun" w:hAnsiTheme="minorHAnsi" w:cs="Arial"/>
          <w:sz w:val="22"/>
        </w:rPr>
        <w:t xml:space="preserve"> </w:t>
      </w:r>
      <w:r>
        <w:rPr>
          <w:rFonts w:asciiTheme="minorHAnsi" w:eastAsia="SimSun" w:hAnsiTheme="minorHAnsi" w:cs="Arial"/>
          <w:i/>
          <w:sz w:val="22"/>
        </w:rPr>
        <w:t>Add a</w:t>
      </w:r>
      <w:r w:rsidRPr="003C4681">
        <w:rPr>
          <w:rFonts w:asciiTheme="minorHAnsi" w:eastAsia="SimSun" w:hAnsiTheme="minorHAnsi" w:cs="Arial"/>
          <w:i/>
          <w:sz w:val="22"/>
        </w:rPr>
        <w:t xml:space="preserve"> health economic</w:t>
      </w:r>
      <w:r>
        <w:rPr>
          <w:rFonts w:asciiTheme="minorHAnsi" w:eastAsia="SimSun" w:hAnsiTheme="minorHAnsi" w:cs="Arial"/>
          <w:i/>
          <w:sz w:val="22"/>
        </w:rPr>
        <w:t>s</w:t>
      </w:r>
      <w:r w:rsidRPr="003C4681">
        <w:rPr>
          <w:rFonts w:asciiTheme="minorHAnsi" w:eastAsia="SimSun" w:hAnsiTheme="minorHAnsi" w:cs="Arial"/>
          <w:i/>
          <w:sz w:val="22"/>
        </w:rPr>
        <w:t xml:space="preserve"> </w:t>
      </w:r>
      <w:r>
        <w:rPr>
          <w:rFonts w:asciiTheme="minorHAnsi" w:eastAsia="SimSun" w:hAnsiTheme="minorHAnsi" w:cs="Arial"/>
          <w:i/>
          <w:sz w:val="22"/>
        </w:rPr>
        <w:t>dimension</w:t>
      </w:r>
      <w:r w:rsidRPr="003C4681">
        <w:rPr>
          <w:rFonts w:asciiTheme="minorHAnsi" w:eastAsia="SimSun" w:hAnsiTheme="minorHAnsi" w:cs="Arial"/>
          <w:i/>
          <w:sz w:val="22"/>
        </w:rPr>
        <w:t xml:space="preserve"> to </w:t>
      </w:r>
      <w:r>
        <w:rPr>
          <w:rFonts w:asciiTheme="minorHAnsi" w:eastAsia="SimSun" w:hAnsiTheme="minorHAnsi" w:cs="Arial"/>
          <w:i/>
          <w:sz w:val="22"/>
        </w:rPr>
        <w:t xml:space="preserve">such </w:t>
      </w:r>
      <w:r w:rsidRPr="003C4681">
        <w:rPr>
          <w:rFonts w:asciiTheme="minorHAnsi" w:eastAsia="SimSun" w:hAnsiTheme="minorHAnsi" w:cs="Arial"/>
          <w:i/>
          <w:sz w:val="22"/>
        </w:rPr>
        <w:t xml:space="preserve">linkage </w:t>
      </w:r>
      <w:r>
        <w:rPr>
          <w:rFonts w:asciiTheme="minorHAnsi" w:eastAsia="SimSun" w:hAnsiTheme="minorHAnsi" w:cs="Arial"/>
          <w:i/>
          <w:sz w:val="22"/>
        </w:rPr>
        <w:t>studies</w:t>
      </w:r>
      <w:r w:rsidRPr="003C4681">
        <w:rPr>
          <w:rFonts w:asciiTheme="minorHAnsi" w:eastAsia="SimSun" w:hAnsiTheme="minorHAnsi" w:cs="Arial"/>
          <w:i/>
          <w:sz w:val="22"/>
        </w:rPr>
        <w:t xml:space="preserve">. </w:t>
      </w:r>
      <w:r w:rsidRPr="00C30595">
        <w:rPr>
          <w:rFonts w:asciiTheme="minorHAnsi" w:eastAsia="SimSun" w:hAnsiTheme="minorHAnsi" w:cs="Arial"/>
          <w:sz w:val="22"/>
        </w:rPr>
        <w:t>The linkage data offer an ideal platform for a health economic</w:t>
      </w:r>
      <w:r>
        <w:rPr>
          <w:rFonts w:asciiTheme="minorHAnsi" w:eastAsia="SimSun" w:hAnsiTheme="minorHAnsi" w:cs="Arial"/>
          <w:sz w:val="22"/>
        </w:rPr>
        <w:t>s</w:t>
      </w:r>
      <w:r w:rsidRPr="00C30595">
        <w:rPr>
          <w:rFonts w:asciiTheme="minorHAnsi" w:eastAsia="SimSun" w:hAnsiTheme="minorHAnsi" w:cs="Arial"/>
          <w:sz w:val="22"/>
        </w:rPr>
        <w:t xml:space="preserve"> analysis of the savings associated with treatment engagement and completion by treatment type. The </w:t>
      </w:r>
      <w:r>
        <w:rPr>
          <w:rFonts w:asciiTheme="minorHAnsi" w:eastAsia="SimSun" w:hAnsiTheme="minorHAnsi" w:cs="Arial"/>
          <w:sz w:val="22"/>
        </w:rPr>
        <w:t xml:space="preserve">linkage </w:t>
      </w:r>
      <w:r w:rsidRPr="00C30595">
        <w:rPr>
          <w:rFonts w:asciiTheme="minorHAnsi" w:eastAsia="SimSun" w:hAnsiTheme="minorHAnsi" w:cs="Arial"/>
          <w:sz w:val="22"/>
        </w:rPr>
        <w:t xml:space="preserve">data presented here </w:t>
      </w:r>
      <w:r>
        <w:rPr>
          <w:rFonts w:asciiTheme="minorHAnsi" w:eastAsia="SimSun" w:hAnsiTheme="minorHAnsi" w:cs="Arial"/>
          <w:sz w:val="22"/>
        </w:rPr>
        <w:t>demonstrate</w:t>
      </w:r>
      <w:r w:rsidRPr="00C30595">
        <w:rPr>
          <w:rFonts w:asciiTheme="minorHAnsi" w:eastAsia="SimSun" w:hAnsiTheme="minorHAnsi" w:cs="Arial"/>
          <w:sz w:val="22"/>
        </w:rPr>
        <w:t xml:space="preserve"> significant benefits in reduced acute health care utilisation</w:t>
      </w:r>
      <w:r>
        <w:rPr>
          <w:rFonts w:asciiTheme="minorHAnsi" w:eastAsia="SimSun" w:hAnsiTheme="minorHAnsi" w:cs="Arial"/>
          <w:sz w:val="22"/>
        </w:rPr>
        <w:t>,</w:t>
      </w:r>
      <w:r w:rsidRPr="00C30595">
        <w:rPr>
          <w:rFonts w:asciiTheme="minorHAnsi" w:eastAsia="SimSun" w:hAnsiTheme="minorHAnsi" w:cs="Arial"/>
          <w:sz w:val="22"/>
        </w:rPr>
        <w:t xml:space="preserve"> and it would be a key next step to assess its economic impact using both linkage and self-reported outcome data.</w:t>
      </w:r>
    </w:p>
    <w:p w:rsidR="00422154" w:rsidRPr="00BA6C75" w:rsidRDefault="00422154" w:rsidP="00422154">
      <w:pPr>
        <w:spacing w:after="80" w:line="240" w:lineRule="auto"/>
        <w:jc w:val="both"/>
        <w:rPr>
          <w:rFonts w:asciiTheme="minorHAnsi" w:eastAsia="SimSun" w:hAnsiTheme="minorHAnsi" w:cs="Arial"/>
        </w:rPr>
      </w:pPr>
    </w:p>
    <w:p w:rsidR="00422154" w:rsidRDefault="00422154" w:rsidP="00422154">
      <w:pPr>
        <w:numPr>
          <w:ilvl w:val="0"/>
          <w:numId w:val="47"/>
        </w:numPr>
        <w:spacing w:after="80" w:line="240" w:lineRule="auto"/>
        <w:jc w:val="both"/>
        <w:rPr>
          <w:rFonts w:asciiTheme="minorHAnsi" w:eastAsia="SimSun" w:hAnsiTheme="minorHAnsi" w:cs="Arial"/>
        </w:rPr>
      </w:pPr>
      <w:r>
        <w:rPr>
          <w:rFonts w:asciiTheme="minorHAnsi" w:eastAsia="SimSun" w:hAnsiTheme="minorHAnsi" w:cs="Arial"/>
        </w:rPr>
        <w:t xml:space="preserve"> </w:t>
      </w:r>
      <w:r>
        <w:rPr>
          <w:rFonts w:asciiTheme="minorHAnsi" w:eastAsia="SimSun" w:hAnsiTheme="minorHAnsi" w:cs="Arial"/>
          <w:i/>
        </w:rPr>
        <w:t>Explore longer-term outcomes and pathways following AOD treatment</w:t>
      </w:r>
      <w:r w:rsidRPr="001D44C4">
        <w:rPr>
          <w:rFonts w:asciiTheme="minorHAnsi" w:eastAsia="SimSun" w:hAnsiTheme="minorHAnsi" w:cs="Arial"/>
          <w:i/>
        </w:rPr>
        <w:t>.</w:t>
      </w:r>
      <w:r>
        <w:rPr>
          <w:rFonts w:asciiTheme="minorHAnsi" w:eastAsia="SimSun" w:hAnsiTheme="minorHAnsi" w:cs="Arial"/>
        </w:rPr>
        <w:t xml:space="preserve"> </w:t>
      </w:r>
      <w:r w:rsidRPr="00516DA3">
        <w:rPr>
          <w:rFonts w:asciiTheme="minorHAnsi" w:eastAsia="SimSun" w:hAnsiTheme="minorHAnsi" w:cs="Arial"/>
        </w:rPr>
        <w:t xml:space="preserve">Given </w:t>
      </w:r>
      <w:r>
        <w:rPr>
          <w:rFonts w:asciiTheme="minorHAnsi" w:eastAsia="SimSun" w:hAnsiTheme="minorHAnsi" w:cs="Arial"/>
        </w:rPr>
        <w:t xml:space="preserve">international research highlighting the broader benefits of treatment over time (up to 9 years), </w:t>
      </w:r>
      <w:r w:rsidRPr="00516DA3">
        <w:rPr>
          <w:rFonts w:asciiTheme="minorHAnsi" w:eastAsia="SimSun" w:hAnsiTheme="minorHAnsi" w:cs="Arial"/>
        </w:rPr>
        <w:t>it is important that a further wave of follow-up is conducted to effectively measure the full impact of treatment</w:t>
      </w:r>
      <w:r>
        <w:rPr>
          <w:rFonts w:asciiTheme="minorHAnsi" w:eastAsia="SimSun" w:hAnsiTheme="minorHAnsi" w:cs="Arial"/>
        </w:rPr>
        <w:t xml:space="preserve"> pathways</w:t>
      </w:r>
      <w:r w:rsidRPr="00516DA3">
        <w:rPr>
          <w:rFonts w:asciiTheme="minorHAnsi" w:eastAsia="SimSun" w:hAnsiTheme="minorHAnsi" w:cs="Arial"/>
        </w:rPr>
        <w:t xml:space="preserve"> and map trajectories of recovery.</w:t>
      </w:r>
      <w:r>
        <w:rPr>
          <w:rFonts w:asciiTheme="minorHAnsi" w:eastAsia="SimSun" w:hAnsiTheme="minorHAnsi" w:cs="Arial"/>
        </w:rPr>
        <w:t xml:space="preserve"> Such work is particularly relevant here given that the majority of clients were still engaged with treatment services at the one year follow-up, and the full benefits of treatment engagement are unlikely to have been fully realised.</w:t>
      </w:r>
    </w:p>
    <w:p w:rsidR="00422154" w:rsidRDefault="00422154" w:rsidP="00422154">
      <w:pPr>
        <w:spacing w:after="80" w:line="240" w:lineRule="auto"/>
        <w:jc w:val="both"/>
        <w:rPr>
          <w:rFonts w:asciiTheme="minorHAnsi" w:eastAsia="SimSun" w:hAnsiTheme="minorHAnsi" w:cs="Arial"/>
        </w:rPr>
      </w:pPr>
    </w:p>
    <w:p w:rsidR="00422154" w:rsidRPr="00D92E6D" w:rsidRDefault="00422154" w:rsidP="00422154">
      <w:pPr>
        <w:numPr>
          <w:ilvl w:val="0"/>
          <w:numId w:val="47"/>
        </w:numPr>
        <w:shd w:val="clear" w:color="auto" w:fill="FFFFFF"/>
        <w:spacing w:after="166" w:line="240" w:lineRule="auto"/>
        <w:jc w:val="both"/>
        <w:rPr>
          <w:rFonts w:asciiTheme="minorHAnsi" w:eastAsia="SimSun" w:hAnsiTheme="minorHAnsi" w:cs="Arial"/>
          <w:i/>
        </w:rPr>
      </w:pPr>
      <w:r w:rsidRPr="00D92E6D">
        <w:rPr>
          <w:rFonts w:asciiTheme="minorHAnsi" w:eastAsia="SimSun" w:hAnsiTheme="minorHAnsi" w:cs="Arial"/>
          <w:i/>
        </w:rPr>
        <w:t xml:space="preserve"> Ongoing investment in treatment systems research. </w:t>
      </w:r>
      <w:r w:rsidRPr="00D92E6D">
        <w:rPr>
          <w:rFonts w:asciiTheme="minorHAnsi" w:eastAsia="SimSun" w:hAnsiTheme="minorHAnsi" w:cs="Arial"/>
        </w:rPr>
        <w:t>The present study highlights the importance of treatment systems research that considers the effectiveness of the AOD service sector itself, as well as being an integral component of a broader health and welfare system. Such studies are needed to complement the already well-established tradition of controlled studies of particular treatment modalities, which by design tell us little about the influence of context (e.g., setting, funding, workforce) and implementation challenges. Further investment in treatment system research is essential for informing the design of the Australian AOD sector, and identifying the strengths and weaknesses of particular models of care. One opportunity that exists, but is as yet unexplored, is comparing the existing jurisdictional</w:t>
      </w:r>
      <w:r w:rsidRPr="00D92E6D">
        <w:rPr>
          <w:rFonts w:asciiTheme="minorHAnsi" w:eastAsia="SimSun" w:hAnsiTheme="minorHAnsi" w:cs="Arial"/>
          <w:i/>
        </w:rPr>
        <w:t xml:space="preserve"> </w:t>
      </w:r>
      <w:r w:rsidRPr="00D92E6D">
        <w:rPr>
          <w:rFonts w:asciiTheme="minorHAnsi" w:eastAsia="SimSun" w:hAnsiTheme="minorHAnsi" w:cs="Arial"/>
        </w:rPr>
        <w:t xml:space="preserve">differences in the configuration of the AOD treatment system to inform the most effective system design at a national level. Further research is also needed on how best to support the broader health and welfare system in enhancing client outcomes and reducing societal costs. </w:t>
      </w:r>
    </w:p>
    <w:p w:rsidR="00422154" w:rsidRDefault="00422154" w:rsidP="00422154">
      <w:pPr>
        <w:pStyle w:val="FAREnormaltext"/>
        <w:sectPr w:rsidR="00422154" w:rsidSect="00816A7C">
          <w:footerReference w:type="default" r:id="rId33"/>
          <w:pgSz w:w="11906" w:h="16838"/>
          <w:pgMar w:top="1440" w:right="1440" w:bottom="1440" w:left="1440" w:header="708" w:footer="708" w:gutter="0"/>
          <w:pgNumType w:fmt="numberInDash"/>
          <w:cols w:space="708"/>
          <w:docGrid w:linePitch="360"/>
        </w:sectPr>
      </w:pPr>
    </w:p>
    <w:p w:rsidR="00D34D43" w:rsidRDefault="00D34D43" w:rsidP="00C2662D">
      <w:pPr>
        <w:pStyle w:val="Heading1"/>
      </w:pPr>
      <w:bookmarkStart w:id="244" w:name="_Toc398105058"/>
      <w:r>
        <w:lastRenderedPageBreak/>
        <w:t>References</w:t>
      </w:r>
      <w:bookmarkEnd w:id="244"/>
      <w:r>
        <w:t xml:space="preserve"> </w:t>
      </w:r>
    </w:p>
    <w:p w:rsidR="00225DFE" w:rsidRPr="00571053" w:rsidRDefault="00225DFE" w:rsidP="00225DFE">
      <w:pPr>
        <w:spacing w:after="0" w:line="240" w:lineRule="auto"/>
        <w:ind w:left="720" w:hanging="720"/>
        <w:rPr>
          <w:noProof/>
        </w:rPr>
      </w:pPr>
      <w:bookmarkStart w:id="245" w:name="_ENREF_1"/>
      <w:r w:rsidRPr="00571053">
        <w:rPr>
          <w:noProof/>
        </w:rPr>
        <w:t xml:space="preserve">AIHW. (2011a). </w:t>
      </w:r>
      <w:r w:rsidRPr="00A73705">
        <w:rPr>
          <w:i/>
          <w:noProof/>
        </w:rPr>
        <w:t>2010 National Drug Strategy Household Survey report</w:t>
      </w:r>
      <w:r w:rsidRPr="00571053">
        <w:rPr>
          <w:noProof/>
        </w:rPr>
        <w:t>. Drug statistics series no. 25. Cat. no. PHE 145. Canberra: Australian Institute of Health and Welfare.</w:t>
      </w:r>
      <w:bookmarkEnd w:id="245"/>
    </w:p>
    <w:p w:rsidR="00225DFE" w:rsidRPr="00571053" w:rsidRDefault="00225DFE" w:rsidP="00225DFE">
      <w:pPr>
        <w:spacing w:after="0" w:line="240" w:lineRule="auto"/>
        <w:ind w:left="720" w:hanging="720"/>
        <w:rPr>
          <w:noProof/>
        </w:rPr>
      </w:pPr>
      <w:bookmarkStart w:id="246" w:name="_ENREF_2"/>
      <w:r w:rsidRPr="00571053">
        <w:rPr>
          <w:noProof/>
        </w:rPr>
        <w:t xml:space="preserve">AIHW. (2011b). </w:t>
      </w:r>
      <w:r w:rsidRPr="00A73705">
        <w:rPr>
          <w:i/>
          <w:noProof/>
        </w:rPr>
        <w:t>Alcohol and other drug treatment services in Australia 2009–2010: report on the National Minimum Data Set</w:t>
      </w:r>
      <w:r w:rsidRPr="00571053">
        <w:rPr>
          <w:noProof/>
        </w:rPr>
        <w:t>. Drug treatment series no. 14. Cat. no. HSE 114. Canberra: Australian Institute of Health and Welfare.</w:t>
      </w:r>
      <w:bookmarkEnd w:id="246"/>
    </w:p>
    <w:p w:rsidR="00225DFE" w:rsidRDefault="00225DFE" w:rsidP="00225DFE">
      <w:pPr>
        <w:spacing w:after="0" w:line="240" w:lineRule="auto"/>
        <w:ind w:left="720" w:hanging="720"/>
        <w:rPr>
          <w:noProof/>
        </w:rPr>
      </w:pPr>
      <w:bookmarkStart w:id="247" w:name="_ENREF_3"/>
      <w:r w:rsidRPr="00571053">
        <w:rPr>
          <w:noProof/>
        </w:rPr>
        <w:t xml:space="preserve">AIHW. (2013). </w:t>
      </w:r>
      <w:r w:rsidRPr="00A73705">
        <w:rPr>
          <w:i/>
          <w:noProof/>
        </w:rPr>
        <w:t>Alcohol and other drug treatment services in Australia 2011–12</w:t>
      </w:r>
      <w:r w:rsidRPr="00571053">
        <w:rPr>
          <w:noProof/>
        </w:rPr>
        <w:t>. Drug treatment series 21. Cat. no. HSE139. Canberra: AIHW.</w:t>
      </w:r>
      <w:bookmarkEnd w:id="247"/>
    </w:p>
    <w:p w:rsidR="00263BB3" w:rsidRPr="00571053" w:rsidRDefault="00263BB3" w:rsidP="00225DFE">
      <w:pPr>
        <w:spacing w:after="0" w:line="240" w:lineRule="auto"/>
        <w:ind w:left="720" w:hanging="720"/>
        <w:rPr>
          <w:noProof/>
        </w:rPr>
      </w:pPr>
      <w:r w:rsidRPr="00263BB3">
        <w:rPr>
          <w:noProof/>
        </w:rPr>
        <w:t xml:space="preserve">Attkisson, C., &amp; Greenfield, T. (2004). The UCSF Client Satisfaction Scales: I. The Client Satisfaction Questionnaire-8. In M. E. Maruish (Ed.), </w:t>
      </w:r>
      <w:r w:rsidRPr="00A73705">
        <w:rPr>
          <w:i/>
          <w:noProof/>
        </w:rPr>
        <w:t>The use of psychological testing for treatment planning and outcomes assessment</w:t>
      </w:r>
      <w:r w:rsidRPr="00263BB3">
        <w:rPr>
          <w:noProof/>
        </w:rPr>
        <w:t xml:space="preserve"> (3 ed.). Mahwah, NJ, US: Lawrence Erlbaum Associates Publishers.</w:t>
      </w:r>
    </w:p>
    <w:p w:rsidR="00225DFE" w:rsidRPr="00571053" w:rsidRDefault="00225DFE" w:rsidP="00225DFE">
      <w:pPr>
        <w:spacing w:after="0" w:line="240" w:lineRule="auto"/>
        <w:ind w:left="720" w:hanging="720"/>
        <w:rPr>
          <w:noProof/>
        </w:rPr>
      </w:pPr>
      <w:bookmarkStart w:id="248" w:name="_ENREF_4"/>
      <w:r w:rsidRPr="00571053">
        <w:rPr>
          <w:noProof/>
        </w:rPr>
        <w:t xml:space="preserve">Babor, T. F., Stenius, K., &amp; Romelsjo, A. (2008). Alcohol and drug treatment systems in public health perspective: mediators and moderators of population effects. </w:t>
      </w:r>
      <w:r w:rsidRPr="00571053">
        <w:rPr>
          <w:i/>
          <w:noProof/>
        </w:rPr>
        <w:t>International Journal of Methods in Psychiatric Research, 17</w:t>
      </w:r>
      <w:r w:rsidRPr="00571053">
        <w:rPr>
          <w:noProof/>
        </w:rPr>
        <w:t xml:space="preserve">(1), S50-S59. </w:t>
      </w:r>
      <w:bookmarkEnd w:id="248"/>
    </w:p>
    <w:p w:rsidR="00225DFE" w:rsidRPr="00571053" w:rsidRDefault="00225DFE" w:rsidP="00225DFE">
      <w:pPr>
        <w:spacing w:after="0" w:line="240" w:lineRule="auto"/>
        <w:ind w:left="720" w:hanging="720"/>
        <w:rPr>
          <w:noProof/>
        </w:rPr>
      </w:pPr>
      <w:bookmarkStart w:id="249" w:name="_ENREF_5"/>
      <w:r w:rsidRPr="00571053">
        <w:rPr>
          <w:noProof/>
        </w:rPr>
        <w:t>Begg, S., Vos, T., Barker, B., Stevenson, C., Stanley, L., &amp; Lopez, A. D. (2007). The burden of disease and injury in Australia 2003. Canberra: AIHW.</w:t>
      </w:r>
      <w:bookmarkEnd w:id="249"/>
    </w:p>
    <w:p w:rsidR="00225DFE" w:rsidRPr="00571053" w:rsidRDefault="00225DFE" w:rsidP="00225DFE">
      <w:pPr>
        <w:spacing w:after="0" w:line="240" w:lineRule="auto"/>
        <w:ind w:left="720" w:hanging="720"/>
        <w:rPr>
          <w:noProof/>
        </w:rPr>
      </w:pPr>
      <w:bookmarkStart w:id="250" w:name="_ENREF_6"/>
      <w:r w:rsidRPr="00571053">
        <w:rPr>
          <w:noProof/>
        </w:rPr>
        <w:t xml:space="preserve">Best, D. (2014). </w:t>
      </w:r>
      <w:r w:rsidRPr="00571053">
        <w:rPr>
          <w:i/>
          <w:noProof/>
        </w:rPr>
        <w:t>Strength, support, setbacks and solutions</w:t>
      </w:r>
      <w:r w:rsidRPr="00571053">
        <w:rPr>
          <w:noProof/>
        </w:rPr>
        <w:t>. Brighton, East Sussex: Pavillion.</w:t>
      </w:r>
      <w:bookmarkEnd w:id="250"/>
    </w:p>
    <w:p w:rsidR="00225DFE" w:rsidRPr="00571053" w:rsidRDefault="00225DFE" w:rsidP="00225DFE">
      <w:pPr>
        <w:spacing w:after="0" w:line="240" w:lineRule="auto"/>
        <w:ind w:left="720" w:hanging="720"/>
        <w:rPr>
          <w:noProof/>
        </w:rPr>
      </w:pPr>
      <w:bookmarkStart w:id="251" w:name="_ENREF_7"/>
      <w:r w:rsidRPr="00571053">
        <w:rPr>
          <w:noProof/>
        </w:rPr>
        <w:t xml:space="preserve">Best, D., Rome, A., Hanning, K., White, W., Gossop, M., Taylor, A., &amp; Perkins, A. (2010). </w:t>
      </w:r>
      <w:r w:rsidRPr="00A73705">
        <w:rPr>
          <w:i/>
          <w:noProof/>
        </w:rPr>
        <w:t>Research for recovery: A review of the drugs evidence base</w:t>
      </w:r>
      <w:r w:rsidRPr="00571053">
        <w:rPr>
          <w:noProof/>
        </w:rPr>
        <w:t xml:space="preserve">. </w:t>
      </w:r>
      <w:r w:rsidRPr="00A73705">
        <w:rPr>
          <w:noProof/>
        </w:rPr>
        <w:t>Scottish Government Social Research.</w:t>
      </w:r>
      <w:r w:rsidRPr="00571053">
        <w:rPr>
          <w:noProof/>
        </w:rPr>
        <w:t xml:space="preserve"> </w:t>
      </w:r>
      <w:bookmarkEnd w:id="251"/>
    </w:p>
    <w:p w:rsidR="00225DFE" w:rsidRDefault="00225DFE" w:rsidP="00225DFE">
      <w:pPr>
        <w:spacing w:after="0" w:line="240" w:lineRule="auto"/>
        <w:ind w:left="720" w:hanging="720"/>
        <w:rPr>
          <w:noProof/>
        </w:rPr>
      </w:pPr>
      <w:bookmarkStart w:id="252" w:name="_ENREF_8"/>
      <w:r w:rsidRPr="00571053">
        <w:rPr>
          <w:noProof/>
        </w:rPr>
        <w:t xml:space="preserve">Bodenheimer, T., Wagner, E., &amp; Grumbach, K. (2002). Improving primary care for patients with chronic illness: The chronic care model. </w:t>
      </w:r>
      <w:r w:rsidRPr="00571053">
        <w:rPr>
          <w:i/>
          <w:noProof/>
        </w:rPr>
        <w:t>JAMA, 288</w:t>
      </w:r>
      <w:r w:rsidRPr="00571053">
        <w:rPr>
          <w:noProof/>
        </w:rPr>
        <w:t xml:space="preserve">, 1775-1779. </w:t>
      </w:r>
      <w:bookmarkEnd w:id="252"/>
    </w:p>
    <w:p w:rsidR="00A73705" w:rsidRPr="00571053" w:rsidRDefault="00A73705" w:rsidP="00225DFE">
      <w:pPr>
        <w:spacing w:after="0" w:line="240" w:lineRule="auto"/>
        <w:ind w:left="720" w:hanging="720"/>
        <w:rPr>
          <w:noProof/>
        </w:rPr>
      </w:pPr>
      <w:r w:rsidRPr="00A73705">
        <w:rPr>
          <w:noProof/>
        </w:rPr>
        <w:t xml:space="preserve">Brohan, E., Slade, M., Clement, S., Rose, D., Sartorius, N., &amp; Thornicroft, G. (2011). Further development and psychometric validation of the discrimination and stigma scale (DISC-12). </w:t>
      </w:r>
      <w:r w:rsidRPr="00A73705">
        <w:rPr>
          <w:i/>
          <w:noProof/>
        </w:rPr>
        <w:t>Psychiatrische Praxis</w:t>
      </w:r>
      <w:r w:rsidRPr="00A73705">
        <w:rPr>
          <w:noProof/>
        </w:rPr>
        <w:t>, 38.</w:t>
      </w:r>
    </w:p>
    <w:p w:rsidR="00225DFE" w:rsidRPr="00571053" w:rsidRDefault="00225DFE" w:rsidP="00225DFE">
      <w:pPr>
        <w:spacing w:after="0" w:line="240" w:lineRule="auto"/>
        <w:ind w:left="720" w:hanging="720"/>
        <w:rPr>
          <w:noProof/>
        </w:rPr>
      </w:pPr>
      <w:bookmarkStart w:id="253" w:name="_ENREF_9"/>
      <w:r w:rsidRPr="00571053">
        <w:rPr>
          <w:noProof/>
        </w:rPr>
        <w:t xml:space="preserve">Brown, B., O'Grady, K., Battjes, R., &amp; Katz, E. (2004). The Community Assessment Inventory - Client views of supports to drug abuse treatment. </w:t>
      </w:r>
      <w:r w:rsidRPr="00571053">
        <w:rPr>
          <w:i/>
          <w:noProof/>
        </w:rPr>
        <w:t>Journal of Substance Abuse and Treatment 27</w:t>
      </w:r>
      <w:r w:rsidRPr="00571053">
        <w:rPr>
          <w:noProof/>
        </w:rPr>
        <w:t xml:space="preserve">, 241-251. </w:t>
      </w:r>
      <w:bookmarkEnd w:id="253"/>
    </w:p>
    <w:p w:rsidR="00225DFE" w:rsidRDefault="00225DFE" w:rsidP="00225DFE">
      <w:pPr>
        <w:spacing w:after="0" w:line="240" w:lineRule="auto"/>
        <w:ind w:left="720" w:hanging="720"/>
        <w:rPr>
          <w:noProof/>
        </w:rPr>
      </w:pPr>
      <w:bookmarkStart w:id="254" w:name="_ENREF_10"/>
      <w:r w:rsidRPr="00571053">
        <w:rPr>
          <w:noProof/>
        </w:rPr>
        <w:t xml:space="preserve">Burns, T., Fioritti, A., Holloway, F., Malm, U., &amp; Rossler, W. (2001). Case management and assertive community treatment in Europe. </w:t>
      </w:r>
      <w:r w:rsidRPr="00571053">
        <w:rPr>
          <w:i/>
          <w:noProof/>
        </w:rPr>
        <w:t>Psychiatr Serv, 52</w:t>
      </w:r>
      <w:r w:rsidRPr="00571053">
        <w:rPr>
          <w:noProof/>
        </w:rPr>
        <w:t xml:space="preserve">(5), 631-636. </w:t>
      </w:r>
      <w:bookmarkEnd w:id="254"/>
    </w:p>
    <w:p w:rsidR="007918BF" w:rsidRPr="00571053" w:rsidRDefault="007918BF" w:rsidP="00225DFE">
      <w:pPr>
        <w:spacing w:after="0" w:line="240" w:lineRule="auto"/>
        <w:ind w:left="720" w:hanging="720"/>
        <w:rPr>
          <w:noProof/>
        </w:rPr>
      </w:pPr>
      <w:r w:rsidRPr="007918BF">
        <w:rPr>
          <w:noProof/>
        </w:rPr>
        <w:t xml:space="preserve">Bush, K., Kivlahan, D. R., McDonell, M. B., Fihn, S. D., &amp; Bradley, K. A. (1998). The AUDIT alcohol consumption questions (AUDIT-C): an effective brief screening test for problem drinking. Ambulatory Care Quality Improvement Project (ACQUIP). Alcohol Use Disorders Identification Test. </w:t>
      </w:r>
      <w:r w:rsidRPr="00A73705">
        <w:rPr>
          <w:i/>
          <w:noProof/>
        </w:rPr>
        <w:t>Arch Intern Med</w:t>
      </w:r>
      <w:r w:rsidRPr="007918BF">
        <w:rPr>
          <w:noProof/>
        </w:rPr>
        <w:t>, 158(16), 1789-1795.</w:t>
      </w:r>
    </w:p>
    <w:p w:rsidR="00225DFE" w:rsidRPr="00571053" w:rsidRDefault="00145301" w:rsidP="00225DFE">
      <w:pPr>
        <w:spacing w:after="0" w:line="240" w:lineRule="auto"/>
        <w:ind w:left="720" w:hanging="720"/>
        <w:rPr>
          <w:noProof/>
        </w:rPr>
      </w:pPr>
      <w:bookmarkStart w:id="255" w:name="_ENREF_11"/>
      <w:r w:rsidRPr="00145301">
        <w:rPr>
          <w:noProof/>
          <w:lang w:val="de-DE"/>
        </w:rPr>
        <w:t xml:space="preserve">Chi, F., Parthasarathy, S., Mertens, J., &amp; Weisner, C. (2011). </w:t>
      </w:r>
      <w:r w:rsidR="00225DFE" w:rsidRPr="00571053">
        <w:rPr>
          <w:noProof/>
        </w:rPr>
        <w:t xml:space="preserve">Continuing care and long-term substance use outcomes in managed care : early evidence for a primary care-based model. </w:t>
      </w:r>
      <w:r w:rsidR="00225DFE" w:rsidRPr="00571053">
        <w:rPr>
          <w:i/>
          <w:noProof/>
        </w:rPr>
        <w:t>Psychiatric Services, 2011, 62, 10</w:t>
      </w:r>
      <w:r w:rsidR="00225DFE" w:rsidRPr="00571053">
        <w:rPr>
          <w:noProof/>
        </w:rPr>
        <w:t xml:space="preserve">, 1194-1200. </w:t>
      </w:r>
      <w:bookmarkEnd w:id="255"/>
    </w:p>
    <w:p w:rsidR="00225DFE" w:rsidRPr="00571053" w:rsidRDefault="00225DFE" w:rsidP="00225DFE">
      <w:pPr>
        <w:spacing w:after="0" w:line="240" w:lineRule="auto"/>
        <w:ind w:left="720" w:hanging="720"/>
        <w:rPr>
          <w:noProof/>
        </w:rPr>
      </w:pPr>
      <w:bookmarkStart w:id="256" w:name="_ENREF_12"/>
      <w:r w:rsidRPr="00571053">
        <w:rPr>
          <w:noProof/>
        </w:rPr>
        <w:t xml:space="preserve">Chi, F., &amp; Weisner, C. (2008). Nine-year psychiatric trajectories and substance use outcomes: An application of the group-based modelling approach. </w:t>
      </w:r>
      <w:r w:rsidRPr="00571053">
        <w:rPr>
          <w:i/>
          <w:noProof/>
        </w:rPr>
        <w:t>Eval Rev, 32</w:t>
      </w:r>
      <w:r w:rsidRPr="00571053">
        <w:rPr>
          <w:noProof/>
        </w:rPr>
        <w:t xml:space="preserve">(1), 39-58. </w:t>
      </w:r>
      <w:bookmarkEnd w:id="256"/>
    </w:p>
    <w:p w:rsidR="002F6DD3" w:rsidRPr="002E33F7" w:rsidRDefault="002F6DD3" w:rsidP="002F6DD3">
      <w:pPr>
        <w:spacing w:after="0" w:line="240" w:lineRule="auto"/>
        <w:ind w:left="720" w:hanging="720"/>
        <w:rPr>
          <w:noProof/>
        </w:rPr>
      </w:pPr>
      <w:bookmarkStart w:id="257" w:name="_ENREF_13"/>
      <w:r w:rsidRPr="002E33F7">
        <w:rPr>
          <w:noProof/>
        </w:rPr>
        <w:t xml:space="preserve">Cox, G., &amp; Comiskey, C. (2007). Characteristics of opiate users presenting for a new treatment episode: Baseline data from the national drug treatment outcome study in Ireland (ROSIE). </w:t>
      </w:r>
      <w:r w:rsidRPr="002E33F7">
        <w:rPr>
          <w:i/>
          <w:noProof/>
        </w:rPr>
        <w:t>Drugs: education, prevention and policy, 14</w:t>
      </w:r>
      <w:r w:rsidRPr="002E33F7">
        <w:rPr>
          <w:noProof/>
        </w:rPr>
        <w:t xml:space="preserve">(3), 217-230. </w:t>
      </w:r>
    </w:p>
    <w:p w:rsidR="00225DFE" w:rsidRPr="00571053" w:rsidRDefault="00225DFE" w:rsidP="00225DFE">
      <w:pPr>
        <w:spacing w:after="0" w:line="240" w:lineRule="auto"/>
        <w:ind w:left="720" w:hanging="720"/>
        <w:rPr>
          <w:noProof/>
        </w:rPr>
      </w:pPr>
      <w:r w:rsidRPr="00571053">
        <w:rPr>
          <w:noProof/>
        </w:rPr>
        <w:t xml:space="preserve">Darke, S., Ross, J., &amp; Teesson, M. (2007). The Australian Treatment Outcome Study (ATOS): what have we learnt about treatment for heroin dependence? </w:t>
      </w:r>
      <w:r w:rsidRPr="00571053">
        <w:rPr>
          <w:i/>
          <w:noProof/>
        </w:rPr>
        <w:t>Drug and Alcohol Review, 26</w:t>
      </w:r>
      <w:r w:rsidRPr="00571053">
        <w:rPr>
          <w:noProof/>
        </w:rPr>
        <w:t xml:space="preserve">(1), 49-54. </w:t>
      </w:r>
      <w:bookmarkEnd w:id="257"/>
    </w:p>
    <w:p w:rsidR="00225DFE" w:rsidRPr="00571053" w:rsidRDefault="00225DFE" w:rsidP="00225DFE">
      <w:pPr>
        <w:spacing w:after="0" w:line="240" w:lineRule="auto"/>
        <w:ind w:left="720" w:hanging="720"/>
        <w:rPr>
          <w:noProof/>
        </w:rPr>
      </w:pPr>
      <w:bookmarkStart w:id="258" w:name="_ENREF_14"/>
      <w:r w:rsidRPr="00571053">
        <w:rPr>
          <w:noProof/>
        </w:rPr>
        <w:t xml:space="preserve">Day, E., Gaston, R. L., Furlong, E., Murali, V., &amp; Copello, A. (2005). UK substance misuse treatment workers' attitudes to twelve-step self-help groups. </w:t>
      </w:r>
      <w:r w:rsidRPr="00571053">
        <w:rPr>
          <w:i/>
          <w:noProof/>
        </w:rPr>
        <w:t>Substance Abuse Treatment, 29</w:t>
      </w:r>
      <w:r w:rsidRPr="00571053">
        <w:rPr>
          <w:noProof/>
        </w:rPr>
        <w:t xml:space="preserve">, 321-327. </w:t>
      </w:r>
      <w:bookmarkEnd w:id="258"/>
    </w:p>
    <w:p w:rsidR="00225DFE" w:rsidRPr="00571053" w:rsidRDefault="00225DFE" w:rsidP="00225DFE">
      <w:pPr>
        <w:spacing w:after="0" w:line="240" w:lineRule="auto"/>
        <w:ind w:left="720" w:hanging="720"/>
        <w:rPr>
          <w:noProof/>
        </w:rPr>
      </w:pPr>
      <w:bookmarkStart w:id="259" w:name="_ENREF_15"/>
      <w:r w:rsidRPr="00571053">
        <w:rPr>
          <w:noProof/>
        </w:rPr>
        <w:lastRenderedPageBreak/>
        <w:t xml:space="preserve">Delucchi, K., Kline, S., &amp; Weisner, C. (2012). Remission from alcohol and other drug problem use in public and private treatment samples over seven years. </w:t>
      </w:r>
      <w:r w:rsidRPr="00571053">
        <w:rPr>
          <w:i/>
          <w:noProof/>
        </w:rPr>
        <w:t>Drug and Alcohol Dependence, 2012, 124, 1-2</w:t>
      </w:r>
      <w:r w:rsidRPr="00571053">
        <w:rPr>
          <w:noProof/>
        </w:rPr>
        <w:t xml:space="preserve">, 57-62. </w:t>
      </w:r>
      <w:bookmarkEnd w:id="259"/>
    </w:p>
    <w:p w:rsidR="00225DFE" w:rsidRPr="00571053" w:rsidRDefault="00225DFE" w:rsidP="00225DFE">
      <w:pPr>
        <w:spacing w:after="0" w:line="240" w:lineRule="auto"/>
        <w:ind w:left="720" w:hanging="720"/>
        <w:rPr>
          <w:noProof/>
        </w:rPr>
      </w:pPr>
      <w:bookmarkStart w:id="260" w:name="_ENREF_16"/>
      <w:r w:rsidRPr="00571053">
        <w:rPr>
          <w:noProof/>
        </w:rPr>
        <w:t xml:space="preserve">Dennis, M., &amp; Scott, C. K. (2007). Managing addiction as a chronic condition. </w:t>
      </w:r>
      <w:r w:rsidRPr="00571053">
        <w:rPr>
          <w:i/>
          <w:noProof/>
        </w:rPr>
        <w:t>Addict Sci Clin Pract, 4</w:t>
      </w:r>
      <w:r w:rsidRPr="00571053">
        <w:rPr>
          <w:noProof/>
        </w:rPr>
        <w:t xml:space="preserve">(1), 45-55. </w:t>
      </w:r>
      <w:bookmarkEnd w:id="260"/>
    </w:p>
    <w:p w:rsidR="00225DFE" w:rsidRPr="00571053" w:rsidRDefault="00225DFE" w:rsidP="00225DFE">
      <w:pPr>
        <w:spacing w:after="0" w:line="240" w:lineRule="auto"/>
        <w:ind w:left="720" w:hanging="720"/>
        <w:rPr>
          <w:noProof/>
        </w:rPr>
      </w:pPr>
      <w:bookmarkStart w:id="261" w:name="_ENREF_17"/>
      <w:r w:rsidRPr="00571053">
        <w:rPr>
          <w:noProof/>
        </w:rPr>
        <w:t xml:space="preserve">Department of Health. (2012). </w:t>
      </w:r>
      <w:r w:rsidRPr="005254F0">
        <w:rPr>
          <w:i/>
          <w:noProof/>
        </w:rPr>
        <w:t>New directions for alcohol and drug treatment services: A roadmap.</w:t>
      </w:r>
      <w:r w:rsidRPr="00571053">
        <w:rPr>
          <w:noProof/>
        </w:rPr>
        <w:t xml:space="preserve"> Melbourne: State of Victoria, Department of Health.</w:t>
      </w:r>
      <w:bookmarkEnd w:id="261"/>
    </w:p>
    <w:p w:rsidR="00225DFE" w:rsidRPr="00571053" w:rsidRDefault="00225DFE" w:rsidP="00225DFE">
      <w:pPr>
        <w:spacing w:after="0" w:line="240" w:lineRule="auto"/>
        <w:ind w:left="720" w:hanging="720"/>
        <w:rPr>
          <w:noProof/>
        </w:rPr>
      </w:pPr>
      <w:bookmarkStart w:id="262" w:name="_ENREF_18"/>
      <w:r w:rsidRPr="00571053">
        <w:rPr>
          <w:noProof/>
        </w:rPr>
        <w:t xml:space="preserve">Donmall, M., Jones, A., Davies, L., &amp; Barnard, M. (2009). </w:t>
      </w:r>
      <w:r w:rsidRPr="005254F0">
        <w:rPr>
          <w:i/>
          <w:noProof/>
        </w:rPr>
        <w:t>Summary of key findings from the Drug Treatment Outcomes Research Study (DTORS)</w:t>
      </w:r>
      <w:r w:rsidRPr="00571053">
        <w:rPr>
          <w:noProof/>
        </w:rPr>
        <w:t xml:space="preserve"> </w:t>
      </w:r>
      <w:r w:rsidRPr="005254F0">
        <w:rPr>
          <w:noProof/>
        </w:rPr>
        <w:t>Research report 23</w:t>
      </w:r>
      <w:r w:rsidRPr="00571053">
        <w:rPr>
          <w:noProof/>
        </w:rPr>
        <w:t>. London: Home office.</w:t>
      </w:r>
      <w:bookmarkEnd w:id="262"/>
    </w:p>
    <w:p w:rsidR="00225DFE" w:rsidRPr="00571053" w:rsidRDefault="00225DFE" w:rsidP="00225DFE">
      <w:pPr>
        <w:spacing w:after="0" w:line="240" w:lineRule="auto"/>
        <w:ind w:left="720" w:hanging="720"/>
        <w:rPr>
          <w:noProof/>
        </w:rPr>
      </w:pPr>
      <w:bookmarkStart w:id="263" w:name="_ENREF_19"/>
      <w:r w:rsidRPr="00571053">
        <w:rPr>
          <w:noProof/>
        </w:rPr>
        <w:t xml:space="preserve">Gaston, R. L., Best, D., Day, E., &amp; White, W. (2010). Perceptions of 12-step interventions among UK substance misuse patients attending residential </w:t>
      </w:r>
      <w:r w:rsidR="00F35DB0">
        <w:rPr>
          <w:noProof/>
        </w:rPr>
        <w:t>inpatient</w:t>
      </w:r>
      <w:r w:rsidRPr="00571053">
        <w:rPr>
          <w:noProof/>
        </w:rPr>
        <w:t xml:space="preserve"> treatment in a UK treatment setting. </w:t>
      </w:r>
      <w:r w:rsidRPr="00571053">
        <w:rPr>
          <w:i/>
          <w:noProof/>
        </w:rPr>
        <w:t>Groups in Addiction &amp; Recovery, 5</w:t>
      </w:r>
      <w:r w:rsidRPr="00571053">
        <w:rPr>
          <w:noProof/>
        </w:rPr>
        <w:t xml:space="preserve">, 306-323. </w:t>
      </w:r>
      <w:bookmarkEnd w:id="263"/>
    </w:p>
    <w:p w:rsidR="00225DFE" w:rsidRPr="00571053" w:rsidRDefault="00225DFE" w:rsidP="00225DFE">
      <w:pPr>
        <w:spacing w:after="0" w:line="240" w:lineRule="auto"/>
        <w:ind w:left="720" w:hanging="720"/>
        <w:rPr>
          <w:noProof/>
        </w:rPr>
      </w:pPr>
      <w:bookmarkStart w:id="264" w:name="_ENREF_20"/>
      <w:r w:rsidRPr="00571053">
        <w:rPr>
          <w:noProof/>
        </w:rPr>
        <w:t xml:space="preserve">Gossop, M., Darke, S., Griffiths, P., Hando, J., Powis, B., Hall, W., &amp; Strang, J. (1995). The Severity of Dependence Scale: psychometric properties in English and Australian samples of heroin, cocaine and amphetamine users. </w:t>
      </w:r>
      <w:r w:rsidRPr="00571053">
        <w:rPr>
          <w:i/>
          <w:noProof/>
        </w:rPr>
        <w:t>Addiction, 90</w:t>
      </w:r>
      <w:r w:rsidRPr="00571053">
        <w:rPr>
          <w:noProof/>
        </w:rPr>
        <w:t xml:space="preserve">(5), 607-614. </w:t>
      </w:r>
      <w:bookmarkEnd w:id="264"/>
    </w:p>
    <w:p w:rsidR="00225DFE" w:rsidRPr="00571053" w:rsidRDefault="00225DFE" w:rsidP="00225DFE">
      <w:pPr>
        <w:spacing w:after="0" w:line="240" w:lineRule="auto"/>
        <w:ind w:left="720" w:hanging="720"/>
        <w:rPr>
          <w:noProof/>
        </w:rPr>
      </w:pPr>
      <w:bookmarkStart w:id="265" w:name="_ENREF_21"/>
      <w:r w:rsidRPr="00571053">
        <w:rPr>
          <w:noProof/>
        </w:rPr>
        <w:t xml:space="preserve">Gossop, M., Marsden, J., Stewart, D., &amp; Rolfe, A. (2000). Reductions in acquisitive crime and drug use after treatment of addiction problems: one year follow-up outcomes. </w:t>
      </w:r>
      <w:r w:rsidRPr="00571053">
        <w:rPr>
          <w:i/>
          <w:noProof/>
        </w:rPr>
        <w:t>Drug and Alcohol Dependence, 58</w:t>
      </w:r>
      <w:r w:rsidRPr="00571053">
        <w:rPr>
          <w:noProof/>
        </w:rPr>
        <w:t xml:space="preserve">, 165-172. </w:t>
      </w:r>
      <w:bookmarkEnd w:id="265"/>
    </w:p>
    <w:p w:rsidR="00225DFE" w:rsidRDefault="00225DFE" w:rsidP="00225DFE">
      <w:pPr>
        <w:spacing w:after="0" w:line="240" w:lineRule="auto"/>
        <w:ind w:left="720" w:hanging="720"/>
        <w:rPr>
          <w:noProof/>
        </w:rPr>
      </w:pPr>
      <w:bookmarkStart w:id="266" w:name="_ENREF_22"/>
      <w:r w:rsidRPr="00571053">
        <w:rPr>
          <w:noProof/>
        </w:rPr>
        <w:t xml:space="preserve">Gossop, M., Marsden, J., Stewart, D., &amp; Treacy, S. (2001). Outcomes after methadone maintenance and methadone reduction treatments: two year follow-up results from the National Treatment Outcome Research Study. </w:t>
      </w:r>
      <w:r w:rsidRPr="00571053">
        <w:rPr>
          <w:i/>
          <w:noProof/>
        </w:rPr>
        <w:t>Drug and Alcohol Dependence, 62</w:t>
      </w:r>
      <w:r w:rsidRPr="00571053">
        <w:rPr>
          <w:noProof/>
        </w:rPr>
        <w:t xml:space="preserve">(3), 255-264. </w:t>
      </w:r>
      <w:bookmarkEnd w:id="266"/>
    </w:p>
    <w:p w:rsidR="00B249AF" w:rsidRPr="00571053" w:rsidRDefault="00B249AF" w:rsidP="00225DFE">
      <w:pPr>
        <w:spacing w:after="0" w:line="240" w:lineRule="auto"/>
        <w:ind w:left="720" w:hanging="720"/>
        <w:rPr>
          <w:noProof/>
        </w:rPr>
      </w:pPr>
      <w:r w:rsidRPr="00B249AF">
        <w:rPr>
          <w:noProof/>
        </w:rPr>
        <w:t xml:space="preserve">Hawthorne, G., Herrman, H., &amp; Murphy, B. (2006). Interpreting the WHOQOL-Brèf: Preliminary Population Norms and Effect Sizes. </w:t>
      </w:r>
      <w:r w:rsidRPr="00B249AF">
        <w:rPr>
          <w:i/>
          <w:noProof/>
        </w:rPr>
        <w:t>Social Indicators Research</w:t>
      </w:r>
      <w:r w:rsidRPr="00B249AF">
        <w:rPr>
          <w:noProof/>
        </w:rPr>
        <w:t>, 77(1), 37-59.</w:t>
      </w:r>
    </w:p>
    <w:p w:rsidR="00225DFE" w:rsidRPr="00571053" w:rsidRDefault="00225DFE" w:rsidP="00225DFE">
      <w:pPr>
        <w:spacing w:after="0" w:line="240" w:lineRule="auto"/>
        <w:ind w:left="720" w:hanging="720"/>
        <w:rPr>
          <w:noProof/>
        </w:rPr>
      </w:pPr>
      <w:bookmarkStart w:id="267" w:name="_ENREF_23"/>
      <w:r w:rsidRPr="00571053">
        <w:rPr>
          <w:noProof/>
        </w:rPr>
        <w:t xml:space="preserve">Heilbronn, C., Matthews, S., &amp; Lloyd, B. (in press). </w:t>
      </w:r>
      <w:r w:rsidRPr="005254F0">
        <w:rPr>
          <w:i/>
          <w:noProof/>
        </w:rPr>
        <w:t>Social determinants, drinking and chronic disease: The role of social determinants of health in alcohol consumption and alcohol related chronic disease in Victoria</w:t>
      </w:r>
      <w:r w:rsidRPr="00571053">
        <w:rPr>
          <w:noProof/>
        </w:rPr>
        <w:t>. Fitzroy, Victoria: Turning Point.</w:t>
      </w:r>
      <w:bookmarkEnd w:id="267"/>
    </w:p>
    <w:p w:rsidR="00225DFE" w:rsidRDefault="00225DFE" w:rsidP="00225DFE">
      <w:pPr>
        <w:spacing w:after="0" w:line="240" w:lineRule="auto"/>
        <w:ind w:left="720" w:hanging="720"/>
        <w:rPr>
          <w:noProof/>
        </w:rPr>
      </w:pPr>
      <w:bookmarkStart w:id="268" w:name="_ENREF_24"/>
      <w:r w:rsidRPr="00571053">
        <w:rPr>
          <w:noProof/>
        </w:rPr>
        <w:t xml:space="preserve">Hesse, M., Vanderplasschen, W., Rapp, R., Broekaert, E., &amp; Fridell, M. (2007). Case management for persons with substance use disorders. </w:t>
      </w:r>
      <w:r w:rsidRPr="00571053">
        <w:rPr>
          <w:i/>
          <w:noProof/>
        </w:rPr>
        <w:t>Cochrane Database of Systematic Reviews, 2007</w:t>
      </w:r>
      <w:r w:rsidRPr="00571053">
        <w:rPr>
          <w:noProof/>
        </w:rPr>
        <w:t xml:space="preserve">(4:CD006265). </w:t>
      </w:r>
      <w:bookmarkEnd w:id="268"/>
    </w:p>
    <w:p w:rsidR="00246A73" w:rsidRPr="00571053" w:rsidRDefault="00246A73" w:rsidP="00225DFE">
      <w:pPr>
        <w:spacing w:after="0" w:line="240" w:lineRule="auto"/>
        <w:ind w:left="720" w:hanging="720"/>
        <w:rPr>
          <w:noProof/>
        </w:rPr>
      </w:pPr>
      <w:r w:rsidRPr="00246A73">
        <w:rPr>
          <w:noProof/>
        </w:rPr>
        <w:t>Institute of Behavioral Research. (2008). TCU MOTForm scales and item scoring guide. Retrieved from http://www.ibr.tcu.edu/pubs/datacoll/Forms/adc-MOTsg.pdf: Texas Christian University.</w:t>
      </w:r>
    </w:p>
    <w:p w:rsidR="00EE6F15" w:rsidRDefault="00225DFE" w:rsidP="00225DFE">
      <w:pPr>
        <w:spacing w:after="0" w:line="240" w:lineRule="auto"/>
        <w:ind w:left="720" w:hanging="720"/>
        <w:rPr>
          <w:noProof/>
        </w:rPr>
      </w:pPr>
      <w:bookmarkStart w:id="269" w:name="_ENREF_25"/>
      <w:r w:rsidRPr="00571053">
        <w:rPr>
          <w:noProof/>
        </w:rPr>
        <w:t xml:space="preserve">Kaskutas, L. (2009). Alcoholics Anonymous effectiveness: faith meets science. </w:t>
      </w:r>
      <w:r w:rsidRPr="00571053">
        <w:rPr>
          <w:i/>
          <w:noProof/>
        </w:rPr>
        <w:t>J. Addict. Dis., 28</w:t>
      </w:r>
      <w:r w:rsidRPr="00571053">
        <w:rPr>
          <w:noProof/>
        </w:rPr>
        <w:t xml:space="preserve">, 145-157. </w:t>
      </w:r>
      <w:bookmarkEnd w:id="269"/>
    </w:p>
    <w:p w:rsidR="00225DFE" w:rsidRDefault="00EE6F15" w:rsidP="00225DFE">
      <w:pPr>
        <w:spacing w:after="0" w:line="240" w:lineRule="auto"/>
        <w:ind w:left="720" w:hanging="720"/>
        <w:rPr>
          <w:noProof/>
        </w:rPr>
      </w:pPr>
      <w:r>
        <w:rPr>
          <w:noProof/>
        </w:rPr>
        <w:t>Kaskutas et al 2009b</w:t>
      </w:r>
      <w:r w:rsidRPr="00EE6F15">
        <w:rPr>
          <w:noProof/>
        </w:rPr>
        <w:t>http://www.ncbi.nlm.nih.gov/pmc/articles/PMC2746399/</w:t>
      </w:r>
    </w:p>
    <w:p w:rsidR="00225DFE" w:rsidRPr="00571053" w:rsidRDefault="00225DFE" w:rsidP="00225DFE">
      <w:pPr>
        <w:spacing w:after="0" w:line="240" w:lineRule="auto"/>
        <w:ind w:left="720" w:hanging="720"/>
        <w:rPr>
          <w:noProof/>
        </w:rPr>
      </w:pPr>
      <w:bookmarkStart w:id="270" w:name="_ENREF_26"/>
      <w:r w:rsidRPr="00571053">
        <w:rPr>
          <w:noProof/>
        </w:rPr>
        <w:t xml:space="preserve">Kelly, J. F., Stout, R. L., &amp; Slaymaker, V. (2013). Emerging adults' treatment outcomes in relation to 12-step mutual-help attendance and active involvement. </w:t>
      </w:r>
      <w:r w:rsidRPr="00571053">
        <w:rPr>
          <w:i/>
          <w:noProof/>
        </w:rPr>
        <w:t>Drug Alcohol Depend., 129</w:t>
      </w:r>
      <w:r w:rsidRPr="00571053">
        <w:rPr>
          <w:noProof/>
        </w:rPr>
        <w:t xml:space="preserve">(1-2), 151-157. </w:t>
      </w:r>
      <w:bookmarkEnd w:id="270"/>
    </w:p>
    <w:p w:rsidR="00225DFE" w:rsidRPr="00571053" w:rsidRDefault="00225DFE" w:rsidP="00225DFE">
      <w:pPr>
        <w:spacing w:after="0" w:line="240" w:lineRule="auto"/>
        <w:ind w:left="720" w:hanging="720"/>
        <w:rPr>
          <w:noProof/>
        </w:rPr>
      </w:pPr>
      <w:bookmarkStart w:id="271" w:name="_ENREF_27"/>
      <w:r w:rsidRPr="00571053">
        <w:rPr>
          <w:noProof/>
        </w:rPr>
        <w:t xml:space="preserve">Lloyd, B., Barratt, M., Ferris, J., Best, D., &amp; Lubman, D. (2013). Factors influencing mortality among alcohol and drug treatment clients in Victoria, Australia: the role of demographic and substance use characteristics. </w:t>
      </w:r>
      <w:r w:rsidRPr="00571053">
        <w:rPr>
          <w:i/>
          <w:noProof/>
        </w:rPr>
        <w:t>Australian &amp; New Zealand Journal of Psychiatry, 47</w:t>
      </w:r>
      <w:r w:rsidRPr="00571053">
        <w:rPr>
          <w:noProof/>
        </w:rPr>
        <w:t xml:space="preserve">(9), 859-867. </w:t>
      </w:r>
      <w:bookmarkEnd w:id="271"/>
    </w:p>
    <w:p w:rsidR="00225DFE" w:rsidRPr="00571053" w:rsidRDefault="00225DFE" w:rsidP="00225DFE">
      <w:pPr>
        <w:spacing w:after="0" w:line="240" w:lineRule="auto"/>
        <w:ind w:left="720" w:hanging="720"/>
        <w:rPr>
          <w:noProof/>
        </w:rPr>
      </w:pPr>
      <w:bookmarkStart w:id="272" w:name="_ENREF_28"/>
      <w:r w:rsidRPr="00571053">
        <w:rPr>
          <w:noProof/>
        </w:rPr>
        <w:t xml:space="preserve">Lloyd, B. K., &amp; McElwee, P. R. (2011). Trends over time in characteristics of pharmaceutical drug-related ambulance attendances in Melbourne. </w:t>
      </w:r>
      <w:r w:rsidRPr="00571053">
        <w:rPr>
          <w:i/>
          <w:noProof/>
        </w:rPr>
        <w:t>Drug and Alcohol Review, 30</w:t>
      </w:r>
      <w:r w:rsidRPr="00571053">
        <w:rPr>
          <w:noProof/>
        </w:rPr>
        <w:t>(3), 271-280. doi: 10.1111/j.1465-3362.2011.00292.x</w:t>
      </w:r>
      <w:bookmarkEnd w:id="272"/>
    </w:p>
    <w:p w:rsidR="00225DFE" w:rsidRPr="00571053" w:rsidRDefault="00225DFE" w:rsidP="00225DFE">
      <w:pPr>
        <w:spacing w:after="0" w:line="240" w:lineRule="auto"/>
        <w:ind w:left="720" w:hanging="720"/>
        <w:rPr>
          <w:noProof/>
        </w:rPr>
      </w:pPr>
      <w:bookmarkStart w:id="273" w:name="_ENREF_29"/>
      <w:r w:rsidRPr="00571053">
        <w:rPr>
          <w:noProof/>
        </w:rPr>
        <w:t xml:space="preserve">Lorig, K., Sobel, D., Steward, A., Brown, B., Bandura, A., Ritter, P., . . . Holman, H. (1999). Evidence suggesting that a chronic disease self-management program can improve health status while reducing hospitalisation: a randomized trial </w:t>
      </w:r>
      <w:r w:rsidRPr="00571053">
        <w:rPr>
          <w:i/>
          <w:noProof/>
        </w:rPr>
        <w:t>Medical Care, 37</w:t>
      </w:r>
      <w:r w:rsidRPr="00571053">
        <w:rPr>
          <w:noProof/>
        </w:rPr>
        <w:t xml:space="preserve">(1), 5-14. </w:t>
      </w:r>
      <w:bookmarkEnd w:id="273"/>
    </w:p>
    <w:p w:rsidR="00225DFE" w:rsidRPr="00571053" w:rsidRDefault="00225DFE" w:rsidP="00225DFE">
      <w:pPr>
        <w:spacing w:after="0" w:line="240" w:lineRule="auto"/>
        <w:ind w:left="720" w:hanging="720"/>
        <w:rPr>
          <w:noProof/>
        </w:rPr>
      </w:pPr>
      <w:bookmarkStart w:id="274" w:name="_ENREF_30"/>
      <w:r w:rsidRPr="00571053">
        <w:rPr>
          <w:noProof/>
        </w:rPr>
        <w:t xml:space="preserve">Manning, V., Best, D., Faulkner, N., Titherington, E., Morinan, A., Keaney, F., . . . Strang, J. (2012). Does active referral by a doctor or 12-Step peer improve 12-Step meeting attendance? Results from a pilot randomised control trial. </w:t>
      </w:r>
      <w:r w:rsidRPr="00571053">
        <w:rPr>
          <w:i/>
          <w:noProof/>
        </w:rPr>
        <w:t>Drug and Alcohol Dependence, 126</w:t>
      </w:r>
      <w:r w:rsidRPr="00571053">
        <w:rPr>
          <w:noProof/>
        </w:rPr>
        <w:t xml:space="preserve">, 131-137. </w:t>
      </w:r>
      <w:bookmarkEnd w:id="274"/>
    </w:p>
    <w:p w:rsidR="00225DFE" w:rsidRPr="00571053" w:rsidRDefault="00225DFE" w:rsidP="00225DFE">
      <w:pPr>
        <w:spacing w:after="0" w:line="240" w:lineRule="auto"/>
        <w:ind w:left="720" w:hanging="720"/>
        <w:rPr>
          <w:noProof/>
        </w:rPr>
      </w:pPr>
      <w:bookmarkStart w:id="275" w:name="_ENREF_32"/>
      <w:r w:rsidRPr="00571053">
        <w:rPr>
          <w:noProof/>
        </w:rPr>
        <w:lastRenderedPageBreak/>
        <w:t xml:space="preserve">Matthews, S., Jayasekara, H., &amp; Lloyd, B. (2012). </w:t>
      </w:r>
      <w:r w:rsidRPr="005254F0">
        <w:rPr>
          <w:i/>
          <w:noProof/>
        </w:rPr>
        <w:t>The Victorian Alcohol Statistics Series: Alcohol-related harms and use across Victorian Local Government Areas 2000/01-2009/10</w:t>
      </w:r>
      <w:r w:rsidRPr="00571053">
        <w:rPr>
          <w:noProof/>
        </w:rPr>
        <w:t>. Fitzroy, Victoria: Turning Point Alcohol and Drug Centre.</w:t>
      </w:r>
      <w:bookmarkEnd w:id="275"/>
    </w:p>
    <w:p w:rsidR="00225DFE" w:rsidRDefault="00225DFE" w:rsidP="00225DFE">
      <w:pPr>
        <w:spacing w:after="0" w:line="240" w:lineRule="auto"/>
        <w:ind w:left="720" w:hanging="720"/>
        <w:rPr>
          <w:noProof/>
        </w:rPr>
      </w:pPr>
      <w:bookmarkStart w:id="276" w:name="_ENREF_33"/>
      <w:r w:rsidRPr="00571053">
        <w:rPr>
          <w:noProof/>
        </w:rPr>
        <w:t xml:space="preserve">Matthews, S., Jayasekara, H., &amp; Lloyd, B. (2013). </w:t>
      </w:r>
      <w:r w:rsidRPr="005254F0">
        <w:rPr>
          <w:i/>
          <w:noProof/>
        </w:rPr>
        <w:t>The Victorian Alcohol Statistics Series: Alcohol-related harms and use across Victorian Local Government Areas 2000/01-2009/10</w:t>
      </w:r>
      <w:r w:rsidRPr="00571053">
        <w:rPr>
          <w:noProof/>
        </w:rPr>
        <w:t>. Fitzroy, Victoria: Turning Point Alcohol and Drug Centre.</w:t>
      </w:r>
      <w:bookmarkEnd w:id="276"/>
    </w:p>
    <w:p w:rsidR="001119C4" w:rsidRPr="00571053" w:rsidRDefault="001119C4" w:rsidP="001119C4">
      <w:pPr>
        <w:spacing w:after="0" w:line="240" w:lineRule="auto"/>
        <w:ind w:left="720" w:hanging="720"/>
        <w:rPr>
          <w:noProof/>
        </w:rPr>
      </w:pPr>
      <w:r w:rsidRPr="002E33F7">
        <w:rPr>
          <w:noProof/>
        </w:rPr>
        <w:t xml:space="preserve">McKeganey, N., Bloor, M., Robertson, M., Neale, J., &amp; MacDougall, J. (1996). Abstinence and drug abuse treatment: Results for the drug outcome research in Scotland study. </w:t>
      </w:r>
      <w:r w:rsidRPr="002E33F7">
        <w:rPr>
          <w:i/>
          <w:noProof/>
        </w:rPr>
        <w:t>Drugs: education, prevention and policy, 13</w:t>
      </w:r>
      <w:r w:rsidRPr="002E33F7">
        <w:rPr>
          <w:noProof/>
        </w:rPr>
        <w:t xml:space="preserve">(6), 537-550. </w:t>
      </w:r>
    </w:p>
    <w:p w:rsidR="00225DFE" w:rsidRPr="00571053" w:rsidRDefault="00225DFE" w:rsidP="00707BB1">
      <w:pPr>
        <w:spacing w:after="0" w:line="240" w:lineRule="auto"/>
        <w:ind w:left="720" w:hanging="720"/>
        <w:rPr>
          <w:noProof/>
        </w:rPr>
      </w:pPr>
      <w:bookmarkStart w:id="277" w:name="_ENREF_34"/>
      <w:r w:rsidRPr="00571053">
        <w:rPr>
          <w:noProof/>
        </w:rPr>
        <w:t>McKetin, R., Najman, J., Baker, A., Lubman, D., Dawe, S., Ali, R., . . . Mamun, A. (2012). Evaluating the impact of community-based treatment options on methamphetamine use: findings from the Methamphetamine Treatment Evaluation Study (MATES). [Evaluation Studies</w:t>
      </w:r>
      <w:r w:rsidR="006838AB">
        <w:rPr>
          <w:noProof/>
        </w:rPr>
        <w:t xml:space="preserve"> </w:t>
      </w:r>
      <w:r w:rsidRPr="00571053">
        <w:rPr>
          <w:noProof/>
        </w:rPr>
        <w:t xml:space="preserve">Research Support, Non-U.S. Gov't]. </w:t>
      </w:r>
      <w:r w:rsidRPr="00571053">
        <w:rPr>
          <w:i/>
          <w:noProof/>
        </w:rPr>
        <w:t>Addiction, 107</w:t>
      </w:r>
      <w:r w:rsidRPr="00571053">
        <w:rPr>
          <w:noProof/>
        </w:rPr>
        <w:t>(11), 1998-2008. doi: 10.1111/j.1360-0443.2012.03933.x</w:t>
      </w:r>
      <w:bookmarkEnd w:id="277"/>
    </w:p>
    <w:p w:rsidR="00225DFE" w:rsidRPr="00571053" w:rsidRDefault="00225DFE" w:rsidP="00707BB1">
      <w:pPr>
        <w:spacing w:after="0" w:line="240" w:lineRule="auto"/>
        <w:ind w:left="720" w:hanging="720"/>
        <w:rPr>
          <w:noProof/>
        </w:rPr>
      </w:pPr>
      <w:bookmarkStart w:id="278" w:name="_ENREF_35"/>
      <w:r w:rsidRPr="00571053">
        <w:rPr>
          <w:noProof/>
        </w:rPr>
        <w:t xml:space="preserve">McLellan, A., Arndt, I., Metzger, D., Woody, G., &amp; O'Brien, C. (1993). The effects of psychosocial services in substance abuse treatment. </w:t>
      </w:r>
      <w:r w:rsidRPr="00571053">
        <w:rPr>
          <w:i/>
          <w:noProof/>
        </w:rPr>
        <w:t>Journal of the American Medical Association, 269</w:t>
      </w:r>
      <w:r w:rsidRPr="00571053">
        <w:rPr>
          <w:noProof/>
        </w:rPr>
        <w:t xml:space="preserve">(15), 1953-1959. </w:t>
      </w:r>
      <w:bookmarkEnd w:id="278"/>
    </w:p>
    <w:p w:rsidR="00225DFE" w:rsidRPr="00571053" w:rsidRDefault="00225DFE" w:rsidP="00225DFE">
      <w:pPr>
        <w:spacing w:after="0" w:line="240" w:lineRule="auto"/>
        <w:ind w:left="720" w:hanging="720"/>
        <w:rPr>
          <w:noProof/>
        </w:rPr>
      </w:pPr>
      <w:bookmarkStart w:id="279" w:name="_ENREF_36"/>
      <w:r w:rsidRPr="00571053">
        <w:rPr>
          <w:noProof/>
        </w:rPr>
        <w:t xml:space="preserve">McLellan, A., Lewis, D., O Brien, C., &amp; Kleber, H. (2000). Drug dependence, a chronic medical illness: implications for treatment, insurance, and outcomes evaluation </w:t>
      </w:r>
      <w:r w:rsidRPr="00571053">
        <w:rPr>
          <w:i/>
          <w:noProof/>
        </w:rPr>
        <w:t>JAMA, 284</w:t>
      </w:r>
      <w:r w:rsidRPr="00571053">
        <w:rPr>
          <w:noProof/>
        </w:rPr>
        <w:t xml:space="preserve">, 1689-1695. </w:t>
      </w:r>
      <w:bookmarkEnd w:id="279"/>
    </w:p>
    <w:p w:rsidR="00225DFE" w:rsidRPr="00571053" w:rsidRDefault="00225DFE" w:rsidP="00225DFE">
      <w:pPr>
        <w:spacing w:after="0" w:line="240" w:lineRule="auto"/>
        <w:ind w:left="720" w:hanging="720"/>
        <w:rPr>
          <w:noProof/>
        </w:rPr>
      </w:pPr>
      <w:bookmarkStart w:id="280" w:name="_ENREF_37"/>
      <w:r w:rsidRPr="00571053">
        <w:rPr>
          <w:noProof/>
        </w:rPr>
        <w:t xml:space="preserve">Ministerial Council on Drug Strategy. (2011). The National Drug Strategy 2010-2015: A framework for action on alcohol, tobacco and other drugs, from </w:t>
      </w:r>
      <w:hyperlink r:id="rId34" w:history="1">
        <w:bookmarkEnd w:id="280"/>
        <w:r w:rsidR="002506E4">
          <w:rPr>
            <w:rStyle w:val="Hyperlink"/>
            <w:noProof/>
          </w:rPr>
          <w:t>http://www.nationaldrugstrategy.gov.au</w:t>
        </w:r>
      </w:hyperlink>
    </w:p>
    <w:p w:rsidR="00225DFE" w:rsidRPr="00571053" w:rsidRDefault="00145301" w:rsidP="00225DFE">
      <w:pPr>
        <w:spacing w:after="0" w:line="240" w:lineRule="auto"/>
        <w:ind w:left="720" w:hanging="720"/>
        <w:rPr>
          <w:noProof/>
        </w:rPr>
      </w:pPr>
      <w:bookmarkStart w:id="281" w:name="_ENREF_38"/>
      <w:r w:rsidRPr="00145301">
        <w:rPr>
          <w:noProof/>
          <w:lang w:val="de-DE"/>
        </w:rPr>
        <w:t xml:space="preserve">Morgenstern, J., Hogue, A., Dauber, S., Dasaro, C., &amp; McKay, J. R. (2009). </w:t>
      </w:r>
      <w:r w:rsidR="00225DFE" w:rsidRPr="00571053">
        <w:rPr>
          <w:noProof/>
        </w:rPr>
        <w:t xml:space="preserve">A practical clinical trial of coordinated care management to treat substance use disorders among public assistance beneficiaries. . </w:t>
      </w:r>
      <w:r w:rsidR="00225DFE" w:rsidRPr="00571053">
        <w:rPr>
          <w:i/>
          <w:noProof/>
        </w:rPr>
        <w:t>Journal of Consulting and Clinical Psychology, 77</w:t>
      </w:r>
      <w:r w:rsidR="00225DFE" w:rsidRPr="00571053">
        <w:rPr>
          <w:noProof/>
        </w:rPr>
        <w:t xml:space="preserve">(2), 257-269. </w:t>
      </w:r>
      <w:bookmarkEnd w:id="281"/>
    </w:p>
    <w:p w:rsidR="00225DFE" w:rsidRDefault="00225DFE" w:rsidP="00225DFE">
      <w:pPr>
        <w:spacing w:after="0" w:line="240" w:lineRule="auto"/>
        <w:ind w:left="720" w:hanging="720"/>
        <w:rPr>
          <w:noProof/>
        </w:rPr>
      </w:pPr>
      <w:bookmarkStart w:id="282" w:name="_ENREF_39"/>
      <w:r w:rsidRPr="00571053">
        <w:rPr>
          <w:noProof/>
        </w:rPr>
        <w:t xml:space="preserve">O'Brien, C., &amp; McLellan, A. (1996). Myths about the treatment of addiction. </w:t>
      </w:r>
      <w:r w:rsidRPr="00571053">
        <w:rPr>
          <w:i/>
          <w:noProof/>
        </w:rPr>
        <w:t>Lancet, 347</w:t>
      </w:r>
      <w:r w:rsidRPr="00571053">
        <w:rPr>
          <w:noProof/>
        </w:rPr>
        <w:t xml:space="preserve">(8996), 237-240. </w:t>
      </w:r>
      <w:bookmarkEnd w:id="282"/>
    </w:p>
    <w:p w:rsidR="006838AB" w:rsidRPr="00571053" w:rsidRDefault="006838AB" w:rsidP="006838AB">
      <w:pPr>
        <w:spacing w:after="0" w:line="240" w:lineRule="auto"/>
        <w:ind w:left="720" w:hanging="720"/>
        <w:rPr>
          <w:noProof/>
        </w:rPr>
      </w:pPr>
      <w:r w:rsidRPr="002E33F7">
        <w:rPr>
          <w:noProof/>
        </w:rPr>
        <w:t xml:space="preserve">Orford, J., Hodgson, R., Copello, A., John, B., Smith, M., Black, R., Fryer, K., Handforth, L., Alwyn, T., Kerr, C., Thistlethwaite, G., &amp; Slegg, G. on behalf of the UKATT Research Team. (2006). The clients' perspective on change during treatment for an alcohol problem: qualitative analysis of follow-up interviews in the UK Alcohol Treatment Trial. </w:t>
      </w:r>
      <w:r w:rsidRPr="002E33F7">
        <w:rPr>
          <w:i/>
          <w:noProof/>
        </w:rPr>
        <w:t>Addiction, 101</w:t>
      </w:r>
      <w:r w:rsidRPr="002E33F7">
        <w:rPr>
          <w:noProof/>
        </w:rPr>
        <w:t>, 60-68. doi: 10.1111/j.1360-0443.2005.01291.x</w:t>
      </w:r>
    </w:p>
    <w:p w:rsidR="00225DFE" w:rsidRPr="00571053" w:rsidRDefault="00225DFE" w:rsidP="00225DFE">
      <w:pPr>
        <w:spacing w:after="0" w:line="240" w:lineRule="auto"/>
        <w:ind w:left="720" w:hanging="720"/>
        <w:rPr>
          <w:noProof/>
        </w:rPr>
      </w:pPr>
      <w:bookmarkStart w:id="283" w:name="_ENREF_40"/>
      <w:r w:rsidRPr="00571053">
        <w:rPr>
          <w:noProof/>
        </w:rPr>
        <w:t xml:space="preserve">Parthasarathy, S., Mertens, J., Moore, C., &amp; Weisner, C. (2003). Utilization and cost impact of integrating substance abuse treatment and primary care. </w:t>
      </w:r>
      <w:r w:rsidRPr="00571053">
        <w:rPr>
          <w:i/>
          <w:noProof/>
        </w:rPr>
        <w:t>Med Care, 41</w:t>
      </w:r>
      <w:r w:rsidRPr="00571053">
        <w:rPr>
          <w:noProof/>
        </w:rPr>
        <w:t xml:space="preserve">(3), 357-367. </w:t>
      </w:r>
      <w:bookmarkEnd w:id="283"/>
    </w:p>
    <w:p w:rsidR="00225DFE" w:rsidRPr="00571053" w:rsidRDefault="00225DFE" w:rsidP="00225DFE">
      <w:pPr>
        <w:spacing w:after="0" w:line="240" w:lineRule="auto"/>
        <w:ind w:left="720" w:hanging="720"/>
        <w:rPr>
          <w:noProof/>
        </w:rPr>
      </w:pPr>
      <w:bookmarkStart w:id="284" w:name="_ENREF_41"/>
      <w:r w:rsidRPr="00571053">
        <w:rPr>
          <w:noProof/>
        </w:rPr>
        <w:t xml:space="preserve">Parthasarathy, S., Weisner, C., Hu, T.-W., &amp; Moore, C. (2001). Association of outpatient alcohol and drug treatment with health care utilization and cost: Revisiting the offset hypothesis. </w:t>
      </w:r>
      <w:r w:rsidRPr="00571053">
        <w:rPr>
          <w:i/>
          <w:noProof/>
        </w:rPr>
        <w:t>Journal of Studies on Alcohol, 62</w:t>
      </w:r>
      <w:r w:rsidRPr="00571053">
        <w:rPr>
          <w:noProof/>
        </w:rPr>
        <w:t xml:space="preserve">, 89-97. </w:t>
      </w:r>
      <w:bookmarkEnd w:id="284"/>
    </w:p>
    <w:p w:rsidR="006838AB" w:rsidRPr="002E33F7" w:rsidRDefault="006838AB" w:rsidP="006838AB">
      <w:pPr>
        <w:spacing w:after="0" w:line="240" w:lineRule="auto"/>
        <w:ind w:left="720" w:hanging="720"/>
        <w:rPr>
          <w:noProof/>
        </w:rPr>
      </w:pPr>
      <w:bookmarkStart w:id="285" w:name="_ENREF_43"/>
      <w:r w:rsidRPr="002E33F7">
        <w:rPr>
          <w:noProof/>
        </w:rPr>
        <w:t xml:space="preserve">Pettinati, H. M., Anton, R. F., &amp; Willenbring, M. L. (2006). The COMBINE study: an overview of the largest pharmacotherapy study to date for treating alcohol dependence. </w:t>
      </w:r>
      <w:r w:rsidRPr="002E33F7">
        <w:rPr>
          <w:i/>
          <w:noProof/>
        </w:rPr>
        <w:t>Psychiatry, 3</w:t>
      </w:r>
      <w:r w:rsidRPr="002E33F7">
        <w:rPr>
          <w:noProof/>
        </w:rPr>
        <w:t xml:space="preserve">(10), 36-39. </w:t>
      </w:r>
    </w:p>
    <w:p w:rsidR="006838AB" w:rsidRDefault="006838AB" w:rsidP="006838AB">
      <w:pPr>
        <w:spacing w:after="0" w:line="240" w:lineRule="auto"/>
        <w:ind w:left="720" w:hanging="720"/>
        <w:rPr>
          <w:noProof/>
        </w:rPr>
      </w:pPr>
      <w:bookmarkStart w:id="286" w:name="_ENREF_42"/>
      <w:r w:rsidRPr="00571053">
        <w:rPr>
          <w:noProof/>
        </w:rPr>
        <w:t xml:space="preserve">Popovici, I., French, M. T., &amp; McKay, J. R. (2008). Economic evaluation of continuing care interventions in the treatment of substance abuse: recommendations for future research. </w:t>
      </w:r>
      <w:r w:rsidRPr="00571053">
        <w:rPr>
          <w:i/>
          <w:noProof/>
        </w:rPr>
        <w:t>Evaluation Review, 32</w:t>
      </w:r>
      <w:r w:rsidRPr="00571053">
        <w:rPr>
          <w:noProof/>
        </w:rPr>
        <w:t>(6), 547-568. doi: 10.1177/0193841x08316311</w:t>
      </w:r>
      <w:bookmarkEnd w:id="286"/>
    </w:p>
    <w:p w:rsidR="006838AB" w:rsidRPr="002E33F7" w:rsidRDefault="006838AB" w:rsidP="006838AB">
      <w:pPr>
        <w:spacing w:after="0" w:line="240" w:lineRule="auto"/>
        <w:ind w:left="720" w:hanging="720"/>
        <w:rPr>
          <w:noProof/>
        </w:rPr>
      </w:pPr>
      <w:r w:rsidRPr="002E33F7">
        <w:rPr>
          <w:noProof/>
        </w:rPr>
        <w:t xml:space="preserve">Project Match Research Group. (1998). Matching patients with alcohol disorders to treatments: Clinical implications from Project MATCH. </w:t>
      </w:r>
      <w:r w:rsidRPr="002E33F7">
        <w:rPr>
          <w:i/>
          <w:noProof/>
        </w:rPr>
        <w:t>Journal of Mental Health, 7</w:t>
      </w:r>
      <w:r w:rsidRPr="002E33F7">
        <w:rPr>
          <w:noProof/>
        </w:rPr>
        <w:t>(6), 589-602. doi: 10.1080/09638239817743</w:t>
      </w:r>
    </w:p>
    <w:p w:rsidR="00225DFE" w:rsidRPr="00571053" w:rsidRDefault="00225DFE" w:rsidP="00225DFE">
      <w:pPr>
        <w:spacing w:after="0" w:line="240" w:lineRule="auto"/>
        <w:ind w:left="720" w:hanging="720"/>
        <w:rPr>
          <w:noProof/>
        </w:rPr>
      </w:pPr>
      <w:r w:rsidRPr="00571053">
        <w:rPr>
          <w:noProof/>
        </w:rPr>
        <w:t xml:space="preserve">Rapp, R. C., Xu, J., Carr, C. A., Lane, T. D., Wang, J., &amp; R., C. (2006). Treatment barriers identified by substance abusers assessed at a centralized intake unit. </w:t>
      </w:r>
      <w:r w:rsidRPr="00571053">
        <w:rPr>
          <w:i/>
          <w:noProof/>
        </w:rPr>
        <w:t>Journal of Substance Abuse Treatment, 30</w:t>
      </w:r>
      <w:r w:rsidRPr="00571053">
        <w:rPr>
          <w:noProof/>
        </w:rPr>
        <w:t xml:space="preserve">, 227-235. </w:t>
      </w:r>
      <w:bookmarkEnd w:id="285"/>
    </w:p>
    <w:p w:rsidR="00225DFE" w:rsidRPr="00571053" w:rsidRDefault="00225DFE" w:rsidP="00225DFE">
      <w:pPr>
        <w:spacing w:after="0" w:line="240" w:lineRule="auto"/>
        <w:ind w:left="720" w:hanging="720"/>
        <w:rPr>
          <w:noProof/>
        </w:rPr>
      </w:pPr>
      <w:bookmarkStart w:id="287" w:name="_ENREF_44"/>
      <w:r w:rsidRPr="00571053">
        <w:rPr>
          <w:noProof/>
        </w:rPr>
        <w:t xml:space="preserve">Reavley, N., Cvetkovski, S., Jorm, A., &amp; Lubman, D. (2010). Help-seeking for substance use, anxiety and affective disorders among young people: results from the 2007 Australian National </w:t>
      </w:r>
      <w:r w:rsidRPr="00571053">
        <w:rPr>
          <w:noProof/>
        </w:rPr>
        <w:lastRenderedPageBreak/>
        <w:t xml:space="preserve">Survey of Mental Health and Wellbeing. . </w:t>
      </w:r>
      <w:r w:rsidRPr="00571053">
        <w:rPr>
          <w:i/>
          <w:noProof/>
        </w:rPr>
        <w:t>Australian &amp; New Zealand Journal of Psychiatry Research, 44</w:t>
      </w:r>
      <w:r w:rsidRPr="00571053">
        <w:rPr>
          <w:noProof/>
        </w:rPr>
        <w:t xml:space="preserve">(8), 729-735. </w:t>
      </w:r>
      <w:bookmarkEnd w:id="287"/>
    </w:p>
    <w:p w:rsidR="00225DFE" w:rsidRDefault="00225DFE" w:rsidP="00225DFE">
      <w:pPr>
        <w:spacing w:after="0" w:line="240" w:lineRule="auto"/>
        <w:ind w:left="720" w:hanging="720"/>
        <w:rPr>
          <w:noProof/>
        </w:rPr>
      </w:pPr>
      <w:bookmarkStart w:id="288" w:name="_ENREF_45"/>
      <w:r w:rsidRPr="00571053">
        <w:rPr>
          <w:noProof/>
        </w:rPr>
        <w:t xml:space="preserve">Ritter, A., Berends, L., Clemens, S., Devaney, M., Richards, J., Bowen, K., &amp; Tiffen, R. (2003). </w:t>
      </w:r>
      <w:r w:rsidRPr="005254F0">
        <w:rPr>
          <w:i/>
          <w:noProof/>
        </w:rPr>
        <w:t>Pathways: A review of the Victorian drug treatment service system</w:t>
      </w:r>
      <w:r w:rsidRPr="00571053">
        <w:rPr>
          <w:noProof/>
        </w:rPr>
        <w:t>. Fitzroy, Victoria: Turning Point Alcohol &amp; Drug Centre.</w:t>
      </w:r>
      <w:bookmarkEnd w:id="288"/>
    </w:p>
    <w:p w:rsidR="00111B8B" w:rsidRPr="00571053" w:rsidRDefault="00111B8B" w:rsidP="00225DFE">
      <w:pPr>
        <w:spacing w:after="0" w:line="240" w:lineRule="auto"/>
        <w:ind w:left="720" w:hanging="720"/>
        <w:rPr>
          <w:noProof/>
        </w:rPr>
      </w:pPr>
      <w:r w:rsidRPr="00111B8B">
        <w:rPr>
          <w:noProof/>
        </w:rPr>
        <w:t xml:space="preserve">Room, R., Palm, J., Romelsjö, A., Stenius, K., &amp; Storbjörk, J. (2003). Women and men in alcohol and drug treatment: An overview of a Stockholm County study [English Translation]. </w:t>
      </w:r>
      <w:r w:rsidRPr="00111B8B">
        <w:rPr>
          <w:i/>
          <w:noProof/>
        </w:rPr>
        <w:t>Nordisk alkohol- och narkotikatidskrift</w:t>
      </w:r>
      <w:r w:rsidRPr="00111B8B">
        <w:rPr>
          <w:noProof/>
        </w:rPr>
        <w:t xml:space="preserve"> 20, 91-100.</w:t>
      </w:r>
      <w:r>
        <w:rPr>
          <w:noProof/>
        </w:rPr>
        <w:t xml:space="preserve"> </w:t>
      </w:r>
      <w:r w:rsidRPr="00346BCC">
        <w:rPr>
          <w:sz w:val="20"/>
          <w:szCs w:val="20"/>
        </w:rPr>
        <w:t>[</w:t>
      </w:r>
      <w:proofErr w:type="gramStart"/>
      <w:r w:rsidRPr="00346BCC">
        <w:rPr>
          <w:sz w:val="20"/>
          <w:szCs w:val="20"/>
        </w:rPr>
        <w:t>available</w:t>
      </w:r>
      <w:proofErr w:type="gramEnd"/>
      <w:r w:rsidRPr="00346BCC">
        <w:rPr>
          <w:sz w:val="20"/>
          <w:szCs w:val="20"/>
        </w:rPr>
        <w:t xml:space="preserve"> in </w:t>
      </w:r>
      <w:r>
        <w:rPr>
          <w:sz w:val="20"/>
          <w:szCs w:val="20"/>
        </w:rPr>
        <w:t>E</w:t>
      </w:r>
      <w:r w:rsidRPr="00346BCC">
        <w:rPr>
          <w:sz w:val="20"/>
          <w:szCs w:val="20"/>
        </w:rPr>
        <w:t xml:space="preserve">nglish: </w:t>
      </w:r>
      <w:r>
        <w:rPr>
          <w:sz w:val="20"/>
          <w:szCs w:val="20"/>
        </w:rPr>
        <w:t>w</w:t>
      </w:r>
      <w:r w:rsidRPr="00346BCC">
        <w:rPr>
          <w:sz w:val="20"/>
          <w:szCs w:val="20"/>
        </w:rPr>
        <w:t>ww.robinroom.net/womenmen.doc].</w:t>
      </w:r>
    </w:p>
    <w:p w:rsidR="00225DFE" w:rsidRPr="00571053" w:rsidRDefault="00225DFE" w:rsidP="00225DFE">
      <w:pPr>
        <w:spacing w:after="0" w:line="240" w:lineRule="auto"/>
        <w:ind w:left="720" w:hanging="720"/>
        <w:rPr>
          <w:noProof/>
        </w:rPr>
      </w:pPr>
      <w:bookmarkStart w:id="289" w:name="_ENREF_46"/>
      <w:r w:rsidRPr="00571053">
        <w:rPr>
          <w:noProof/>
        </w:rPr>
        <w:t xml:space="preserve">Ross, J., Teesson, M., Darke, S., Lynskey, M., Ali, R., Ritter, A., &amp; Cooke, R. (2005). The characteristics of heroin users entering treatment: findings from the Australian Treatment Outcome Study (ATOS). </w:t>
      </w:r>
      <w:r w:rsidRPr="00571053">
        <w:rPr>
          <w:i/>
          <w:noProof/>
        </w:rPr>
        <w:t>Drug and Alcohol Review, 24</w:t>
      </w:r>
      <w:r w:rsidRPr="00571053">
        <w:rPr>
          <w:noProof/>
        </w:rPr>
        <w:t>(5), 411-418. doi: 10.1080/09595230500286039</w:t>
      </w:r>
      <w:bookmarkEnd w:id="289"/>
    </w:p>
    <w:p w:rsidR="00225DFE" w:rsidRPr="00571053" w:rsidRDefault="00225DFE" w:rsidP="00225DFE">
      <w:pPr>
        <w:spacing w:after="0" w:line="240" w:lineRule="auto"/>
        <w:ind w:left="720" w:hanging="720"/>
        <w:rPr>
          <w:noProof/>
        </w:rPr>
      </w:pPr>
      <w:bookmarkStart w:id="290" w:name="_ENREF_47"/>
      <w:r w:rsidRPr="00571053">
        <w:rPr>
          <w:noProof/>
        </w:rPr>
        <w:t xml:space="preserve">Scott, C., Dennis, M., &amp; Foss, M. (2005). Utilizing Recovery Management Checkups to shorten the cycle of relapse, treatment reentry, and recovery. </w:t>
      </w:r>
      <w:r w:rsidRPr="00571053">
        <w:rPr>
          <w:i/>
          <w:noProof/>
        </w:rPr>
        <w:t>Drug and Alcohol Dependence, 78</w:t>
      </w:r>
      <w:r w:rsidRPr="00571053">
        <w:rPr>
          <w:noProof/>
        </w:rPr>
        <w:t>(3), 325-338. doi: 10.1016/j.drugalcdep.2004.12.005</w:t>
      </w:r>
      <w:bookmarkEnd w:id="290"/>
    </w:p>
    <w:p w:rsidR="00075673" w:rsidRPr="002E33F7" w:rsidRDefault="00075673" w:rsidP="00075673">
      <w:pPr>
        <w:spacing w:after="0" w:line="240" w:lineRule="auto"/>
        <w:ind w:left="720" w:hanging="720"/>
        <w:rPr>
          <w:noProof/>
        </w:rPr>
      </w:pPr>
      <w:bookmarkStart w:id="291" w:name="_ENREF_50"/>
      <w:r w:rsidRPr="002E33F7">
        <w:rPr>
          <w:noProof/>
        </w:rPr>
        <w:t xml:space="preserve">Simpson, D., &amp; Brown, B. (1999). Special issue on treatment process and outcome studies from DATOS. </w:t>
      </w:r>
      <w:r w:rsidRPr="002E33F7">
        <w:rPr>
          <w:i/>
          <w:noProof/>
        </w:rPr>
        <w:t>Drug and Alcohol Dependence, 57</w:t>
      </w:r>
      <w:r w:rsidRPr="002E33F7">
        <w:rPr>
          <w:noProof/>
        </w:rPr>
        <w:t xml:space="preserve">(2). </w:t>
      </w:r>
    </w:p>
    <w:p w:rsidR="00075673" w:rsidRPr="00571053" w:rsidRDefault="00075673" w:rsidP="00075673">
      <w:pPr>
        <w:spacing w:after="0" w:line="240" w:lineRule="auto"/>
        <w:ind w:left="720" w:hanging="720"/>
        <w:rPr>
          <w:noProof/>
        </w:rPr>
      </w:pPr>
      <w:bookmarkStart w:id="292" w:name="_ENREF_48"/>
      <w:r w:rsidRPr="00571053">
        <w:rPr>
          <w:noProof/>
        </w:rPr>
        <w:t xml:space="preserve">Simpson, D. D. (2004). A conceptual framework for drug treatment process and outcomes. </w:t>
      </w:r>
      <w:r w:rsidRPr="00571053">
        <w:rPr>
          <w:i/>
          <w:noProof/>
        </w:rPr>
        <w:t>Substance Abuse Treatment, 27</w:t>
      </w:r>
      <w:r w:rsidRPr="00571053">
        <w:rPr>
          <w:noProof/>
        </w:rPr>
        <w:t xml:space="preserve">, 99-121. </w:t>
      </w:r>
      <w:bookmarkEnd w:id="292"/>
    </w:p>
    <w:p w:rsidR="00075673" w:rsidRDefault="00075673" w:rsidP="00075673">
      <w:pPr>
        <w:spacing w:after="0" w:line="240" w:lineRule="auto"/>
        <w:ind w:left="720" w:hanging="720"/>
        <w:rPr>
          <w:noProof/>
        </w:rPr>
      </w:pPr>
      <w:bookmarkStart w:id="293" w:name="_ENREF_49"/>
      <w:r w:rsidRPr="00571053">
        <w:rPr>
          <w:noProof/>
        </w:rPr>
        <w:t xml:space="preserve">Simpson, D. D., &amp; Sells, S. B. (1990). </w:t>
      </w:r>
      <w:r w:rsidRPr="00571053">
        <w:rPr>
          <w:i/>
          <w:noProof/>
        </w:rPr>
        <w:t>Opiod addiction and treatment: A 12-year follow-up.</w:t>
      </w:r>
      <w:r w:rsidRPr="00571053">
        <w:rPr>
          <w:noProof/>
        </w:rPr>
        <w:t xml:space="preserve"> Malabar, FL: Krieger.</w:t>
      </w:r>
      <w:bookmarkEnd w:id="293"/>
    </w:p>
    <w:p w:rsidR="00075673" w:rsidRPr="002E33F7" w:rsidRDefault="00075673" w:rsidP="00075673">
      <w:pPr>
        <w:spacing w:after="0" w:line="240" w:lineRule="auto"/>
        <w:ind w:left="720" w:hanging="720"/>
        <w:rPr>
          <w:noProof/>
        </w:rPr>
      </w:pPr>
      <w:r w:rsidRPr="002E33F7">
        <w:rPr>
          <w:noProof/>
        </w:rPr>
        <w:t xml:space="preserve">Simpson, D., &amp; Sells, S. (1983). Effectiveness for treatment of drug abuse: an overview of the DARP research program. </w:t>
      </w:r>
      <w:r w:rsidRPr="002E33F7">
        <w:rPr>
          <w:i/>
          <w:noProof/>
        </w:rPr>
        <w:t>Advances in Alcohol and Substance Abuse, 2</w:t>
      </w:r>
      <w:r w:rsidRPr="002E33F7">
        <w:rPr>
          <w:noProof/>
        </w:rPr>
        <w:t xml:space="preserve">, 7-29. </w:t>
      </w:r>
    </w:p>
    <w:p w:rsidR="00225DFE" w:rsidRPr="00571053" w:rsidRDefault="00225DFE" w:rsidP="00225DFE">
      <w:pPr>
        <w:spacing w:after="0" w:line="240" w:lineRule="auto"/>
        <w:ind w:left="720" w:hanging="720"/>
        <w:rPr>
          <w:noProof/>
        </w:rPr>
      </w:pPr>
      <w:r w:rsidRPr="00571053">
        <w:rPr>
          <w:noProof/>
        </w:rPr>
        <w:t>Skevington, S., Lotfy, M., &amp; O'Connell, K. (2004). The World Health Organization’s WHO</w:t>
      </w:r>
      <w:r w:rsidR="00EE7A8F">
        <w:rPr>
          <w:noProof/>
        </w:rPr>
        <w:t>QOL</w:t>
      </w:r>
      <w:r w:rsidRPr="00571053">
        <w:rPr>
          <w:noProof/>
        </w:rPr>
        <w:t>-BREF quality of life assessment: Psychometric properties and results of the international field trial. A Report from the WHO</w:t>
      </w:r>
      <w:r w:rsidR="00EE7A8F">
        <w:rPr>
          <w:noProof/>
        </w:rPr>
        <w:t>QOL</w:t>
      </w:r>
      <w:r w:rsidRPr="00571053">
        <w:rPr>
          <w:noProof/>
        </w:rPr>
        <w:t xml:space="preserve"> Group. </w:t>
      </w:r>
      <w:r w:rsidRPr="00571053">
        <w:rPr>
          <w:i/>
          <w:noProof/>
        </w:rPr>
        <w:t>Quality of Life Research, 13</w:t>
      </w:r>
      <w:r w:rsidRPr="00571053">
        <w:rPr>
          <w:noProof/>
        </w:rPr>
        <w:t xml:space="preserve">, 299-310. </w:t>
      </w:r>
      <w:bookmarkEnd w:id="291"/>
    </w:p>
    <w:p w:rsidR="00225DFE" w:rsidRPr="00571053" w:rsidRDefault="00145301" w:rsidP="00225DFE">
      <w:pPr>
        <w:spacing w:after="0" w:line="240" w:lineRule="auto"/>
        <w:ind w:left="720" w:hanging="720"/>
        <w:rPr>
          <w:noProof/>
        </w:rPr>
      </w:pPr>
      <w:bookmarkStart w:id="294" w:name="_ENREF_51"/>
      <w:r w:rsidRPr="00145301">
        <w:rPr>
          <w:noProof/>
          <w:lang w:val="it-IT"/>
        </w:rPr>
        <w:t xml:space="preserve">Stavro, K., Pelletier, J., &amp; Potvin, S. (2013). </w:t>
      </w:r>
      <w:r w:rsidR="00225DFE" w:rsidRPr="00571053">
        <w:rPr>
          <w:noProof/>
        </w:rPr>
        <w:t xml:space="preserve">Widespread and sustained cognitive deficits in alcoholism: a meta-analysis. </w:t>
      </w:r>
      <w:r w:rsidR="00225DFE" w:rsidRPr="00571053">
        <w:rPr>
          <w:i/>
          <w:noProof/>
        </w:rPr>
        <w:t>Addict Biol, 18</w:t>
      </w:r>
      <w:r w:rsidR="00225DFE" w:rsidRPr="00571053">
        <w:rPr>
          <w:noProof/>
        </w:rPr>
        <w:t xml:space="preserve">(2), 203-213. </w:t>
      </w:r>
      <w:bookmarkEnd w:id="294"/>
    </w:p>
    <w:p w:rsidR="00225DFE" w:rsidRDefault="00225DFE" w:rsidP="00225DFE">
      <w:pPr>
        <w:spacing w:after="0" w:line="240" w:lineRule="auto"/>
        <w:ind w:left="720" w:hanging="720"/>
        <w:rPr>
          <w:noProof/>
        </w:rPr>
      </w:pPr>
      <w:bookmarkStart w:id="295" w:name="_ENREF_52"/>
      <w:r w:rsidRPr="00571053">
        <w:rPr>
          <w:noProof/>
        </w:rPr>
        <w:t xml:space="preserve">Teesson, M., Mills, K., Ross, J., Darke, S., Williamson, A., &amp; Havard, A. (2008). The impact of treatment on 3 years' outcome for heroin dependence: findings from the Australian Treatment Outcome Study (ATOS). </w:t>
      </w:r>
      <w:r w:rsidRPr="00571053">
        <w:rPr>
          <w:i/>
          <w:noProof/>
        </w:rPr>
        <w:t>Addiction, 103</w:t>
      </w:r>
      <w:r w:rsidRPr="00571053">
        <w:rPr>
          <w:noProof/>
        </w:rPr>
        <w:t>(1), 80-88. doi: 10.1111/j.1360-0443.2007.02029.x</w:t>
      </w:r>
      <w:bookmarkEnd w:id="295"/>
    </w:p>
    <w:p w:rsidR="00075673" w:rsidRPr="00571053" w:rsidRDefault="00075673" w:rsidP="00075673">
      <w:pPr>
        <w:spacing w:after="0" w:line="240" w:lineRule="auto"/>
        <w:ind w:left="720" w:hanging="720"/>
        <w:rPr>
          <w:noProof/>
        </w:rPr>
      </w:pPr>
      <w:r w:rsidRPr="00075673">
        <w:rPr>
          <w:noProof/>
        </w:rPr>
        <w:t xml:space="preserve">Teesson, M., Slade, T., &amp; Mills, K. (2009). Comorbidity in Australia: Findings of the 2007 National Survey of Mental Health and Wellbeing. </w:t>
      </w:r>
      <w:r w:rsidRPr="005254F0">
        <w:rPr>
          <w:i/>
          <w:noProof/>
        </w:rPr>
        <w:t>Australia and New Zealand Journal of Psychiatry</w:t>
      </w:r>
      <w:r w:rsidRPr="00075673">
        <w:rPr>
          <w:noProof/>
        </w:rPr>
        <w:t xml:space="preserve"> 43 (7), 606-614</w:t>
      </w:r>
    </w:p>
    <w:p w:rsidR="00225DFE" w:rsidRPr="00571053" w:rsidRDefault="00225DFE" w:rsidP="00225DFE">
      <w:pPr>
        <w:spacing w:after="0" w:line="240" w:lineRule="auto"/>
        <w:ind w:left="720" w:hanging="720"/>
        <w:rPr>
          <w:noProof/>
        </w:rPr>
      </w:pPr>
      <w:bookmarkStart w:id="296" w:name="_ENREF_53"/>
      <w:r w:rsidRPr="00571053">
        <w:rPr>
          <w:noProof/>
        </w:rPr>
        <w:t xml:space="preserve">Timko, C., DeBenedetti, A., &amp; Billow, R. (2006). Intensive referral to 12 step self-help groups and 6-month substance disorder outcomes. </w:t>
      </w:r>
      <w:r w:rsidRPr="00571053">
        <w:rPr>
          <w:i/>
          <w:noProof/>
        </w:rPr>
        <w:t>Addiction 101</w:t>
      </w:r>
      <w:r w:rsidRPr="00571053">
        <w:rPr>
          <w:noProof/>
        </w:rPr>
        <w:t xml:space="preserve">, 678-688. </w:t>
      </w:r>
      <w:bookmarkEnd w:id="296"/>
    </w:p>
    <w:p w:rsidR="00225DFE" w:rsidRPr="00571053" w:rsidRDefault="00225DFE" w:rsidP="00225DFE">
      <w:pPr>
        <w:spacing w:after="0" w:line="240" w:lineRule="auto"/>
        <w:ind w:left="720" w:hanging="720"/>
        <w:rPr>
          <w:noProof/>
        </w:rPr>
      </w:pPr>
      <w:bookmarkStart w:id="297" w:name="_ENREF_54"/>
      <w:r w:rsidRPr="00571053">
        <w:rPr>
          <w:noProof/>
        </w:rPr>
        <w:t xml:space="preserve">Vanderplasschen, W., Rapp, R., Wolf, J., &amp; Broekaert, E. (2004). Comparative review of the development and implementation of case management for substance use disorders in North America and Europe. </w:t>
      </w:r>
      <w:r w:rsidRPr="00571053">
        <w:rPr>
          <w:i/>
          <w:noProof/>
        </w:rPr>
        <w:t>Psychiatr Serv, 55</w:t>
      </w:r>
      <w:r w:rsidRPr="00571053">
        <w:rPr>
          <w:noProof/>
        </w:rPr>
        <w:t xml:space="preserve">(8), 913-922. </w:t>
      </w:r>
      <w:bookmarkEnd w:id="297"/>
    </w:p>
    <w:p w:rsidR="00225DFE" w:rsidRPr="00571053" w:rsidRDefault="00225DFE" w:rsidP="00225DFE">
      <w:pPr>
        <w:spacing w:after="0" w:line="240" w:lineRule="auto"/>
        <w:ind w:left="720" w:hanging="720"/>
        <w:rPr>
          <w:noProof/>
        </w:rPr>
      </w:pPr>
      <w:bookmarkStart w:id="298" w:name="_ENREF_55"/>
      <w:r w:rsidRPr="00571053">
        <w:rPr>
          <w:noProof/>
        </w:rPr>
        <w:t xml:space="preserve">Vanderplasschen, W., Vandevelde, S., &amp; Broekaert, E. (2014). Therapeutic communities for treating addictions in Europe: Evidence, current practices and future challenges. In </w:t>
      </w:r>
      <w:r w:rsidRPr="005254F0">
        <w:rPr>
          <w:i/>
          <w:noProof/>
        </w:rPr>
        <w:t>European Monitoring Centre for Drugs and Drug Addiction</w:t>
      </w:r>
      <w:r w:rsidRPr="00571053">
        <w:rPr>
          <w:noProof/>
        </w:rPr>
        <w:t xml:space="preserve"> (Ed.). Spain.</w:t>
      </w:r>
      <w:bookmarkEnd w:id="298"/>
    </w:p>
    <w:p w:rsidR="00225DFE" w:rsidRPr="00571053" w:rsidRDefault="00225DFE" w:rsidP="00225DFE">
      <w:pPr>
        <w:spacing w:after="0" w:line="240" w:lineRule="auto"/>
        <w:ind w:left="720" w:hanging="720"/>
        <w:rPr>
          <w:noProof/>
        </w:rPr>
      </w:pPr>
      <w:bookmarkStart w:id="299" w:name="_ENREF_56"/>
      <w:r w:rsidRPr="00571053">
        <w:rPr>
          <w:noProof/>
        </w:rPr>
        <w:t xml:space="preserve">Victorian Auditor-General. (2011). </w:t>
      </w:r>
      <w:r w:rsidRPr="00571053">
        <w:rPr>
          <w:i/>
          <w:noProof/>
        </w:rPr>
        <w:t>Managing Drug and Alcohol Prevention and Treatment Services</w:t>
      </w:r>
      <w:r w:rsidRPr="00571053">
        <w:rPr>
          <w:noProof/>
        </w:rPr>
        <w:t>. Melbourne: State Government of Victoria.</w:t>
      </w:r>
      <w:bookmarkEnd w:id="299"/>
    </w:p>
    <w:p w:rsidR="00225DFE" w:rsidRPr="00571053" w:rsidRDefault="00225DFE" w:rsidP="00225DFE">
      <w:pPr>
        <w:spacing w:after="0" w:line="240" w:lineRule="auto"/>
        <w:ind w:left="720" w:hanging="720"/>
        <w:rPr>
          <w:noProof/>
        </w:rPr>
      </w:pPr>
      <w:bookmarkStart w:id="300" w:name="_ENREF_57"/>
      <w:r w:rsidRPr="00571053">
        <w:rPr>
          <w:noProof/>
        </w:rPr>
        <w:t xml:space="preserve">Weisner, C. (1990). The alcohol treatment-seeking process from a problem perspective: Response to events. </w:t>
      </w:r>
      <w:r w:rsidRPr="00571053">
        <w:rPr>
          <w:i/>
          <w:noProof/>
        </w:rPr>
        <w:t>British Journal of Addiction, 85</w:t>
      </w:r>
      <w:r w:rsidRPr="00571053">
        <w:rPr>
          <w:noProof/>
        </w:rPr>
        <w:t xml:space="preserve">(5), 561-569. </w:t>
      </w:r>
      <w:bookmarkEnd w:id="300"/>
    </w:p>
    <w:p w:rsidR="00225DFE" w:rsidRPr="00571053" w:rsidRDefault="00225DFE" w:rsidP="00225DFE">
      <w:pPr>
        <w:spacing w:after="0" w:line="240" w:lineRule="auto"/>
        <w:ind w:left="720" w:hanging="720"/>
        <w:rPr>
          <w:noProof/>
        </w:rPr>
      </w:pPr>
      <w:bookmarkStart w:id="301" w:name="_ENREF_58"/>
      <w:r w:rsidRPr="00571053">
        <w:rPr>
          <w:noProof/>
        </w:rPr>
        <w:t xml:space="preserve">Weisner, C., Delucchi, K., Matzger, H., &amp; Schmidt, L. (2003). The role of community services and informal support on five-year drinking trajectories of alcohol dependent and problem drinkers. </w:t>
      </w:r>
      <w:r w:rsidRPr="00571053">
        <w:rPr>
          <w:i/>
          <w:noProof/>
        </w:rPr>
        <w:t>Journal of Studies on Alcohol, 64</w:t>
      </w:r>
      <w:r w:rsidRPr="00571053">
        <w:rPr>
          <w:noProof/>
        </w:rPr>
        <w:t xml:space="preserve">, 862-873. </w:t>
      </w:r>
      <w:bookmarkEnd w:id="301"/>
    </w:p>
    <w:p w:rsidR="00225DFE" w:rsidRPr="00571053" w:rsidRDefault="00225DFE" w:rsidP="00225DFE">
      <w:pPr>
        <w:spacing w:after="0" w:line="240" w:lineRule="auto"/>
        <w:ind w:left="720" w:hanging="720"/>
        <w:rPr>
          <w:noProof/>
        </w:rPr>
      </w:pPr>
      <w:bookmarkStart w:id="302" w:name="_ENREF_59"/>
      <w:r w:rsidRPr="00571053">
        <w:rPr>
          <w:noProof/>
        </w:rPr>
        <w:t xml:space="preserve">Weisner, C., Hinman, A., Lu, Y., Chi, F. W., &amp; Mertens, J. (2010). Addiction treatment ultimatums and U.S. health reform: A case study. </w:t>
      </w:r>
      <w:r w:rsidRPr="00571053">
        <w:rPr>
          <w:i/>
          <w:noProof/>
        </w:rPr>
        <w:t>Nordi Studies on Alcohol and Drugs, 27</w:t>
      </w:r>
      <w:r w:rsidRPr="00571053">
        <w:rPr>
          <w:noProof/>
        </w:rPr>
        <w:t xml:space="preserve">(6), 685-698. </w:t>
      </w:r>
      <w:bookmarkEnd w:id="302"/>
    </w:p>
    <w:p w:rsidR="007918BF" w:rsidRDefault="00225DFE" w:rsidP="007918BF">
      <w:pPr>
        <w:spacing w:after="0" w:line="240" w:lineRule="auto"/>
        <w:ind w:left="720" w:hanging="720"/>
        <w:rPr>
          <w:noProof/>
        </w:rPr>
      </w:pPr>
      <w:bookmarkStart w:id="303" w:name="_ENREF_60"/>
      <w:r w:rsidRPr="00571053">
        <w:rPr>
          <w:noProof/>
        </w:rPr>
        <w:lastRenderedPageBreak/>
        <w:t xml:space="preserve">White, W. (2009). The mobilisation of community resources to support long-term addiction recovery. </w:t>
      </w:r>
      <w:r w:rsidRPr="00571053">
        <w:rPr>
          <w:i/>
          <w:noProof/>
        </w:rPr>
        <w:t>J Subst Abuse Treat, 36</w:t>
      </w:r>
      <w:r w:rsidRPr="00571053">
        <w:rPr>
          <w:noProof/>
        </w:rPr>
        <w:t xml:space="preserve">, 146-158. </w:t>
      </w:r>
      <w:bookmarkEnd w:id="303"/>
    </w:p>
    <w:p w:rsidR="00225DFE" w:rsidRPr="007918BF" w:rsidRDefault="007918BF" w:rsidP="007918BF">
      <w:pPr>
        <w:spacing w:after="0" w:line="240" w:lineRule="auto"/>
        <w:ind w:left="720" w:hanging="720"/>
        <w:rPr>
          <w:noProof/>
        </w:rPr>
      </w:pPr>
      <w:r w:rsidRPr="007918BF">
        <w:rPr>
          <w:noProof/>
        </w:rPr>
        <w:t xml:space="preserve">Zimet, G. D., Dahlem, N. W., Zimet, S. G., &amp; Farley, G. K. (1988). The multidimensional scale of perceived social support. </w:t>
      </w:r>
      <w:r w:rsidRPr="005254F0">
        <w:rPr>
          <w:i/>
          <w:noProof/>
        </w:rPr>
        <w:t>Journal of Personality Assessment</w:t>
      </w:r>
      <w:r w:rsidRPr="007918BF">
        <w:rPr>
          <w:noProof/>
        </w:rPr>
        <w:t>, 52(1), 30-41.</w:t>
      </w:r>
    </w:p>
    <w:sectPr w:rsidR="00225DFE" w:rsidRPr="007918BF" w:rsidSect="00836C52">
      <w:pgSz w:w="11906" w:h="16838"/>
      <w:pgMar w:top="1440" w:right="1440" w:bottom="1440" w:left="1440" w:header="708" w:footer="595"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88C4D1" w15:done="0"/>
  <w15:commentEx w15:paraId="2AF3574D" w15:done="0"/>
  <w15:commentEx w15:paraId="5468E27D" w15:done="0"/>
  <w15:commentEx w15:paraId="56C5B41E" w15:done="0"/>
  <w15:commentEx w15:paraId="799BD383" w15:done="0"/>
  <w15:commentEx w15:paraId="48759FC0" w15:done="0"/>
  <w15:commentEx w15:paraId="0A89E0A0" w15:done="0"/>
  <w15:commentEx w15:paraId="03513789" w15:done="0"/>
  <w15:commentEx w15:paraId="520665D8" w15:done="0"/>
  <w15:commentEx w15:paraId="332386FE" w15:done="0"/>
  <w15:commentEx w15:paraId="576E9FE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260" w:rsidRDefault="008A3260" w:rsidP="00901D28">
      <w:pPr>
        <w:spacing w:after="0" w:line="240" w:lineRule="auto"/>
      </w:pPr>
      <w:r>
        <w:separator/>
      </w:r>
    </w:p>
  </w:endnote>
  <w:endnote w:type="continuationSeparator" w:id="0">
    <w:p w:rsidR="008A3260" w:rsidRDefault="008A3260" w:rsidP="00901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E2E" w:rsidRPr="002143E0" w:rsidRDefault="007F2E2E" w:rsidP="00AB65E8">
    <w:pPr>
      <w:pStyle w:val="Footer"/>
      <w:jc w:val="right"/>
      <w:rPr>
        <w:b/>
        <w:sz w:val="20"/>
        <w:szCs w:val="20"/>
      </w:rPr>
    </w:pPr>
    <w:r w:rsidRPr="002143E0">
      <w:rPr>
        <w:b/>
        <w:sz w:val="20"/>
        <w:szCs w:val="20"/>
      </w:rPr>
      <w:fldChar w:fldCharType="begin"/>
    </w:r>
    <w:r w:rsidRPr="002143E0">
      <w:rPr>
        <w:b/>
        <w:sz w:val="20"/>
        <w:szCs w:val="20"/>
      </w:rPr>
      <w:instrText xml:space="preserve"> PAGE   \* MERGEFORMAT </w:instrText>
    </w:r>
    <w:r w:rsidRPr="002143E0">
      <w:rPr>
        <w:b/>
        <w:sz w:val="20"/>
        <w:szCs w:val="20"/>
      </w:rPr>
      <w:fldChar w:fldCharType="separate"/>
    </w:r>
    <w:r w:rsidR="008306D4">
      <w:rPr>
        <w:b/>
        <w:noProof/>
        <w:sz w:val="20"/>
        <w:szCs w:val="20"/>
      </w:rPr>
      <w:t>I</w:t>
    </w:r>
    <w:r w:rsidRPr="002143E0">
      <w:rPr>
        <w:b/>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E2E" w:rsidRPr="002143E0" w:rsidRDefault="007F2E2E" w:rsidP="00AB65E8">
    <w:pPr>
      <w:pStyle w:val="Footer"/>
      <w:jc w:val="right"/>
      <w:rPr>
        <w:b/>
        <w:sz w:val="20"/>
        <w:szCs w:val="20"/>
      </w:rPr>
    </w:pPr>
    <w:r w:rsidRPr="002143E0">
      <w:rPr>
        <w:b/>
        <w:sz w:val="20"/>
        <w:szCs w:val="20"/>
      </w:rPr>
      <w:fldChar w:fldCharType="begin"/>
    </w:r>
    <w:r w:rsidRPr="002143E0">
      <w:rPr>
        <w:b/>
        <w:sz w:val="20"/>
        <w:szCs w:val="20"/>
      </w:rPr>
      <w:instrText xml:space="preserve"> PAGE   \* MERGEFORMAT </w:instrText>
    </w:r>
    <w:r w:rsidRPr="002143E0">
      <w:rPr>
        <w:b/>
        <w:sz w:val="20"/>
        <w:szCs w:val="20"/>
      </w:rPr>
      <w:fldChar w:fldCharType="separate"/>
    </w:r>
    <w:r w:rsidR="008306D4">
      <w:rPr>
        <w:b/>
        <w:noProof/>
        <w:sz w:val="20"/>
        <w:szCs w:val="20"/>
      </w:rPr>
      <w:t>51</w:t>
    </w:r>
    <w:r w:rsidRPr="002143E0">
      <w:rPr>
        <w:b/>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E2E" w:rsidRPr="002143E0" w:rsidRDefault="007F2E2E" w:rsidP="00AB65E8">
    <w:pPr>
      <w:pStyle w:val="Footer"/>
      <w:jc w:val="right"/>
      <w:rPr>
        <w:b/>
        <w:sz w:val="20"/>
        <w:szCs w:val="20"/>
      </w:rPr>
    </w:pPr>
    <w:r w:rsidRPr="002143E0">
      <w:rPr>
        <w:b/>
        <w:sz w:val="20"/>
        <w:szCs w:val="20"/>
      </w:rPr>
      <w:fldChar w:fldCharType="begin"/>
    </w:r>
    <w:r w:rsidRPr="002143E0">
      <w:rPr>
        <w:b/>
        <w:sz w:val="20"/>
        <w:szCs w:val="20"/>
      </w:rPr>
      <w:instrText xml:space="preserve"> PAGE   \* MERGEFORMAT </w:instrText>
    </w:r>
    <w:r w:rsidRPr="002143E0">
      <w:rPr>
        <w:b/>
        <w:sz w:val="20"/>
        <w:szCs w:val="20"/>
      </w:rPr>
      <w:fldChar w:fldCharType="separate"/>
    </w:r>
    <w:r w:rsidR="008306D4">
      <w:rPr>
        <w:b/>
        <w:noProof/>
        <w:sz w:val="20"/>
        <w:szCs w:val="20"/>
      </w:rPr>
      <w:t>128</w:t>
    </w:r>
    <w:r w:rsidRPr="002143E0">
      <w:rPr>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260" w:rsidRDefault="008A3260" w:rsidP="00901D28">
      <w:pPr>
        <w:spacing w:after="0" w:line="240" w:lineRule="auto"/>
      </w:pPr>
      <w:r>
        <w:separator/>
      </w:r>
    </w:p>
  </w:footnote>
  <w:footnote w:type="continuationSeparator" w:id="0">
    <w:p w:rsidR="008A3260" w:rsidRDefault="008A3260" w:rsidP="00901D28">
      <w:pPr>
        <w:spacing w:after="0" w:line="240" w:lineRule="auto"/>
      </w:pPr>
      <w:r>
        <w:continuationSeparator/>
      </w:r>
    </w:p>
  </w:footnote>
  <w:footnote w:id="1">
    <w:p w:rsidR="007F2E2E" w:rsidRDefault="007F2E2E" w:rsidP="001C692B">
      <w:pPr>
        <w:pStyle w:val="FootnoteText"/>
      </w:pPr>
      <w:r w:rsidRPr="00984AEF">
        <w:rPr>
          <w:rStyle w:val="FootnoteReference"/>
        </w:rPr>
        <w:footnoteRef/>
      </w:r>
      <w:r w:rsidRPr="00984AEF">
        <w:t xml:space="preserve"> Mutual aid refers to peer-support groups where people with similar experiences help each other to manage or overcome issues and build a network of support. The most commonly a</w:t>
      </w:r>
      <w:r>
        <w:t xml:space="preserve">ttended mutual aid groups were </w:t>
      </w:r>
      <w:r w:rsidRPr="00984AEF">
        <w:t>Alcoholics Anonymous, Narcotics Anonymous, other 12-step meetings, SMART recovery or other recovery groups.</w:t>
      </w:r>
    </w:p>
  </w:footnote>
  <w:footnote w:id="2">
    <w:p w:rsidR="007F2E2E" w:rsidRPr="00BA6C75" w:rsidRDefault="007F2E2E" w:rsidP="00A273D8">
      <w:pPr>
        <w:pStyle w:val="FootnoteText"/>
        <w:rPr>
          <w:rFonts w:eastAsia="Times New Roman"/>
          <w:bCs/>
        </w:rPr>
      </w:pPr>
      <w:r w:rsidRPr="00BA6C75">
        <w:rPr>
          <w:rStyle w:val="FootnoteReference"/>
        </w:rPr>
        <w:footnoteRef/>
      </w:r>
      <w:r w:rsidRPr="00BA6C75">
        <w:t xml:space="preserve"> The term recovery as used in this report is </w:t>
      </w:r>
      <w:r w:rsidRPr="00BA6C75">
        <w:rPr>
          <w:rFonts w:asciiTheme="minorHAnsi" w:eastAsia="Times New Roman" w:hAnsiTheme="minorHAnsi" w:cstheme="minorHAnsi"/>
          <w:bCs/>
        </w:rPr>
        <w:t>based</w:t>
      </w:r>
      <w:r>
        <w:rPr>
          <w:rFonts w:asciiTheme="minorHAnsi" w:eastAsia="Times New Roman" w:hAnsiTheme="minorHAnsi" w:cstheme="minorHAnsi"/>
          <w:bCs/>
        </w:rPr>
        <w:t xml:space="preserve"> on work conducted by the </w:t>
      </w:r>
      <w:r w:rsidRPr="00F16469">
        <w:rPr>
          <w:rFonts w:asciiTheme="minorHAnsi" w:eastAsia="Times New Roman" w:hAnsiTheme="minorHAnsi" w:cstheme="minorHAnsi"/>
          <w:bCs/>
        </w:rPr>
        <w:t>UK Drug Policy Commission</w:t>
      </w:r>
      <w:r>
        <w:rPr>
          <w:rFonts w:asciiTheme="minorHAnsi" w:eastAsia="Times New Roman" w:hAnsiTheme="minorHAnsi" w:cstheme="minorHAnsi"/>
          <w:bCs/>
        </w:rPr>
        <w:t xml:space="preserve">, which defined recovery as ‘voluntarily sustained control over substance use which maximises health and wellbeing, and participation in rights, roles and participation in society’. Controlled use in this context ‘means ‘comfortable and sustained freedom from compulsion to use’. For some this may mean abstinence, for others it may mean abstinence supported by prescribed medication and for others consistently moderate use of some substances (UKDPC, 2008, pp. 5-6).  </w:t>
      </w:r>
    </w:p>
  </w:footnote>
  <w:footnote w:id="3">
    <w:p w:rsidR="007F2E2E" w:rsidRDefault="007F2E2E" w:rsidP="00A33370">
      <w:pPr>
        <w:pStyle w:val="FootnoteText"/>
      </w:pPr>
      <w:r>
        <w:rPr>
          <w:rStyle w:val="FootnoteReference"/>
        </w:rPr>
        <w:footnoteRef/>
      </w:r>
      <w:r>
        <w:t xml:space="preserve"> At the time of the consultation the 2009/10 was most recent data available. </w:t>
      </w:r>
    </w:p>
  </w:footnote>
  <w:footnote w:id="4">
    <w:p w:rsidR="007F2E2E" w:rsidRDefault="007F2E2E">
      <w:pPr>
        <w:pStyle w:val="FootnoteText"/>
      </w:pPr>
      <w:r>
        <w:rPr>
          <w:rStyle w:val="FootnoteReference"/>
        </w:rPr>
        <w:footnoteRef/>
      </w:r>
      <w:r>
        <w:t xml:space="preserve"> At the time of the consultation the 2009/10 was most recent data available. 2011/12 data is used to weight the data in the Patient Pathways cohort in section 3. </w:t>
      </w:r>
    </w:p>
  </w:footnote>
  <w:footnote w:id="5">
    <w:p w:rsidR="007F2E2E" w:rsidRDefault="007F2E2E">
      <w:pPr>
        <w:pStyle w:val="FootnoteText"/>
      </w:pPr>
      <w:r>
        <w:rPr>
          <w:rStyle w:val="FootnoteReference"/>
        </w:rPr>
        <w:footnoteRef/>
      </w:r>
      <w:r>
        <w:t xml:space="preserve"> For AOD services, detailed information included drug of concern, month of contact and referral source. Only total number of contacts was recorded for use of self-help and mutual aid programs and GP. For health and community services detailed information included month of contact and referral source and for justice system contacts the month of contact was recorded. </w:t>
      </w:r>
    </w:p>
  </w:footnote>
  <w:footnote w:id="6">
    <w:p w:rsidR="007F2E2E" w:rsidRDefault="007F2E2E">
      <w:pPr>
        <w:pStyle w:val="FootnoteText"/>
      </w:pPr>
      <w:r>
        <w:rPr>
          <w:rStyle w:val="FootnoteReference"/>
        </w:rPr>
        <w:footnoteRef/>
      </w:r>
      <w:r>
        <w:t xml:space="preserve"> </w:t>
      </w:r>
      <w:r>
        <w:rPr>
          <w:lang w:val="en-US"/>
        </w:rPr>
        <w:t>p values refer to tests of null hypotheses for differences between the three PIT types (see methods section for statistical test used)</w:t>
      </w:r>
    </w:p>
  </w:footnote>
  <w:footnote w:id="7">
    <w:p w:rsidR="007F2E2E" w:rsidRPr="00BA6C75" w:rsidRDefault="007F2E2E" w:rsidP="00422154">
      <w:pPr>
        <w:pStyle w:val="FootnoteText"/>
        <w:rPr>
          <w:rFonts w:eastAsia="Times New Roman"/>
          <w:bCs/>
        </w:rPr>
      </w:pPr>
      <w:r w:rsidRPr="00BA6C75">
        <w:rPr>
          <w:rStyle w:val="FootnoteReference"/>
        </w:rPr>
        <w:footnoteRef/>
      </w:r>
      <w:r w:rsidRPr="00BA6C75">
        <w:t xml:space="preserve"> The term recovery as used in this report is </w:t>
      </w:r>
      <w:r w:rsidRPr="00BA6C75">
        <w:rPr>
          <w:rFonts w:asciiTheme="minorHAnsi" w:eastAsia="Times New Roman" w:hAnsiTheme="minorHAnsi" w:cstheme="minorHAnsi"/>
          <w:bCs/>
        </w:rPr>
        <w:t>based</w:t>
      </w:r>
      <w:r>
        <w:rPr>
          <w:rFonts w:asciiTheme="minorHAnsi" w:eastAsia="Times New Roman" w:hAnsiTheme="minorHAnsi" w:cstheme="minorHAnsi"/>
          <w:bCs/>
        </w:rPr>
        <w:t xml:space="preserve"> on work conducted by the </w:t>
      </w:r>
      <w:r w:rsidRPr="00F16469">
        <w:rPr>
          <w:rFonts w:asciiTheme="minorHAnsi" w:eastAsia="Times New Roman" w:hAnsiTheme="minorHAnsi" w:cstheme="minorHAnsi"/>
          <w:bCs/>
        </w:rPr>
        <w:t>UK Drug Policy Commission</w:t>
      </w:r>
      <w:r>
        <w:rPr>
          <w:rFonts w:asciiTheme="minorHAnsi" w:eastAsia="Times New Roman" w:hAnsiTheme="minorHAnsi" w:cstheme="minorHAnsi"/>
          <w:bCs/>
        </w:rPr>
        <w:t xml:space="preserve">, which defined recovery as ‘voluntarily sustained control over substance use which maximises health and wellbeing, and participation in rights, roles and participation in society’. Controlled use in this context </w:t>
      </w:r>
      <w:proofErr w:type="gramStart"/>
      <w:r>
        <w:rPr>
          <w:rFonts w:asciiTheme="minorHAnsi" w:eastAsia="Times New Roman" w:hAnsiTheme="minorHAnsi" w:cstheme="minorHAnsi"/>
          <w:bCs/>
        </w:rPr>
        <w:t>‘means‘ comfortable</w:t>
      </w:r>
      <w:proofErr w:type="gramEnd"/>
      <w:r>
        <w:rPr>
          <w:rFonts w:asciiTheme="minorHAnsi" w:eastAsia="Times New Roman" w:hAnsiTheme="minorHAnsi" w:cstheme="minorHAnsi"/>
          <w:bCs/>
        </w:rPr>
        <w:t xml:space="preserve"> and sustained freedom from compulsion to use’. For some this may mean abstinence, for others it may mean abstinence supported by prescribed medication and for others consistently moderate use of some substances (UKDPC, 2008, pp. 5-6).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E2E" w:rsidRDefault="007F2E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E2E" w:rsidRDefault="007F2E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170E"/>
    <w:multiLevelType w:val="hybridMultilevel"/>
    <w:tmpl w:val="68864A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3A04AE9"/>
    <w:multiLevelType w:val="hybridMultilevel"/>
    <w:tmpl w:val="398AED24"/>
    <w:lvl w:ilvl="0" w:tplc="61CC5426">
      <w:start w:val="4"/>
      <w:numFmt w:val="bullet"/>
      <w:lvlText w:val="-"/>
      <w:lvlJc w:val="left"/>
      <w:pPr>
        <w:ind w:left="1080" w:hanging="360"/>
      </w:pPr>
      <w:rPr>
        <w:rFonts w:ascii="Calibri" w:eastAsia="Calibr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47D640D"/>
    <w:multiLevelType w:val="hybridMultilevel"/>
    <w:tmpl w:val="29AC0D54"/>
    <w:lvl w:ilvl="0" w:tplc="3594BCC8">
      <w:start w:val="1"/>
      <w:numFmt w:val="decimal"/>
      <w:pStyle w:val="NumberedList"/>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5861F0"/>
    <w:multiLevelType w:val="hybridMultilevel"/>
    <w:tmpl w:val="00D07F8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7D65262"/>
    <w:multiLevelType w:val="hybridMultilevel"/>
    <w:tmpl w:val="3124969C"/>
    <w:lvl w:ilvl="0" w:tplc="A81EF010">
      <w:start w:val="1"/>
      <w:numFmt w:val="decimal"/>
      <w:lvlText w:val="(%1)"/>
      <w:lvlJc w:val="left"/>
      <w:pPr>
        <w:ind w:left="720" w:hanging="360"/>
      </w:pPr>
      <w:rPr>
        <w:rFonts w:hint="default"/>
        <w:i/>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0A2F5E89"/>
    <w:multiLevelType w:val="hybridMultilevel"/>
    <w:tmpl w:val="3124969C"/>
    <w:lvl w:ilvl="0" w:tplc="A81EF010">
      <w:start w:val="1"/>
      <w:numFmt w:val="decimal"/>
      <w:lvlText w:val="(%1)"/>
      <w:lvlJc w:val="left"/>
      <w:pPr>
        <w:ind w:left="720" w:hanging="360"/>
      </w:pPr>
      <w:rPr>
        <w:rFonts w:hint="default"/>
        <w:i/>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0B5C6D3F"/>
    <w:multiLevelType w:val="multilevel"/>
    <w:tmpl w:val="D4D22346"/>
    <w:styleLink w:val="Style1"/>
    <w:lvl w:ilvl="0">
      <w:start w:val="1"/>
      <w:numFmt w:val="lowerRoman"/>
      <w:lvlText w:val="%1)"/>
      <w:lvlJc w:val="left"/>
      <w:pPr>
        <w:ind w:left="720" w:hanging="360"/>
      </w:pPr>
      <w:rPr>
        <w:rFonts w:ascii="Calibri" w:eastAsia="Calibri" w:hAnsi="Calibri"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E4C1CA9"/>
    <w:multiLevelType w:val="multilevel"/>
    <w:tmpl w:val="B8B6BF5C"/>
    <w:lvl w:ilvl="0">
      <w:start w:val="1"/>
      <w:numFmt w:val="decimal"/>
      <w:lvlText w:val="%1."/>
      <w:lvlJc w:val="left"/>
      <w:pPr>
        <w:ind w:left="360" w:hanging="360"/>
      </w:pPr>
      <w:rPr>
        <w:rFonts w:hint="default"/>
      </w:rPr>
    </w:lvl>
    <w:lvl w:ilvl="1">
      <w:start w:val="1"/>
      <w:numFmt w:val="decimal"/>
      <w:pStyle w:val="FAREH2"/>
      <w:suff w:val="space"/>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E591F4A"/>
    <w:multiLevelType w:val="hybridMultilevel"/>
    <w:tmpl w:val="45BA49A6"/>
    <w:lvl w:ilvl="0" w:tplc="C2CEF5E0">
      <w:start w:val="1"/>
      <w:numFmt w:val="decimal"/>
      <w:lvlText w:val="%1."/>
      <w:lvlJc w:val="left"/>
      <w:pPr>
        <w:ind w:left="420" w:hanging="360"/>
      </w:pPr>
      <w:rPr>
        <w:rFonts w:hint="default"/>
        <w:b/>
      </w:rPr>
    </w:lvl>
    <w:lvl w:ilvl="1" w:tplc="0C090019" w:tentative="1">
      <w:start w:val="1"/>
      <w:numFmt w:val="lowerLetter"/>
      <w:lvlText w:val="%2."/>
      <w:lvlJc w:val="left"/>
      <w:pPr>
        <w:ind w:left="1140" w:hanging="360"/>
      </w:pPr>
    </w:lvl>
    <w:lvl w:ilvl="2" w:tplc="0C09001B" w:tentative="1">
      <w:start w:val="1"/>
      <w:numFmt w:val="lowerRoman"/>
      <w:lvlText w:val="%3."/>
      <w:lvlJc w:val="right"/>
      <w:pPr>
        <w:ind w:left="1860" w:hanging="180"/>
      </w:pPr>
    </w:lvl>
    <w:lvl w:ilvl="3" w:tplc="0C09000F" w:tentative="1">
      <w:start w:val="1"/>
      <w:numFmt w:val="decimal"/>
      <w:lvlText w:val="%4."/>
      <w:lvlJc w:val="left"/>
      <w:pPr>
        <w:ind w:left="2580" w:hanging="360"/>
      </w:pPr>
    </w:lvl>
    <w:lvl w:ilvl="4" w:tplc="0C090019" w:tentative="1">
      <w:start w:val="1"/>
      <w:numFmt w:val="lowerLetter"/>
      <w:lvlText w:val="%5."/>
      <w:lvlJc w:val="left"/>
      <w:pPr>
        <w:ind w:left="3300" w:hanging="360"/>
      </w:pPr>
    </w:lvl>
    <w:lvl w:ilvl="5" w:tplc="0C09001B" w:tentative="1">
      <w:start w:val="1"/>
      <w:numFmt w:val="lowerRoman"/>
      <w:lvlText w:val="%6."/>
      <w:lvlJc w:val="right"/>
      <w:pPr>
        <w:ind w:left="4020" w:hanging="180"/>
      </w:pPr>
    </w:lvl>
    <w:lvl w:ilvl="6" w:tplc="0C09000F" w:tentative="1">
      <w:start w:val="1"/>
      <w:numFmt w:val="decimal"/>
      <w:lvlText w:val="%7."/>
      <w:lvlJc w:val="left"/>
      <w:pPr>
        <w:ind w:left="4740" w:hanging="360"/>
      </w:pPr>
    </w:lvl>
    <w:lvl w:ilvl="7" w:tplc="0C090019" w:tentative="1">
      <w:start w:val="1"/>
      <w:numFmt w:val="lowerLetter"/>
      <w:lvlText w:val="%8."/>
      <w:lvlJc w:val="left"/>
      <w:pPr>
        <w:ind w:left="5460" w:hanging="360"/>
      </w:pPr>
    </w:lvl>
    <w:lvl w:ilvl="8" w:tplc="0C09001B" w:tentative="1">
      <w:start w:val="1"/>
      <w:numFmt w:val="lowerRoman"/>
      <w:lvlText w:val="%9."/>
      <w:lvlJc w:val="right"/>
      <w:pPr>
        <w:ind w:left="6180" w:hanging="180"/>
      </w:pPr>
    </w:lvl>
  </w:abstractNum>
  <w:abstractNum w:abstractNumId="9">
    <w:nsid w:val="114E0D26"/>
    <w:multiLevelType w:val="hybridMultilevel"/>
    <w:tmpl w:val="F790DD1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11E662C7"/>
    <w:multiLevelType w:val="hybridMultilevel"/>
    <w:tmpl w:val="64C8E4E2"/>
    <w:lvl w:ilvl="0" w:tplc="61CC5426">
      <w:start w:val="4"/>
      <w:numFmt w:val="bullet"/>
      <w:lvlText w:val="-"/>
      <w:lvlJc w:val="left"/>
      <w:pPr>
        <w:ind w:left="1080" w:hanging="360"/>
      </w:pPr>
      <w:rPr>
        <w:rFonts w:ascii="Calibri" w:eastAsia="Calibr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141F26B4"/>
    <w:multiLevelType w:val="multilevel"/>
    <w:tmpl w:val="3CBED6F4"/>
    <w:lvl w:ilvl="0">
      <w:start w:val="2"/>
      <w:numFmt w:val="decimal"/>
      <w:lvlText w:val="%1."/>
      <w:lvlJc w:val="left"/>
      <w:pPr>
        <w:ind w:left="360" w:hanging="360"/>
      </w:pPr>
      <w:rPr>
        <w:rFonts w:hint="default"/>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2">
    <w:nsid w:val="16154E1E"/>
    <w:multiLevelType w:val="hybridMultilevel"/>
    <w:tmpl w:val="D3E48D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89F49D5"/>
    <w:multiLevelType w:val="hybridMultilevel"/>
    <w:tmpl w:val="57A02CF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18A82358"/>
    <w:multiLevelType w:val="hybridMultilevel"/>
    <w:tmpl w:val="32B49E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0C43B78"/>
    <w:multiLevelType w:val="hybridMultilevel"/>
    <w:tmpl w:val="653C1FE8"/>
    <w:lvl w:ilvl="0" w:tplc="04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25573691"/>
    <w:multiLevelType w:val="hybridMultilevel"/>
    <w:tmpl w:val="4D226196"/>
    <w:lvl w:ilvl="0" w:tplc="1CC293F4">
      <w:start w:val="1"/>
      <w:numFmt w:val="decimal"/>
      <w:pStyle w:val="CODEFRAME"/>
      <w:lvlText w:val="%1."/>
      <w:lvlJc w:val="left"/>
      <w:pPr>
        <w:tabs>
          <w:tab w:val="num" w:pos="1440"/>
        </w:tabs>
        <w:ind w:left="1440" w:hanging="360"/>
      </w:pPr>
      <w:rPr>
        <w:rFonts w:hint="default"/>
      </w:rPr>
    </w:lvl>
    <w:lvl w:ilvl="1" w:tplc="D99E38AA">
      <w:start w:val="1"/>
      <w:numFmt w:val="lowerLetter"/>
      <w:lvlText w:val="%2)"/>
      <w:lvlJc w:val="left"/>
      <w:pPr>
        <w:tabs>
          <w:tab w:val="num" w:pos="1440"/>
        </w:tabs>
        <w:ind w:left="1440" w:hanging="360"/>
      </w:pPr>
      <w:rPr>
        <w:rFonts w:ascii="Arial" w:hAnsi="Arial" w:hint="default"/>
        <w:sz w:val="20"/>
        <w:szCs w:val="20"/>
      </w:rPr>
    </w:lvl>
    <w:lvl w:ilvl="2" w:tplc="10C0F436">
      <w:start w:val="1"/>
      <w:numFmt w:val="lowerLetter"/>
      <w:lvlText w:val="%3."/>
      <w:lvlJc w:val="left"/>
      <w:pPr>
        <w:tabs>
          <w:tab w:val="num" w:pos="2340"/>
        </w:tabs>
        <w:ind w:left="2340" w:hanging="360"/>
      </w:pPr>
      <w:rPr>
        <w:rFonts w:hint="default"/>
        <w:color w:val="000000"/>
      </w:rPr>
    </w:lvl>
    <w:lvl w:ilvl="3" w:tplc="CDBAFB0E">
      <w:start w:val="15"/>
      <w:numFmt w:val="upperLetter"/>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61C3061"/>
    <w:multiLevelType w:val="hybridMultilevel"/>
    <w:tmpl w:val="B462C8A8"/>
    <w:lvl w:ilvl="0" w:tplc="FFFFFFFF">
      <w:start w:val="1"/>
      <w:numFmt w:val="decimal"/>
      <w:lvlText w:val="%1."/>
      <w:lvlJc w:val="left"/>
      <w:pPr>
        <w:tabs>
          <w:tab w:val="num" w:pos="1440"/>
        </w:tabs>
        <w:ind w:left="1440" w:hanging="360"/>
      </w:pPr>
    </w:lvl>
    <w:lvl w:ilvl="1" w:tplc="CCC65516">
      <w:start w:val="1"/>
      <w:numFmt w:val="decimal"/>
      <w:pStyle w:val="Codes"/>
      <w:lvlText w:val="%2."/>
      <w:lvlJc w:val="left"/>
      <w:pPr>
        <w:tabs>
          <w:tab w:val="num" w:pos="2520"/>
        </w:tabs>
        <w:ind w:left="2520" w:hanging="720"/>
      </w:pPr>
      <w:rPr>
        <w:rFonts w:hint="default"/>
        <w:b w:val="0"/>
        <w:i w:val="0"/>
        <w:sz w:val="18"/>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8">
    <w:nsid w:val="2E093CA3"/>
    <w:multiLevelType w:val="hybridMultilevel"/>
    <w:tmpl w:val="F790DD1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32B221B1"/>
    <w:multiLevelType w:val="hybridMultilevel"/>
    <w:tmpl w:val="8CF0603C"/>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0">
    <w:nsid w:val="332F435B"/>
    <w:multiLevelType w:val="multilevel"/>
    <w:tmpl w:val="C2F6D8C4"/>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HTOH3withnumber"/>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35923CB"/>
    <w:multiLevelType w:val="hybridMultilevel"/>
    <w:tmpl w:val="97A87F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44A2B13"/>
    <w:multiLevelType w:val="hybridMultilevel"/>
    <w:tmpl w:val="0144C49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35605AAE"/>
    <w:multiLevelType w:val="hybridMultilevel"/>
    <w:tmpl w:val="3124969C"/>
    <w:lvl w:ilvl="0" w:tplc="A81EF010">
      <w:start w:val="1"/>
      <w:numFmt w:val="decimal"/>
      <w:lvlText w:val="(%1)"/>
      <w:lvlJc w:val="left"/>
      <w:pPr>
        <w:ind w:left="720" w:hanging="360"/>
      </w:pPr>
      <w:rPr>
        <w:rFonts w:hint="default"/>
        <w:i/>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37783EE4"/>
    <w:multiLevelType w:val="hybridMultilevel"/>
    <w:tmpl w:val="3124969C"/>
    <w:lvl w:ilvl="0" w:tplc="A81EF010">
      <w:start w:val="1"/>
      <w:numFmt w:val="decimal"/>
      <w:lvlText w:val="(%1)"/>
      <w:lvlJc w:val="left"/>
      <w:pPr>
        <w:ind w:left="720" w:hanging="360"/>
      </w:pPr>
      <w:rPr>
        <w:rFonts w:hint="default"/>
        <w:i/>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3EDD72BE"/>
    <w:multiLevelType w:val="hybridMultilevel"/>
    <w:tmpl w:val="7C541C3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401C33F9"/>
    <w:multiLevelType w:val="hybridMultilevel"/>
    <w:tmpl w:val="2AC4145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40734827"/>
    <w:multiLevelType w:val="hybridMultilevel"/>
    <w:tmpl w:val="AD900FFA"/>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8">
    <w:nsid w:val="42B61103"/>
    <w:multiLevelType w:val="hybridMultilevel"/>
    <w:tmpl w:val="20386F64"/>
    <w:lvl w:ilvl="0" w:tplc="CB38B73C">
      <w:start w:val="1"/>
      <w:numFmt w:val="decimal"/>
      <w:pStyle w:val="FAREH1"/>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43F12A2B"/>
    <w:multiLevelType w:val="hybridMultilevel"/>
    <w:tmpl w:val="96A6E336"/>
    <w:lvl w:ilvl="0" w:tplc="66AC65F4">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45A21D3A"/>
    <w:multiLevelType w:val="hybridMultilevel"/>
    <w:tmpl w:val="D832B5F4"/>
    <w:lvl w:ilvl="0" w:tplc="0C090001">
      <w:start w:val="1"/>
      <w:numFmt w:val="bullet"/>
      <w:lvlText w:val=""/>
      <w:lvlJc w:val="left"/>
      <w:pPr>
        <w:ind w:left="370" w:hanging="360"/>
      </w:pPr>
      <w:rPr>
        <w:rFonts w:ascii="Symbol" w:hAnsi="Symbol" w:hint="default"/>
      </w:rPr>
    </w:lvl>
    <w:lvl w:ilvl="1" w:tplc="0C090003" w:tentative="1">
      <w:start w:val="1"/>
      <w:numFmt w:val="bullet"/>
      <w:lvlText w:val="o"/>
      <w:lvlJc w:val="left"/>
      <w:pPr>
        <w:ind w:left="1090" w:hanging="360"/>
      </w:pPr>
      <w:rPr>
        <w:rFonts w:ascii="Courier New" w:hAnsi="Courier New" w:cs="Courier New" w:hint="default"/>
      </w:rPr>
    </w:lvl>
    <w:lvl w:ilvl="2" w:tplc="0C090005" w:tentative="1">
      <w:start w:val="1"/>
      <w:numFmt w:val="bullet"/>
      <w:lvlText w:val=""/>
      <w:lvlJc w:val="left"/>
      <w:pPr>
        <w:ind w:left="1810" w:hanging="360"/>
      </w:pPr>
      <w:rPr>
        <w:rFonts w:ascii="Wingdings" w:hAnsi="Wingdings" w:hint="default"/>
      </w:rPr>
    </w:lvl>
    <w:lvl w:ilvl="3" w:tplc="0C090001" w:tentative="1">
      <w:start w:val="1"/>
      <w:numFmt w:val="bullet"/>
      <w:lvlText w:val=""/>
      <w:lvlJc w:val="left"/>
      <w:pPr>
        <w:ind w:left="2530" w:hanging="360"/>
      </w:pPr>
      <w:rPr>
        <w:rFonts w:ascii="Symbol" w:hAnsi="Symbol" w:hint="default"/>
      </w:rPr>
    </w:lvl>
    <w:lvl w:ilvl="4" w:tplc="0C090003" w:tentative="1">
      <w:start w:val="1"/>
      <w:numFmt w:val="bullet"/>
      <w:lvlText w:val="o"/>
      <w:lvlJc w:val="left"/>
      <w:pPr>
        <w:ind w:left="3250" w:hanging="360"/>
      </w:pPr>
      <w:rPr>
        <w:rFonts w:ascii="Courier New" w:hAnsi="Courier New" w:cs="Courier New" w:hint="default"/>
      </w:rPr>
    </w:lvl>
    <w:lvl w:ilvl="5" w:tplc="0C090005" w:tentative="1">
      <w:start w:val="1"/>
      <w:numFmt w:val="bullet"/>
      <w:lvlText w:val=""/>
      <w:lvlJc w:val="left"/>
      <w:pPr>
        <w:ind w:left="3970" w:hanging="360"/>
      </w:pPr>
      <w:rPr>
        <w:rFonts w:ascii="Wingdings" w:hAnsi="Wingdings" w:hint="default"/>
      </w:rPr>
    </w:lvl>
    <w:lvl w:ilvl="6" w:tplc="0C090001" w:tentative="1">
      <w:start w:val="1"/>
      <w:numFmt w:val="bullet"/>
      <w:lvlText w:val=""/>
      <w:lvlJc w:val="left"/>
      <w:pPr>
        <w:ind w:left="4690" w:hanging="360"/>
      </w:pPr>
      <w:rPr>
        <w:rFonts w:ascii="Symbol" w:hAnsi="Symbol" w:hint="default"/>
      </w:rPr>
    </w:lvl>
    <w:lvl w:ilvl="7" w:tplc="0C090003" w:tentative="1">
      <w:start w:val="1"/>
      <w:numFmt w:val="bullet"/>
      <w:lvlText w:val="o"/>
      <w:lvlJc w:val="left"/>
      <w:pPr>
        <w:ind w:left="5410" w:hanging="360"/>
      </w:pPr>
      <w:rPr>
        <w:rFonts w:ascii="Courier New" w:hAnsi="Courier New" w:cs="Courier New" w:hint="default"/>
      </w:rPr>
    </w:lvl>
    <w:lvl w:ilvl="8" w:tplc="0C090005" w:tentative="1">
      <w:start w:val="1"/>
      <w:numFmt w:val="bullet"/>
      <w:lvlText w:val=""/>
      <w:lvlJc w:val="left"/>
      <w:pPr>
        <w:ind w:left="6130" w:hanging="360"/>
      </w:pPr>
      <w:rPr>
        <w:rFonts w:ascii="Wingdings" w:hAnsi="Wingdings" w:hint="default"/>
      </w:rPr>
    </w:lvl>
  </w:abstractNum>
  <w:abstractNum w:abstractNumId="31">
    <w:nsid w:val="45B15C7A"/>
    <w:multiLevelType w:val="multilevel"/>
    <w:tmpl w:val="C2F6D8C4"/>
    <w:numStyleLink w:val="Style2"/>
  </w:abstractNum>
  <w:abstractNum w:abstractNumId="32">
    <w:nsid w:val="4AFE39FE"/>
    <w:multiLevelType w:val="hybridMultilevel"/>
    <w:tmpl w:val="43687408"/>
    <w:lvl w:ilvl="0" w:tplc="F662BCD4">
      <w:start w:val="1"/>
      <w:numFmt w:val="bullet"/>
      <w:pStyle w:val="FAREdotpoints"/>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4E5262E2"/>
    <w:multiLevelType w:val="multilevel"/>
    <w:tmpl w:val="F790DD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4E9E51C9"/>
    <w:multiLevelType w:val="hybridMultilevel"/>
    <w:tmpl w:val="828CA6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5D281042"/>
    <w:multiLevelType w:val="hybridMultilevel"/>
    <w:tmpl w:val="FE140C22"/>
    <w:lvl w:ilvl="0" w:tplc="03FC2350">
      <w:numFmt w:val="bullet"/>
      <w:lvlText w:val="-"/>
      <w:lvlJc w:val="left"/>
      <w:pPr>
        <w:ind w:left="720" w:hanging="360"/>
      </w:pPr>
      <w:rPr>
        <w:rFonts w:ascii="Calibri" w:eastAsia="Calibri"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5E982721"/>
    <w:multiLevelType w:val="hybridMultilevel"/>
    <w:tmpl w:val="87B808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5F626E48"/>
    <w:multiLevelType w:val="multilevel"/>
    <w:tmpl w:val="340E66C8"/>
    <w:lvl w:ilvl="0">
      <w:start w:val="1"/>
      <w:numFmt w:val="decimal"/>
      <w:pStyle w:val="AATableHeadings"/>
      <w:lvlText w:val="%1."/>
      <w:lvlJc w:val="left"/>
      <w:pPr>
        <w:tabs>
          <w:tab w:val="num" w:pos="720"/>
        </w:tabs>
        <w:ind w:left="720" w:hanging="720"/>
      </w:pPr>
    </w:lvl>
    <w:lvl w:ilvl="1">
      <w:start w:val="1"/>
      <w:numFmt w:val="decimal"/>
      <w:pStyle w:val="AAAutho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nsid w:val="657450FB"/>
    <w:multiLevelType w:val="multilevel"/>
    <w:tmpl w:val="653C1F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5A35BDF"/>
    <w:multiLevelType w:val="multilevel"/>
    <w:tmpl w:val="29261092"/>
    <w:lvl w:ilvl="0">
      <w:start w:val="1"/>
      <w:numFmt w:val="decimal"/>
      <w:pStyle w:val="Heading1"/>
      <w:lvlText w:val="%1."/>
      <w:lvlJc w:val="left"/>
      <w:pPr>
        <w:ind w:left="360" w:hanging="360"/>
      </w:pPr>
      <w:rPr>
        <w:rFonts w:cs="Times New Roman"/>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FAREH2Nbr"/>
      <w:suff w:val="space"/>
      <w:lvlText w:val="%1.%2"/>
      <w:lvlJc w:val="left"/>
      <w:pPr>
        <w:ind w:left="993" w:hanging="567"/>
      </w:pPr>
      <w:rPr>
        <w:rFonts w:cs="Times New Roman"/>
        <w:b/>
        <w:bCs w:val="0"/>
        <w:i w:val="0"/>
        <w:iCs w:val="0"/>
        <w:caps w:val="0"/>
        <w:smallCaps w:val="0"/>
        <w:strike w:val="0"/>
        <w:dstrike w:val="0"/>
        <w:noProof w:val="0"/>
        <w:vanish w:val="0"/>
        <w:spacing w:val="0"/>
        <w:kern w:val="0"/>
        <w:position w:val="0"/>
        <w:u w:val="none"/>
        <w:vertAlign w:val="baseline"/>
        <w:em w:val="none"/>
      </w:rPr>
    </w:lvl>
    <w:lvl w:ilvl="2">
      <w:start w:val="1"/>
      <w:numFmt w:val="decimal"/>
      <w:pStyle w:val="FAREH3"/>
      <w:suff w:val="space"/>
      <w:lvlText w:val="%1.%2.%3"/>
      <w:lvlJc w:val="left"/>
      <w:pPr>
        <w:ind w:left="567" w:hanging="567"/>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6F06435"/>
    <w:multiLevelType w:val="hybridMultilevel"/>
    <w:tmpl w:val="53C043AA"/>
    <w:lvl w:ilvl="0" w:tplc="61CC5426">
      <w:start w:val="4"/>
      <w:numFmt w:val="bullet"/>
      <w:lvlText w:val="-"/>
      <w:lvlJc w:val="left"/>
      <w:pPr>
        <w:ind w:left="1800" w:hanging="360"/>
      </w:pPr>
      <w:rPr>
        <w:rFonts w:ascii="Calibri" w:eastAsia="Calibri" w:hAnsi="Calibri" w:cs="Calibri"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1">
    <w:nsid w:val="711157E1"/>
    <w:multiLevelType w:val="hybridMultilevel"/>
    <w:tmpl w:val="912CD916"/>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2">
    <w:nsid w:val="73386989"/>
    <w:multiLevelType w:val="hybridMultilevel"/>
    <w:tmpl w:val="08BA0FDA"/>
    <w:lvl w:ilvl="0" w:tplc="0C09000F">
      <w:start w:val="1"/>
      <w:numFmt w:val="bullet"/>
      <w:pStyle w:val="FAREdotpoint"/>
      <w:lvlText w:val=""/>
      <w:lvlJc w:val="left"/>
      <w:pPr>
        <w:ind w:left="360" w:hanging="360"/>
      </w:pPr>
      <w:rPr>
        <w:rFonts w:ascii="Symbol" w:hAnsi="Symbol" w:hint="default"/>
      </w:rPr>
    </w:lvl>
    <w:lvl w:ilvl="1" w:tplc="0C090019" w:tentative="1">
      <w:start w:val="1"/>
      <w:numFmt w:val="bullet"/>
      <w:lvlText w:val="o"/>
      <w:lvlJc w:val="left"/>
      <w:pPr>
        <w:ind w:left="1080" w:hanging="360"/>
      </w:pPr>
      <w:rPr>
        <w:rFonts w:ascii="Courier New" w:hAnsi="Courier New" w:cs="Courier New" w:hint="default"/>
      </w:rPr>
    </w:lvl>
    <w:lvl w:ilvl="2" w:tplc="0C09001B" w:tentative="1">
      <w:start w:val="1"/>
      <w:numFmt w:val="bullet"/>
      <w:lvlText w:val=""/>
      <w:lvlJc w:val="left"/>
      <w:pPr>
        <w:ind w:left="1800" w:hanging="360"/>
      </w:pPr>
      <w:rPr>
        <w:rFonts w:ascii="Wingdings" w:hAnsi="Wingdings" w:hint="default"/>
      </w:rPr>
    </w:lvl>
    <w:lvl w:ilvl="3" w:tplc="0C09000F" w:tentative="1">
      <w:start w:val="1"/>
      <w:numFmt w:val="bullet"/>
      <w:lvlText w:val=""/>
      <w:lvlJc w:val="left"/>
      <w:pPr>
        <w:ind w:left="2520" w:hanging="360"/>
      </w:pPr>
      <w:rPr>
        <w:rFonts w:ascii="Symbol" w:hAnsi="Symbol" w:hint="default"/>
      </w:rPr>
    </w:lvl>
    <w:lvl w:ilvl="4" w:tplc="0C090019" w:tentative="1">
      <w:start w:val="1"/>
      <w:numFmt w:val="bullet"/>
      <w:lvlText w:val="o"/>
      <w:lvlJc w:val="left"/>
      <w:pPr>
        <w:ind w:left="3240" w:hanging="360"/>
      </w:pPr>
      <w:rPr>
        <w:rFonts w:ascii="Courier New" w:hAnsi="Courier New" w:cs="Courier New" w:hint="default"/>
      </w:rPr>
    </w:lvl>
    <w:lvl w:ilvl="5" w:tplc="0C09001B" w:tentative="1">
      <w:start w:val="1"/>
      <w:numFmt w:val="bullet"/>
      <w:lvlText w:val=""/>
      <w:lvlJc w:val="left"/>
      <w:pPr>
        <w:ind w:left="3960" w:hanging="360"/>
      </w:pPr>
      <w:rPr>
        <w:rFonts w:ascii="Wingdings" w:hAnsi="Wingdings" w:hint="default"/>
      </w:rPr>
    </w:lvl>
    <w:lvl w:ilvl="6" w:tplc="0C09000F" w:tentative="1">
      <w:start w:val="1"/>
      <w:numFmt w:val="bullet"/>
      <w:lvlText w:val=""/>
      <w:lvlJc w:val="left"/>
      <w:pPr>
        <w:ind w:left="4680" w:hanging="360"/>
      </w:pPr>
      <w:rPr>
        <w:rFonts w:ascii="Symbol" w:hAnsi="Symbol" w:hint="default"/>
      </w:rPr>
    </w:lvl>
    <w:lvl w:ilvl="7" w:tplc="0C090019" w:tentative="1">
      <w:start w:val="1"/>
      <w:numFmt w:val="bullet"/>
      <w:lvlText w:val="o"/>
      <w:lvlJc w:val="left"/>
      <w:pPr>
        <w:ind w:left="5400" w:hanging="360"/>
      </w:pPr>
      <w:rPr>
        <w:rFonts w:ascii="Courier New" w:hAnsi="Courier New" w:cs="Courier New" w:hint="default"/>
      </w:rPr>
    </w:lvl>
    <w:lvl w:ilvl="8" w:tplc="0C09001B" w:tentative="1">
      <w:start w:val="1"/>
      <w:numFmt w:val="bullet"/>
      <w:lvlText w:val=""/>
      <w:lvlJc w:val="left"/>
      <w:pPr>
        <w:ind w:left="6120" w:hanging="360"/>
      </w:pPr>
      <w:rPr>
        <w:rFonts w:ascii="Wingdings" w:hAnsi="Wingdings" w:hint="default"/>
      </w:rPr>
    </w:lvl>
  </w:abstractNum>
  <w:abstractNum w:abstractNumId="43">
    <w:nsid w:val="7A433698"/>
    <w:multiLevelType w:val="hybridMultilevel"/>
    <w:tmpl w:val="2C7035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3C3C0F"/>
    <w:multiLevelType w:val="hybridMultilevel"/>
    <w:tmpl w:val="0540B9E6"/>
    <w:lvl w:ilvl="0" w:tplc="DFA2F622">
      <w:start w:val="7"/>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2"/>
  </w:num>
  <w:num w:numId="4">
    <w:abstractNumId w:val="17"/>
  </w:num>
  <w:num w:numId="5">
    <w:abstractNumId w:val="16"/>
    <w:lvlOverride w:ilvl="0">
      <w:startOverride w:val="1"/>
    </w:lvlOverride>
  </w:num>
  <w:num w:numId="6">
    <w:abstractNumId w:val="20"/>
  </w:num>
  <w:num w:numId="7">
    <w:abstractNumId w:val="31"/>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pStyle w:val="HTOH3withnumber"/>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abstractNumId w:val="7"/>
  </w:num>
  <w:num w:numId="9">
    <w:abstractNumId w:val="39"/>
  </w:num>
  <w:num w:numId="10">
    <w:abstractNumId w:val="42"/>
  </w:num>
  <w:num w:numId="11">
    <w:abstractNumId w:val="28"/>
  </w:num>
  <w:num w:numId="12">
    <w:abstractNumId w:val="32"/>
  </w:num>
  <w:num w:numId="13">
    <w:abstractNumId w:val="30"/>
  </w:num>
  <w:num w:numId="14">
    <w:abstractNumId w:val="22"/>
  </w:num>
  <w:num w:numId="15">
    <w:abstractNumId w:val="34"/>
  </w:num>
  <w:num w:numId="16">
    <w:abstractNumId w:val="3"/>
  </w:num>
  <w:num w:numId="17">
    <w:abstractNumId w:val="25"/>
  </w:num>
  <w:num w:numId="18">
    <w:abstractNumId w:val="0"/>
  </w:num>
  <w:num w:numId="19">
    <w:abstractNumId w:val="29"/>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44"/>
  </w:num>
  <w:num w:numId="23">
    <w:abstractNumId w:val="4"/>
  </w:num>
  <w:num w:numId="24">
    <w:abstractNumId w:val="24"/>
  </w:num>
  <w:num w:numId="25">
    <w:abstractNumId w:val="18"/>
  </w:num>
  <w:num w:numId="26">
    <w:abstractNumId w:val="12"/>
  </w:num>
  <w:num w:numId="27">
    <w:abstractNumId w:val="1"/>
  </w:num>
  <w:num w:numId="28">
    <w:abstractNumId w:val="10"/>
  </w:num>
  <w:num w:numId="29">
    <w:abstractNumId w:val="40"/>
  </w:num>
  <w:num w:numId="30">
    <w:abstractNumId w:val="26"/>
  </w:num>
  <w:num w:numId="31">
    <w:abstractNumId w:val="35"/>
  </w:num>
  <w:num w:numId="32">
    <w:abstractNumId w:val="36"/>
  </w:num>
  <w:num w:numId="33">
    <w:abstractNumId w:val="8"/>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7"/>
  </w:num>
  <w:num w:numId="37">
    <w:abstractNumId w:val="19"/>
  </w:num>
  <w:num w:numId="38">
    <w:abstractNumId w:val="21"/>
  </w:num>
  <w:num w:numId="39">
    <w:abstractNumId w:val="15"/>
  </w:num>
  <w:num w:numId="40">
    <w:abstractNumId w:val="33"/>
  </w:num>
  <w:num w:numId="41">
    <w:abstractNumId w:val="38"/>
  </w:num>
  <w:num w:numId="42">
    <w:abstractNumId w:val="43"/>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 w:numId="47">
    <w:abstractNumId w:val="2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 Grey">
    <w15:presenceInfo w15:providerId="None" w15:userId="Alex G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56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1&lt;/ScanUnformatted&gt;&lt;ScanChanges&gt;1&lt;/ScanChanges&gt;&lt;/ENInstantFormat&gt;"/>
  </w:docVars>
  <w:rsids>
    <w:rsidRoot w:val="00901D28"/>
    <w:rsid w:val="0000052C"/>
    <w:rsid w:val="00001C98"/>
    <w:rsid w:val="000029B9"/>
    <w:rsid w:val="000048B7"/>
    <w:rsid w:val="00005668"/>
    <w:rsid w:val="0000588B"/>
    <w:rsid w:val="0000606F"/>
    <w:rsid w:val="00007E5B"/>
    <w:rsid w:val="00010EE5"/>
    <w:rsid w:val="00011791"/>
    <w:rsid w:val="000128BD"/>
    <w:rsid w:val="0001311E"/>
    <w:rsid w:val="000144E0"/>
    <w:rsid w:val="000154DB"/>
    <w:rsid w:val="0001725B"/>
    <w:rsid w:val="000172AB"/>
    <w:rsid w:val="00020E22"/>
    <w:rsid w:val="00023516"/>
    <w:rsid w:val="000238A3"/>
    <w:rsid w:val="0002467D"/>
    <w:rsid w:val="00026DA6"/>
    <w:rsid w:val="0002796B"/>
    <w:rsid w:val="00027FE8"/>
    <w:rsid w:val="000311C5"/>
    <w:rsid w:val="0003130C"/>
    <w:rsid w:val="000339FC"/>
    <w:rsid w:val="00033AEC"/>
    <w:rsid w:val="00034F7A"/>
    <w:rsid w:val="00035DE1"/>
    <w:rsid w:val="00035F10"/>
    <w:rsid w:val="00041515"/>
    <w:rsid w:val="00042A7B"/>
    <w:rsid w:val="00042B28"/>
    <w:rsid w:val="00043611"/>
    <w:rsid w:val="00045020"/>
    <w:rsid w:val="00045FA3"/>
    <w:rsid w:val="00046CCA"/>
    <w:rsid w:val="00047F88"/>
    <w:rsid w:val="00050084"/>
    <w:rsid w:val="0005115F"/>
    <w:rsid w:val="000523CD"/>
    <w:rsid w:val="000524F1"/>
    <w:rsid w:val="00052650"/>
    <w:rsid w:val="000536AA"/>
    <w:rsid w:val="00053DA9"/>
    <w:rsid w:val="00053DF3"/>
    <w:rsid w:val="00054073"/>
    <w:rsid w:val="00055E9F"/>
    <w:rsid w:val="000608DA"/>
    <w:rsid w:val="00061D7B"/>
    <w:rsid w:val="00062E4B"/>
    <w:rsid w:val="000674F5"/>
    <w:rsid w:val="000674F8"/>
    <w:rsid w:val="00071415"/>
    <w:rsid w:val="00071C1C"/>
    <w:rsid w:val="00072449"/>
    <w:rsid w:val="0007260F"/>
    <w:rsid w:val="00073EFD"/>
    <w:rsid w:val="00075673"/>
    <w:rsid w:val="00077BF1"/>
    <w:rsid w:val="00080F80"/>
    <w:rsid w:val="00082A83"/>
    <w:rsid w:val="000836FB"/>
    <w:rsid w:val="0008370F"/>
    <w:rsid w:val="000849D7"/>
    <w:rsid w:val="00084E6F"/>
    <w:rsid w:val="00085AB3"/>
    <w:rsid w:val="00087D81"/>
    <w:rsid w:val="0009059B"/>
    <w:rsid w:val="000913E3"/>
    <w:rsid w:val="00092DFE"/>
    <w:rsid w:val="00093465"/>
    <w:rsid w:val="000934A0"/>
    <w:rsid w:val="00093AA7"/>
    <w:rsid w:val="000958E9"/>
    <w:rsid w:val="00097BB2"/>
    <w:rsid w:val="000A0A56"/>
    <w:rsid w:val="000A0C46"/>
    <w:rsid w:val="000A2037"/>
    <w:rsid w:val="000A2E35"/>
    <w:rsid w:val="000A33D0"/>
    <w:rsid w:val="000A3C41"/>
    <w:rsid w:val="000A43C1"/>
    <w:rsid w:val="000A596B"/>
    <w:rsid w:val="000A6BC2"/>
    <w:rsid w:val="000B066C"/>
    <w:rsid w:val="000B12F7"/>
    <w:rsid w:val="000B1648"/>
    <w:rsid w:val="000B2CA7"/>
    <w:rsid w:val="000B3292"/>
    <w:rsid w:val="000B3F15"/>
    <w:rsid w:val="000B5AA7"/>
    <w:rsid w:val="000C049B"/>
    <w:rsid w:val="000C0F41"/>
    <w:rsid w:val="000C219E"/>
    <w:rsid w:val="000C2EEE"/>
    <w:rsid w:val="000C365B"/>
    <w:rsid w:val="000C463F"/>
    <w:rsid w:val="000C6CF3"/>
    <w:rsid w:val="000D23B7"/>
    <w:rsid w:val="000D39AF"/>
    <w:rsid w:val="000D449F"/>
    <w:rsid w:val="000D548E"/>
    <w:rsid w:val="000D6334"/>
    <w:rsid w:val="000D65A0"/>
    <w:rsid w:val="000E1B8B"/>
    <w:rsid w:val="000E2FF2"/>
    <w:rsid w:val="000E5D11"/>
    <w:rsid w:val="000E64ED"/>
    <w:rsid w:val="000F03B0"/>
    <w:rsid w:val="000F12FB"/>
    <w:rsid w:val="000F3520"/>
    <w:rsid w:val="000F4F92"/>
    <w:rsid w:val="000F5501"/>
    <w:rsid w:val="000F56EE"/>
    <w:rsid w:val="000F5930"/>
    <w:rsid w:val="000F5E8E"/>
    <w:rsid w:val="000F60EE"/>
    <w:rsid w:val="000F67E6"/>
    <w:rsid w:val="000F7613"/>
    <w:rsid w:val="0010098C"/>
    <w:rsid w:val="00101CC3"/>
    <w:rsid w:val="00102B9F"/>
    <w:rsid w:val="001037D8"/>
    <w:rsid w:val="001038B1"/>
    <w:rsid w:val="00103C93"/>
    <w:rsid w:val="0010450B"/>
    <w:rsid w:val="00104B19"/>
    <w:rsid w:val="0010545A"/>
    <w:rsid w:val="00105588"/>
    <w:rsid w:val="001066A5"/>
    <w:rsid w:val="001070AE"/>
    <w:rsid w:val="001075E9"/>
    <w:rsid w:val="00110066"/>
    <w:rsid w:val="001119C4"/>
    <w:rsid w:val="00111B8B"/>
    <w:rsid w:val="00114AEC"/>
    <w:rsid w:val="00116D50"/>
    <w:rsid w:val="0012123D"/>
    <w:rsid w:val="00121FFD"/>
    <w:rsid w:val="00124591"/>
    <w:rsid w:val="00125088"/>
    <w:rsid w:val="0012560F"/>
    <w:rsid w:val="00125ACF"/>
    <w:rsid w:val="0012602B"/>
    <w:rsid w:val="00127716"/>
    <w:rsid w:val="001302FA"/>
    <w:rsid w:val="00130A85"/>
    <w:rsid w:val="00130D5B"/>
    <w:rsid w:val="00130F13"/>
    <w:rsid w:val="00131B98"/>
    <w:rsid w:val="00132790"/>
    <w:rsid w:val="001344DB"/>
    <w:rsid w:val="001350AE"/>
    <w:rsid w:val="001352A4"/>
    <w:rsid w:val="00135569"/>
    <w:rsid w:val="00135D59"/>
    <w:rsid w:val="0013612E"/>
    <w:rsid w:val="001378E3"/>
    <w:rsid w:val="00141380"/>
    <w:rsid w:val="001432CF"/>
    <w:rsid w:val="00143486"/>
    <w:rsid w:val="00143847"/>
    <w:rsid w:val="00143D5F"/>
    <w:rsid w:val="00145301"/>
    <w:rsid w:val="00146551"/>
    <w:rsid w:val="00150608"/>
    <w:rsid w:val="00151364"/>
    <w:rsid w:val="00151CB5"/>
    <w:rsid w:val="001524FA"/>
    <w:rsid w:val="00152573"/>
    <w:rsid w:val="00152B2E"/>
    <w:rsid w:val="001572F8"/>
    <w:rsid w:val="00163009"/>
    <w:rsid w:val="00163632"/>
    <w:rsid w:val="00163BDB"/>
    <w:rsid w:val="00163EB6"/>
    <w:rsid w:val="001644A5"/>
    <w:rsid w:val="00166B26"/>
    <w:rsid w:val="001675C1"/>
    <w:rsid w:val="001715C3"/>
    <w:rsid w:val="001717F9"/>
    <w:rsid w:val="00172631"/>
    <w:rsid w:val="00173B16"/>
    <w:rsid w:val="001746AC"/>
    <w:rsid w:val="001758DB"/>
    <w:rsid w:val="0017612B"/>
    <w:rsid w:val="001769E9"/>
    <w:rsid w:val="00176CAE"/>
    <w:rsid w:val="0017759C"/>
    <w:rsid w:val="00181C36"/>
    <w:rsid w:val="00183A6D"/>
    <w:rsid w:val="00183A91"/>
    <w:rsid w:val="00183D73"/>
    <w:rsid w:val="00183E64"/>
    <w:rsid w:val="001845E1"/>
    <w:rsid w:val="00184C6B"/>
    <w:rsid w:val="00186522"/>
    <w:rsid w:val="0018682E"/>
    <w:rsid w:val="00186B82"/>
    <w:rsid w:val="00186FC8"/>
    <w:rsid w:val="00190EFE"/>
    <w:rsid w:val="00191FFB"/>
    <w:rsid w:val="001925E7"/>
    <w:rsid w:val="001934F3"/>
    <w:rsid w:val="00193ECB"/>
    <w:rsid w:val="00194304"/>
    <w:rsid w:val="00194BD9"/>
    <w:rsid w:val="00194F4E"/>
    <w:rsid w:val="00196323"/>
    <w:rsid w:val="00196F0F"/>
    <w:rsid w:val="0019731E"/>
    <w:rsid w:val="001A09AE"/>
    <w:rsid w:val="001A0F1E"/>
    <w:rsid w:val="001A14D1"/>
    <w:rsid w:val="001A1C23"/>
    <w:rsid w:val="001A2A6B"/>
    <w:rsid w:val="001A3FE2"/>
    <w:rsid w:val="001A4191"/>
    <w:rsid w:val="001A4407"/>
    <w:rsid w:val="001A5EE8"/>
    <w:rsid w:val="001B00AD"/>
    <w:rsid w:val="001B0327"/>
    <w:rsid w:val="001B2DDA"/>
    <w:rsid w:val="001B32BF"/>
    <w:rsid w:val="001B3557"/>
    <w:rsid w:val="001B55F1"/>
    <w:rsid w:val="001B69D3"/>
    <w:rsid w:val="001B7FE5"/>
    <w:rsid w:val="001C18E1"/>
    <w:rsid w:val="001C20EC"/>
    <w:rsid w:val="001C3191"/>
    <w:rsid w:val="001C5272"/>
    <w:rsid w:val="001C56B4"/>
    <w:rsid w:val="001C692B"/>
    <w:rsid w:val="001D0DBB"/>
    <w:rsid w:val="001D14D8"/>
    <w:rsid w:val="001D199B"/>
    <w:rsid w:val="001D611E"/>
    <w:rsid w:val="001D7D9B"/>
    <w:rsid w:val="001D7EE1"/>
    <w:rsid w:val="001E002C"/>
    <w:rsid w:val="001E0F3F"/>
    <w:rsid w:val="001E1748"/>
    <w:rsid w:val="001E1EB7"/>
    <w:rsid w:val="001E2C84"/>
    <w:rsid w:val="001E79F7"/>
    <w:rsid w:val="001F0928"/>
    <w:rsid w:val="001F182C"/>
    <w:rsid w:val="001F2298"/>
    <w:rsid w:val="001F26CB"/>
    <w:rsid w:val="001F3A1A"/>
    <w:rsid w:val="001F3B57"/>
    <w:rsid w:val="001F4767"/>
    <w:rsid w:val="001F585F"/>
    <w:rsid w:val="001F70EA"/>
    <w:rsid w:val="001F78B8"/>
    <w:rsid w:val="002024D0"/>
    <w:rsid w:val="00202EDE"/>
    <w:rsid w:val="00203268"/>
    <w:rsid w:val="00203800"/>
    <w:rsid w:val="00203EA3"/>
    <w:rsid w:val="00204D5F"/>
    <w:rsid w:val="002066D2"/>
    <w:rsid w:val="00206A2C"/>
    <w:rsid w:val="00207211"/>
    <w:rsid w:val="00207C96"/>
    <w:rsid w:val="00211764"/>
    <w:rsid w:val="002143E0"/>
    <w:rsid w:val="00215700"/>
    <w:rsid w:val="00216374"/>
    <w:rsid w:val="002177E5"/>
    <w:rsid w:val="00220B36"/>
    <w:rsid w:val="00221374"/>
    <w:rsid w:val="002215A5"/>
    <w:rsid w:val="00222B97"/>
    <w:rsid w:val="002232DC"/>
    <w:rsid w:val="0022341D"/>
    <w:rsid w:val="00223A0D"/>
    <w:rsid w:val="00224CA6"/>
    <w:rsid w:val="00225DB6"/>
    <w:rsid w:val="00225DFE"/>
    <w:rsid w:val="002260AF"/>
    <w:rsid w:val="00233079"/>
    <w:rsid w:val="0023449D"/>
    <w:rsid w:val="00234B01"/>
    <w:rsid w:val="0023508E"/>
    <w:rsid w:val="002358B5"/>
    <w:rsid w:val="00235CBD"/>
    <w:rsid w:val="0023610B"/>
    <w:rsid w:val="00240E2C"/>
    <w:rsid w:val="00241E30"/>
    <w:rsid w:val="002426C2"/>
    <w:rsid w:val="002431E7"/>
    <w:rsid w:val="0024358E"/>
    <w:rsid w:val="002435BD"/>
    <w:rsid w:val="00243A06"/>
    <w:rsid w:val="00244491"/>
    <w:rsid w:val="002461E6"/>
    <w:rsid w:val="002461FE"/>
    <w:rsid w:val="00246A73"/>
    <w:rsid w:val="00247AC7"/>
    <w:rsid w:val="002506E4"/>
    <w:rsid w:val="00250ADE"/>
    <w:rsid w:val="00251604"/>
    <w:rsid w:val="00254ADB"/>
    <w:rsid w:val="00260F44"/>
    <w:rsid w:val="0026107A"/>
    <w:rsid w:val="00263BB3"/>
    <w:rsid w:val="002646C4"/>
    <w:rsid w:val="00265102"/>
    <w:rsid w:val="002651CB"/>
    <w:rsid w:val="00265514"/>
    <w:rsid w:val="0026754A"/>
    <w:rsid w:val="002719CE"/>
    <w:rsid w:val="0027206A"/>
    <w:rsid w:val="00272BC3"/>
    <w:rsid w:val="00272F1E"/>
    <w:rsid w:val="00273D28"/>
    <w:rsid w:val="0027445D"/>
    <w:rsid w:val="00275241"/>
    <w:rsid w:val="00276CB9"/>
    <w:rsid w:val="0027718C"/>
    <w:rsid w:val="002811B7"/>
    <w:rsid w:val="00281822"/>
    <w:rsid w:val="00281C2B"/>
    <w:rsid w:val="00281E3D"/>
    <w:rsid w:val="00285510"/>
    <w:rsid w:val="002856CC"/>
    <w:rsid w:val="00286749"/>
    <w:rsid w:val="002877DE"/>
    <w:rsid w:val="002914B8"/>
    <w:rsid w:val="00291B21"/>
    <w:rsid w:val="00292952"/>
    <w:rsid w:val="00293C18"/>
    <w:rsid w:val="002A0656"/>
    <w:rsid w:val="002A0669"/>
    <w:rsid w:val="002A0755"/>
    <w:rsid w:val="002A0E00"/>
    <w:rsid w:val="002A170D"/>
    <w:rsid w:val="002A187B"/>
    <w:rsid w:val="002A1E4F"/>
    <w:rsid w:val="002A4CE3"/>
    <w:rsid w:val="002A7C0B"/>
    <w:rsid w:val="002A7D29"/>
    <w:rsid w:val="002B00C3"/>
    <w:rsid w:val="002B043C"/>
    <w:rsid w:val="002B3DEF"/>
    <w:rsid w:val="002B5E76"/>
    <w:rsid w:val="002B673A"/>
    <w:rsid w:val="002B7EB3"/>
    <w:rsid w:val="002C043A"/>
    <w:rsid w:val="002C09A4"/>
    <w:rsid w:val="002C10F4"/>
    <w:rsid w:val="002C1604"/>
    <w:rsid w:val="002C4F4A"/>
    <w:rsid w:val="002C6705"/>
    <w:rsid w:val="002C7190"/>
    <w:rsid w:val="002D0669"/>
    <w:rsid w:val="002D0D87"/>
    <w:rsid w:val="002D1BDB"/>
    <w:rsid w:val="002D2B1D"/>
    <w:rsid w:val="002D3053"/>
    <w:rsid w:val="002D34D7"/>
    <w:rsid w:val="002D402C"/>
    <w:rsid w:val="002D436B"/>
    <w:rsid w:val="002D4FA8"/>
    <w:rsid w:val="002D588D"/>
    <w:rsid w:val="002D60E8"/>
    <w:rsid w:val="002D7A79"/>
    <w:rsid w:val="002D7EA4"/>
    <w:rsid w:val="002E070C"/>
    <w:rsid w:val="002E07AF"/>
    <w:rsid w:val="002E0BB1"/>
    <w:rsid w:val="002E0E4B"/>
    <w:rsid w:val="002E164C"/>
    <w:rsid w:val="002E223C"/>
    <w:rsid w:val="002E54D0"/>
    <w:rsid w:val="002E78B3"/>
    <w:rsid w:val="002F096F"/>
    <w:rsid w:val="002F27C1"/>
    <w:rsid w:val="002F2CA8"/>
    <w:rsid w:val="002F3076"/>
    <w:rsid w:val="002F56C5"/>
    <w:rsid w:val="002F63D3"/>
    <w:rsid w:val="002F6DD3"/>
    <w:rsid w:val="002F7C61"/>
    <w:rsid w:val="003011EE"/>
    <w:rsid w:val="003015AC"/>
    <w:rsid w:val="0030175B"/>
    <w:rsid w:val="00301C94"/>
    <w:rsid w:val="0030497C"/>
    <w:rsid w:val="00304FB1"/>
    <w:rsid w:val="00306214"/>
    <w:rsid w:val="003141B9"/>
    <w:rsid w:val="003147FC"/>
    <w:rsid w:val="0031485C"/>
    <w:rsid w:val="003152F6"/>
    <w:rsid w:val="003156F0"/>
    <w:rsid w:val="00317A14"/>
    <w:rsid w:val="00317CA2"/>
    <w:rsid w:val="00322954"/>
    <w:rsid w:val="00322E50"/>
    <w:rsid w:val="00324854"/>
    <w:rsid w:val="0032497F"/>
    <w:rsid w:val="00325199"/>
    <w:rsid w:val="003258AA"/>
    <w:rsid w:val="003274EA"/>
    <w:rsid w:val="00327BB0"/>
    <w:rsid w:val="00327E19"/>
    <w:rsid w:val="00330815"/>
    <w:rsid w:val="00334983"/>
    <w:rsid w:val="0033632A"/>
    <w:rsid w:val="00336CF1"/>
    <w:rsid w:val="00336F46"/>
    <w:rsid w:val="00340919"/>
    <w:rsid w:val="00342103"/>
    <w:rsid w:val="00342248"/>
    <w:rsid w:val="0034476C"/>
    <w:rsid w:val="003450A5"/>
    <w:rsid w:val="0034684A"/>
    <w:rsid w:val="003478D1"/>
    <w:rsid w:val="003500D9"/>
    <w:rsid w:val="003512E7"/>
    <w:rsid w:val="0035213E"/>
    <w:rsid w:val="00353DB8"/>
    <w:rsid w:val="00354832"/>
    <w:rsid w:val="00355E59"/>
    <w:rsid w:val="00357531"/>
    <w:rsid w:val="00357958"/>
    <w:rsid w:val="00357C9D"/>
    <w:rsid w:val="0036116A"/>
    <w:rsid w:val="00361483"/>
    <w:rsid w:val="00362A00"/>
    <w:rsid w:val="00363C53"/>
    <w:rsid w:val="00364271"/>
    <w:rsid w:val="003654AD"/>
    <w:rsid w:val="003663D6"/>
    <w:rsid w:val="00370978"/>
    <w:rsid w:val="003717D2"/>
    <w:rsid w:val="003721FC"/>
    <w:rsid w:val="00372F37"/>
    <w:rsid w:val="00373971"/>
    <w:rsid w:val="00374FBD"/>
    <w:rsid w:val="00376554"/>
    <w:rsid w:val="00381191"/>
    <w:rsid w:val="00382D22"/>
    <w:rsid w:val="00383718"/>
    <w:rsid w:val="003869C6"/>
    <w:rsid w:val="00390528"/>
    <w:rsid w:val="00391547"/>
    <w:rsid w:val="003918CA"/>
    <w:rsid w:val="0039205D"/>
    <w:rsid w:val="00393EE8"/>
    <w:rsid w:val="003948F1"/>
    <w:rsid w:val="003A033E"/>
    <w:rsid w:val="003A0345"/>
    <w:rsid w:val="003A248C"/>
    <w:rsid w:val="003A28D3"/>
    <w:rsid w:val="003A34A7"/>
    <w:rsid w:val="003A57F4"/>
    <w:rsid w:val="003A705B"/>
    <w:rsid w:val="003B5EDA"/>
    <w:rsid w:val="003B792D"/>
    <w:rsid w:val="003C0380"/>
    <w:rsid w:val="003C0760"/>
    <w:rsid w:val="003C0868"/>
    <w:rsid w:val="003C21FE"/>
    <w:rsid w:val="003C2544"/>
    <w:rsid w:val="003C2A4D"/>
    <w:rsid w:val="003C2BD9"/>
    <w:rsid w:val="003C2DC4"/>
    <w:rsid w:val="003C39F1"/>
    <w:rsid w:val="003C46C9"/>
    <w:rsid w:val="003C4A5A"/>
    <w:rsid w:val="003C52C7"/>
    <w:rsid w:val="003C5E06"/>
    <w:rsid w:val="003C6166"/>
    <w:rsid w:val="003C7B56"/>
    <w:rsid w:val="003D0862"/>
    <w:rsid w:val="003D430B"/>
    <w:rsid w:val="003D6910"/>
    <w:rsid w:val="003D7769"/>
    <w:rsid w:val="003E1904"/>
    <w:rsid w:val="003E52DF"/>
    <w:rsid w:val="003E6188"/>
    <w:rsid w:val="003E6237"/>
    <w:rsid w:val="003E6E1F"/>
    <w:rsid w:val="003F09E6"/>
    <w:rsid w:val="003F1E69"/>
    <w:rsid w:val="003F3393"/>
    <w:rsid w:val="003F3E02"/>
    <w:rsid w:val="003F5BD4"/>
    <w:rsid w:val="003F612A"/>
    <w:rsid w:val="00400514"/>
    <w:rsid w:val="00403FF1"/>
    <w:rsid w:val="00404F13"/>
    <w:rsid w:val="004052C0"/>
    <w:rsid w:val="00406E27"/>
    <w:rsid w:val="00407C8B"/>
    <w:rsid w:val="0041034E"/>
    <w:rsid w:val="00410E52"/>
    <w:rsid w:val="00413BF2"/>
    <w:rsid w:val="00414421"/>
    <w:rsid w:val="00417248"/>
    <w:rsid w:val="00420EA0"/>
    <w:rsid w:val="004212FD"/>
    <w:rsid w:val="00422154"/>
    <w:rsid w:val="004225DD"/>
    <w:rsid w:val="0042427B"/>
    <w:rsid w:val="00425194"/>
    <w:rsid w:val="00425E20"/>
    <w:rsid w:val="0042666C"/>
    <w:rsid w:val="004279E6"/>
    <w:rsid w:val="00430F99"/>
    <w:rsid w:val="00431EC7"/>
    <w:rsid w:val="00433B1E"/>
    <w:rsid w:val="004343AC"/>
    <w:rsid w:val="00435C2B"/>
    <w:rsid w:val="00441CBB"/>
    <w:rsid w:val="00443399"/>
    <w:rsid w:val="0044359A"/>
    <w:rsid w:val="00443661"/>
    <w:rsid w:val="004453F1"/>
    <w:rsid w:val="00445FC3"/>
    <w:rsid w:val="004474F7"/>
    <w:rsid w:val="004508E7"/>
    <w:rsid w:val="00450A84"/>
    <w:rsid w:val="004513B9"/>
    <w:rsid w:val="004516BD"/>
    <w:rsid w:val="004533A7"/>
    <w:rsid w:val="00453599"/>
    <w:rsid w:val="00453C3F"/>
    <w:rsid w:val="00453CD0"/>
    <w:rsid w:val="00454634"/>
    <w:rsid w:val="00455459"/>
    <w:rsid w:val="00456C7E"/>
    <w:rsid w:val="00457CD3"/>
    <w:rsid w:val="00460387"/>
    <w:rsid w:val="00461563"/>
    <w:rsid w:val="004630D1"/>
    <w:rsid w:val="004662E0"/>
    <w:rsid w:val="004663DC"/>
    <w:rsid w:val="00466AF8"/>
    <w:rsid w:val="00471551"/>
    <w:rsid w:val="004717CF"/>
    <w:rsid w:val="004738B7"/>
    <w:rsid w:val="00474195"/>
    <w:rsid w:val="0047604B"/>
    <w:rsid w:val="00477B2F"/>
    <w:rsid w:val="0048043A"/>
    <w:rsid w:val="00480B77"/>
    <w:rsid w:val="00483248"/>
    <w:rsid w:val="00483B23"/>
    <w:rsid w:val="00484FC9"/>
    <w:rsid w:val="00485060"/>
    <w:rsid w:val="0049139B"/>
    <w:rsid w:val="00492AD6"/>
    <w:rsid w:val="00495B2E"/>
    <w:rsid w:val="00495DD0"/>
    <w:rsid w:val="00497BD4"/>
    <w:rsid w:val="00497DBF"/>
    <w:rsid w:val="004A0148"/>
    <w:rsid w:val="004A1D69"/>
    <w:rsid w:val="004A4027"/>
    <w:rsid w:val="004A58DA"/>
    <w:rsid w:val="004A643F"/>
    <w:rsid w:val="004A6E5C"/>
    <w:rsid w:val="004B0D23"/>
    <w:rsid w:val="004B16B2"/>
    <w:rsid w:val="004B1935"/>
    <w:rsid w:val="004B45A4"/>
    <w:rsid w:val="004B4AC9"/>
    <w:rsid w:val="004B5CD4"/>
    <w:rsid w:val="004B667C"/>
    <w:rsid w:val="004B6B7E"/>
    <w:rsid w:val="004B6B9A"/>
    <w:rsid w:val="004B7394"/>
    <w:rsid w:val="004C07BA"/>
    <w:rsid w:val="004C08BB"/>
    <w:rsid w:val="004C163A"/>
    <w:rsid w:val="004C17BA"/>
    <w:rsid w:val="004C1BE9"/>
    <w:rsid w:val="004C2817"/>
    <w:rsid w:val="004C33F0"/>
    <w:rsid w:val="004C3682"/>
    <w:rsid w:val="004C4A7E"/>
    <w:rsid w:val="004D1045"/>
    <w:rsid w:val="004D2799"/>
    <w:rsid w:val="004D413A"/>
    <w:rsid w:val="004D4572"/>
    <w:rsid w:val="004D50CE"/>
    <w:rsid w:val="004D6D51"/>
    <w:rsid w:val="004E02E3"/>
    <w:rsid w:val="004E342C"/>
    <w:rsid w:val="004E450E"/>
    <w:rsid w:val="004E480B"/>
    <w:rsid w:val="004E4FA0"/>
    <w:rsid w:val="004E5373"/>
    <w:rsid w:val="004E559F"/>
    <w:rsid w:val="004F02B3"/>
    <w:rsid w:val="004F3B68"/>
    <w:rsid w:val="004F4BD6"/>
    <w:rsid w:val="004F5CA5"/>
    <w:rsid w:val="004F6578"/>
    <w:rsid w:val="004F6913"/>
    <w:rsid w:val="004F6D5F"/>
    <w:rsid w:val="00500A1C"/>
    <w:rsid w:val="00501DCB"/>
    <w:rsid w:val="005035F6"/>
    <w:rsid w:val="0050576E"/>
    <w:rsid w:val="00505A69"/>
    <w:rsid w:val="00505C4F"/>
    <w:rsid w:val="00505F6B"/>
    <w:rsid w:val="005066AD"/>
    <w:rsid w:val="00506A51"/>
    <w:rsid w:val="00506D04"/>
    <w:rsid w:val="00506DE9"/>
    <w:rsid w:val="005070F6"/>
    <w:rsid w:val="00507D67"/>
    <w:rsid w:val="005100EE"/>
    <w:rsid w:val="00510A06"/>
    <w:rsid w:val="00513D36"/>
    <w:rsid w:val="005140B6"/>
    <w:rsid w:val="00515DB3"/>
    <w:rsid w:val="00516DA3"/>
    <w:rsid w:val="005217F3"/>
    <w:rsid w:val="005218E7"/>
    <w:rsid w:val="00523AF8"/>
    <w:rsid w:val="00524AB2"/>
    <w:rsid w:val="00524C20"/>
    <w:rsid w:val="005254F0"/>
    <w:rsid w:val="00526DF5"/>
    <w:rsid w:val="0052746B"/>
    <w:rsid w:val="00531D47"/>
    <w:rsid w:val="00532778"/>
    <w:rsid w:val="00533B92"/>
    <w:rsid w:val="00534411"/>
    <w:rsid w:val="00534751"/>
    <w:rsid w:val="0053550E"/>
    <w:rsid w:val="00537095"/>
    <w:rsid w:val="00540F94"/>
    <w:rsid w:val="00541C92"/>
    <w:rsid w:val="00542036"/>
    <w:rsid w:val="00542401"/>
    <w:rsid w:val="00543725"/>
    <w:rsid w:val="005439BF"/>
    <w:rsid w:val="00544143"/>
    <w:rsid w:val="00544633"/>
    <w:rsid w:val="00544733"/>
    <w:rsid w:val="005447F7"/>
    <w:rsid w:val="005453A1"/>
    <w:rsid w:val="00545C63"/>
    <w:rsid w:val="00546BBB"/>
    <w:rsid w:val="00547272"/>
    <w:rsid w:val="00550678"/>
    <w:rsid w:val="00550992"/>
    <w:rsid w:val="00551D0F"/>
    <w:rsid w:val="00553530"/>
    <w:rsid w:val="0055356D"/>
    <w:rsid w:val="00553C43"/>
    <w:rsid w:val="00554F84"/>
    <w:rsid w:val="005559DB"/>
    <w:rsid w:val="00555A5E"/>
    <w:rsid w:val="0055726E"/>
    <w:rsid w:val="005576C2"/>
    <w:rsid w:val="00557A65"/>
    <w:rsid w:val="00560215"/>
    <w:rsid w:val="005608E0"/>
    <w:rsid w:val="00561263"/>
    <w:rsid w:val="00561930"/>
    <w:rsid w:val="00561C06"/>
    <w:rsid w:val="0056409F"/>
    <w:rsid w:val="005647E3"/>
    <w:rsid w:val="00565048"/>
    <w:rsid w:val="0056566F"/>
    <w:rsid w:val="00567776"/>
    <w:rsid w:val="005719A1"/>
    <w:rsid w:val="00571FC8"/>
    <w:rsid w:val="005722FC"/>
    <w:rsid w:val="005723E2"/>
    <w:rsid w:val="00573920"/>
    <w:rsid w:val="00573D34"/>
    <w:rsid w:val="00574C59"/>
    <w:rsid w:val="005757F4"/>
    <w:rsid w:val="005758BE"/>
    <w:rsid w:val="00576961"/>
    <w:rsid w:val="005777D6"/>
    <w:rsid w:val="00580CE7"/>
    <w:rsid w:val="0058271B"/>
    <w:rsid w:val="005837E3"/>
    <w:rsid w:val="00584ABC"/>
    <w:rsid w:val="00590A60"/>
    <w:rsid w:val="00590E62"/>
    <w:rsid w:val="005930C7"/>
    <w:rsid w:val="0059497B"/>
    <w:rsid w:val="005958CF"/>
    <w:rsid w:val="00595F14"/>
    <w:rsid w:val="005A05E1"/>
    <w:rsid w:val="005A0C62"/>
    <w:rsid w:val="005A1DC9"/>
    <w:rsid w:val="005A2C99"/>
    <w:rsid w:val="005A36A8"/>
    <w:rsid w:val="005A3C04"/>
    <w:rsid w:val="005A5028"/>
    <w:rsid w:val="005B07CB"/>
    <w:rsid w:val="005B2F9A"/>
    <w:rsid w:val="005B3259"/>
    <w:rsid w:val="005B40FD"/>
    <w:rsid w:val="005B4859"/>
    <w:rsid w:val="005B5CFE"/>
    <w:rsid w:val="005B77C0"/>
    <w:rsid w:val="005C0476"/>
    <w:rsid w:val="005C09CB"/>
    <w:rsid w:val="005C1D65"/>
    <w:rsid w:val="005C292C"/>
    <w:rsid w:val="005C31F3"/>
    <w:rsid w:val="005C3B83"/>
    <w:rsid w:val="005C5066"/>
    <w:rsid w:val="005C6ECB"/>
    <w:rsid w:val="005C7C60"/>
    <w:rsid w:val="005D05A6"/>
    <w:rsid w:val="005D114A"/>
    <w:rsid w:val="005D211F"/>
    <w:rsid w:val="005D419C"/>
    <w:rsid w:val="005D4BDC"/>
    <w:rsid w:val="005D4F10"/>
    <w:rsid w:val="005D5CA6"/>
    <w:rsid w:val="005D68A0"/>
    <w:rsid w:val="005D7B0D"/>
    <w:rsid w:val="005E1029"/>
    <w:rsid w:val="005E10CB"/>
    <w:rsid w:val="005E2AC5"/>
    <w:rsid w:val="005E2BE0"/>
    <w:rsid w:val="005E3170"/>
    <w:rsid w:val="005E3DE5"/>
    <w:rsid w:val="005E4BA1"/>
    <w:rsid w:val="005E57E8"/>
    <w:rsid w:val="005E589A"/>
    <w:rsid w:val="005E640F"/>
    <w:rsid w:val="005E662E"/>
    <w:rsid w:val="005E711C"/>
    <w:rsid w:val="005F0379"/>
    <w:rsid w:val="005F1ED4"/>
    <w:rsid w:val="005F2C86"/>
    <w:rsid w:val="005F3075"/>
    <w:rsid w:val="005F5581"/>
    <w:rsid w:val="005F6687"/>
    <w:rsid w:val="005F6E7E"/>
    <w:rsid w:val="005F7856"/>
    <w:rsid w:val="006013F9"/>
    <w:rsid w:val="00605A3A"/>
    <w:rsid w:val="00605F98"/>
    <w:rsid w:val="00606B4C"/>
    <w:rsid w:val="0060739A"/>
    <w:rsid w:val="00607AAF"/>
    <w:rsid w:val="00607AE1"/>
    <w:rsid w:val="006103F5"/>
    <w:rsid w:val="006126D9"/>
    <w:rsid w:val="00612768"/>
    <w:rsid w:val="006128EF"/>
    <w:rsid w:val="00614386"/>
    <w:rsid w:val="00615C30"/>
    <w:rsid w:val="006168D6"/>
    <w:rsid w:val="00621883"/>
    <w:rsid w:val="00621FE5"/>
    <w:rsid w:val="00623807"/>
    <w:rsid w:val="0062393D"/>
    <w:rsid w:val="006244F5"/>
    <w:rsid w:val="00624E1C"/>
    <w:rsid w:val="0062528D"/>
    <w:rsid w:val="006266DF"/>
    <w:rsid w:val="00626783"/>
    <w:rsid w:val="00627062"/>
    <w:rsid w:val="0062762F"/>
    <w:rsid w:val="00630FA9"/>
    <w:rsid w:val="00632561"/>
    <w:rsid w:val="00634017"/>
    <w:rsid w:val="00635397"/>
    <w:rsid w:val="00637C6E"/>
    <w:rsid w:val="00640149"/>
    <w:rsid w:val="00640277"/>
    <w:rsid w:val="00640E0E"/>
    <w:rsid w:val="00642490"/>
    <w:rsid w:val="00642ACB"/>
    <w:rsid w:val="00642D3E"/>
    <w:rsid w:val="006430F8"/>
    <w:rsid w:val="00643B0E"/>
    <w:rsid w:val="00646317"/>
    <w:rsid w:val="00651252"/>
    <w:rsid w:val="00652024"/>
    <w:rsid w:val="0065203E"/>
    <w:rsid w:val="00652A32"/>
    <w:rsid w:val="00653B20"/>
    <w:rsid w:val="0065428A"/>
    <w:rsid w:val="00657ACA"/>
    <w:rsid w:val="0066086E"/>
    <w:rsid w:val="00662D12"/>
    <w:rsid w:val="0066455D"/>
    <w:rsid w:val="00665668"/>
    <w:rsid w:val="006714E3"/>
    <w:rsid w:val="006720BC"/>
    <w:rsid w:val="00672757"/>
    <w:rsid w:val="00672F91"/>
    <w:rsid w:val="006747B5"/>
    <w:rsid w:val="00675A0A"/>
    <w:rsid w:val="00675C0F"/>
    <w:rsid w:val="00676D87"/>
    <w:rsid w:val="00676E44"/>
    <w:rsid w:val="00680E9A"/>
    <w:rsid w:val="0068230F"/>
    <w:rsid w:val="006836FC"/>
    <w:rsid w:val="006838AB"/>
    <w:rsid w:val="00683FC5"/>
    <w:rsid w:val="00685AFF"/>
    <w:rsid w:val="00690998"/>
    <w:rsid w:val="00693C1A"/>
    <w:rsid w:val="0069414C"/>
    <w:rsid w:val="00695555"/>
    <w:rsid w:val="00695B43"/>
    <w:rsid w:val="00695CAB"/>
    <w:rsid w:val="006A230D"/>
    <w:rsid w:val="006A2E1D"/>
    <w:rsid w:val="006A6987"/>
    <w:rsid w:val="006A69CB"/>
    <w:rsid w:val="006B0688"/>
    <w:rsid w:val="006B0919"/>
    <w:rsid w:val="006B2686"/>
    <w:rsid w:val="006B2DA2"/>
    <w:rsid w:val="006B3160"/>
    <w:rsid w:val="006B3743"/>
    <w:rsid w:val="006B4524"/>
    <w:rsid w:val="006B513F"/>
    <w:rsid w:val="006B7082"/>
    <w:rsid w:val="006B7EE6"/>
    <w:rsid w:val="006C1810"/>
    <w:rsid w:val="006C20AB"/>
    <w:rsid w:val="006C324D"/>
    <w:rsid w:val="006C4481"/>
    <w:rsid w:val="006C50D8"/>
    <w:rsid w:val="006C6043"/>
    <w:rsid w:val="006C6D1D"/>
    <w:rsid w:val="006D071B"/>
    <w:rsid w:val="006D0C2E"/>
    <w:rsid w:val="006D0E23"/>
    <w:rsid w:val="006D1FD5"/>
    <w:rsid w:val="006D29AE"/>
    <w:rsid w:val="006D3F1A"/>
    <w:rsid w:val="006D5897"/>
    <w:rsid w:val="006D5BBD"/>
    <w:rsid w:val="006D5CFB"/>
    <w:rsid w:val="006D68E6"/>
    <w:rsid w:val="006D6D43"/>
    <w:rsid w:val="006D7277"/>
    <w:rsid w:val="006D7D5F"/>
    <w:rsid w:val="006E0FEA"/>
    <w:rsid w:val="006E2012"/>
    <w:rsid w:val="006E22A3"/>
    <w:rsid w:val="006E38B3"/>
    <w:rsid w:val="006E3A16"/>
    <w:rsid w:val="006E5906"/>
    <w:rsid w:val="006E5D03"/>
    <w:rsid w:val="006E6797"/>
    <w:rsid w:val="006E6A3A"/>
    <w:rsid w:val="006E7AD6"/>
    <w:rsid w:val="006E7C94"/>
    <w:rsid w:val="006F054D"/>
    <w:rsid w:val="006F1E44"/>
    <w:rsid w:val="006F2062"/>
    <w:rsid w:val="006F2EF2"/>
    <w:rsid w:val="006F3330"/>
    <w:rsid w:val="006F5D48"/>
    <w:rsid w:val="006F61BA"/>
    <w:rsid w:val="006F70E3"/>
    <w:rsid w:val="006F77B8"/>
    <w:rsid w:val="007013A7"/>
    <w:rsid w:val="007013AE"/>
    <w:rsid w:val="007022B0"/>
    <w:rsid w:val="00703297"/>
    <w:rsid w:val="00704170"/>
    <w:rsid w:val="007046AE"/>
    <w:rsid w:val="007050C8"/>
    <w:rsid w:val="00707BB1"/>
    <w:rsid w:val="00715310"/>
    <w:rsid w:val="00715F2B"/>
    <w:rsid w:val="00721B17"/>
    <w:rsid w:val="00722EA9"/>
    <w:rsid w:val="00723CA9"/>
    <w:rsid w:val="00723D30"/>
    <w:rsid w:val="00724661"/>
    <w:rsid w:val="00724728"/>
    <w:rsid w:val="00725504"/>
    <w:rsid w:val="00725512"/>
    <w:rsid w:val="00726753"/>
    <w:rsid w:val="00727386"/>
    <w:rsid w:val="00727B57"/>
    <w:rsid w:val="00730521"/>
    <w:rsid w:val="00731926"/>
    <w:rsid w:val="0073207C"/>
    <w:rsid w:val="007322A4"/>
    <w:rsid w:val="00732848"/>
    <w:rsid w:val="00733BE1"/>
    <w:rsid w:val="0073426C"/>
    <w:rsid w:val="00734645"/>
    <w:rsid w:val="0073483E"/>
    <w:rsid w:val="007351DF"/>
    <w:rsid w:val="007353B4"/>
    <w:rsid w:val="00736B46"/>
    <w:rsid w:val="0073758B"/>
    <w:rsid w:val="00737DA7"/>
    <w:rsid w:val="00740B9D"/>
    <w:rsid w:val="00740DE1"/>
    <w:rsid w:val="00741055"/>
    <w:rsid w:val="00743054"/>
    <w:rsid w:val="007431B4"/>
    <w:rsid w:val="0075042E"/>
    <w:rsid w:val="00750850"/>
    <w:rsid w:val="00750AEC"/>
    <w:rsid w:val="0075238D"/>
    <w:rsid w:val="007528C5"/>
    <w:rsid w:val="00752BCC"/>
    <w:rsid w:val="00754047"/>
    <w:rsid w:val="00754ACF"/>
    <w:rsid w:val="00754BDC"/>
    <w:rsid w:val="00754CEE"/>
    <w:rsid w:val="0075743E"/>
    <w:rsid w:val="00760040"/>
    <w:rsid w:val="0076202F"/>
    <w:rsid w:val="00764210"/>
    <w:rsid w:val="00764C9E"/>
    <w:rsid w:val="0076617E"/>
    <w:rsid w:val="007666FA"/>
    <w:rsid w:val="00766D3F"/>
    <w:rsid w:val="007703E9"/>
    <w:rsid w:val="007713E9"/>
    <w:rsid w:val="00772169"/>
    <w:rsid w:val="007729AA"/>
    <w:rsid w:val="00773781"/>
    <w:rsid w:val="00774861"/>
    <w:rsid w:val="00776137"/>
    <w:rsid w:val="00777A81"/>
    <w:rsid w:val="00777F47"/>
    <w:rsid w:val="00780999"/>
    <w:rsid w:val="00781055"/>
    <w:rsid w:val="0078590B"/>
    <w:rsid w:val="0078600D"/>
    <w:rsid w:val="00786648"/>
    <w:rsid w:val="00790ACB"/>
    <w:rsid w:val="00791095"/>
    <w:rsid w:val="007918BF"/>
    <w:rsid w:val="007925F3"/>
    <w:rsid w:val="00794DDF"/>
    <w:rsid w:val="007967D4"/>
    <w:rsid w:val="007969C0"/>
    <w:rsid w:val="007A0415"/>
    <w:rsid w:val="007A0E47"/>
    <w:rsid w:val="007A1032"/>
    <w:rsid w:val="007A21C4"/>
    <w:rsid w:val="007A2B16"/>
    <w:rsid w:val="007A2DD1"/>
    <w:rsid w:val="007A3A31"/>
    <w:rsid w:val="007A4CA5"/>
    <w:rsid w:val="007A5058"/>
    <w:rsid w:val="007A52C6"/>
    <w:rsid w:val="007A69E1"/>
    <w:rsid w:val="007A6F7B"/>
    <w:rsid w:val="007A756F"/>
    <w:rsid w:val="007B1190"/>
    <w:rsid w:val="007B176C"/>
    <w:rsid w:val="007B22D2"/>
    <w:rsid w:val="007B2AEE"/>
    <w:rsid w:val="007B41BB"/>
    <w:rsid w:val="007B48FC"/>
    <w:rsid w:val="007B7602"/>
    <w:rsid w:val="007B7DC2"/>
    <w:rsid w:val="007C161F"/>
    <w:rsid w:val="007C1878"/>
    <w:rsid w:val="007C2F4C"/>
    <w:rsid w:val="007C3BD6"/>
    <w:rsid w:val="007C4B59"/>
    <w:rsid w:val="007C4DE4"/>
    <w:rsid w:val="007C5CD8"/>
    <w:rsid w:val="007C72BF"/>
    <w:rsid w:val="007C76F1"/>
    <w:rsid w:val="007C7811"/>
    <w:rsid w:val="007C7975"/>
    <w:rsid w:val="007C7FDB"/>
    <w:rsid w:val="007D344E"/>
    <w:rsid w:val="007D400F"/>
    <w:rsid w:val="007D5CD8"/>
    <w:rsid w:val="007D7091"/>
    <w:rsid w:val="007D7462"/>
    <w:rsid w:val="007D799F"/>
    <w:rsid w:val="007E2F4A"/>
    <w:rsid w:val="007E5920"/>
    <w:rsid w:val="007E6A16"/>
    <w:rsid w:val="007E7985"/>
    <w:rsid w:val="007F0225"/>
    <w:rsid w:val="007F0B30"/>
    <w:rsid w:val="007F10C6"/>
    <w:rsid w:val="007F2301"/>
    <w:rsid w:val="007F2711"/>
    <w:rsid w:val="007F29B1"/>
    <w:rsid w:val="007F2E2E"/>
    <w:rsid w:val="007F3439"/>
    <w:rsid w:val="007F4579"/>
    <w:rsid w:val="007F5389"/>
    <w:rsid w:val="007F54D5"/>
    <w:rsid w:val="007F568F"/>
    <w:rsid w:val="007F5BFA"/>
    <w:rsid w:val="007F6457"/>
    <w:rsid w:val="007F70EF"/>
    <w:rsid w:val="007F71E0"/>
    <w:rsid w:val="008011CC"/>
    <w:rsid w:val="00801471"/>
    <w:rsid w:val="00801814"/>
    <w:rsid w:val="00802065"/>
    <w:rsid w:val="0080207E"/>
    <w:rsid w:val="00804900"/>
    <w:rsid w:val="00804A98"/>
    <w:rsid w:val="00805034"/>
    <w:rsid w:val="008061B3"/>
    <w:rsid w:val="00806DDE"/>
    <w:rsid w:val="008078FC"/>
    <w:rsid w:val="008101A8"/>
    <w:rsid w:val="008106CC"/>
    <w:rsid w:val="0081231B"/>
    <w:rsid w:val="0081286C"/>
    <w:rsid w:val="00813CF0"/>
    <w:rsid w:val="0081439B"/>
    <w:rsid w:val="00816A7C"/>
    <w:rsid w:val="008214EB"/>
    <w:rsid w:val="00821CDC"/>
    <w:rsid w:val="0082209D"/>
    <w:rsid w:val="0082223B"/>
    <w:rsid w:val="00822E51"/>
    <w:rsid w:val="008246AE"/>
    <w:rsid w:val="008267E5"/>
    <w:rsid w:val="00826903"/>
    <w:rsid w:val="008269E1"/>
    <w:rsid w:val="008274DA"/>
    <w:rsid w:val="008306B8"/>
    <w:rsid w:val="008306D4"/>
    <w:rsid w:val="00832FA8"/>
    <w:rsid w:val="00833552"/>
    <w:rsid w:val="00834193"/>
    <w:rsid w:val="00834650"/>
    <w:rsid w:val="00836C52"/>
    <w:rsid w:val="0084031D"/>
    <w:rsid w:val="0084203E"/>
    <w:rsid w:val="0084445E"/>
    <w:rsid w:val="0084455C"/>
    <w:rsid w:val="008450ED"/>
    <w:rsid w:val="008456E2"/>
    <w:rsid w:val="008459ED"/>
    <w:rsid w:val="00845AC6"/>
    <w:rsid w:val="00845E12"/>
    <w:rsid w:val="008474EB"/>
    <w:rsid w:val="00850B9F"/>
    <w:rsid w:val="00850BEC"/>
    <w:rsid w:val="00851091"/>
    <w:rsid w:val="00851224"/>
    <w:rsid w:val="00851BB2"/>
    <w:rsid w:val="008526E1"/>
    <w:rsid w:val="0085425F"/>
    <w:rsid w:val="00855013"/>
    <w:rsid w:val="0085575A"/>
    <w:rsid w:val="0085618F"/>
    <w:rsid w:val="00856F70"/>
    <w:rsid w:val="00857231"/>
    <w:rsid w:val="0085749E"/>
    <w:rsid w:val="00857DBB"/>
    <w:rsid w:val="00860685"/>
    <w:rsid w:val="00860A89"/>
    <w:rsid w:val="00862D75"/>
    <w:rsid w:val="00864028"/>
    <w:rsid w:val="00864305"/>
    <w:rsid w:val="0086605E"/>
    <w:rsid w:val="00870229"/>
    <w:rsid w:val="0087237F"/>
    <w:rsid w:val="00872CA8"/>
    <w:rsid w:val="00872E49"/>
    <w:rsid w:val="00874715"/>
    <w:rsid w:val="008758D0"/>
    <w:rsid w:val="0087617E"/>
    <w:rsid w:val="00877126"/>
    <w:rsid w:val="00877C8C"/>
    <w:rsid w:val="008806F9"/>
    <w:rsid w:val="008825DF"/>
    <w:rsid w:val="00883313"/>
    <w:rsid w:val="00883963"/>
    <w:rsid w:val="00883B07"/>
    <w:rsid w:val="00885902"/>
    <w:rsid w:val="008873CE"/>
    <w:rsid w:val="008879D7"/>
    <w:rsid w:val="00891E9E"/>
    <w:rsid w:val="008920DB"/>
    <w:rsid w:val="0089243D"/>
    <w:rsid w:val="00892871"/>
    <w:rsid w:val="00892DAF"/>
    <w:rsid w:val="00893A9C"/>
    <w:rsid w:val="00895610"/>
    <w:rsid w:val="0089581C"/>
    <w:rsid w:val="00895DD0"/>
    <w:rsid w:val="00896E57"/>
    <w:rsid w:val="00896EA0"/>
    <w:rsid w:val="008A04E2"/>
    <w:rsid w:val="008A0AA4"/>
    <w:rsid w:val="008A2FF3"/>
    <w:rsid w:val="008A3260"/>
    <w:rsid w:val="008A3425"/>
    <w:rsid w:val="008A3649"/>
    <w:rsid w:val="008A3AB6"/>
    <w:rsid w:val="008A4184"/>
    <w:rsid w:val="008A5FAE"/>
    <w:rsid w:val="008B2FFB"/>
    <w:rsid w:val="008B3431"/>
    <w:rsid w:val="008B3A2E"/>
    <w:rsid w:val="008B55FD"/>
    <w:rsid w:val="008B6687"/>
    <w:rsid w:val="008B6C59"/>
    <w:rsid w:val="008B7019"/>
    <w:rsid w:val="008C03AA"/>
    <w:rsid w:val="008C07CC"/>
    <w:rsid w:val="008C12E1"/>
    <w:rsid w:val="008C1AD7"/>
    <w:rsid w:val="008C214D"/>
    <w:rsid w:val="008C2667"/>
    <w:rsid w:val="008C40B2"/>
    <w:rsid w:val="008C4F63"/>
    <w:rsid w:val="008C51B2"/>
    <w:rsid w:val="008C5819"/>
    <w:rsid w:val="008C7691"/>
    <w:rsid w:val="008C7777"/>
    <w:rsid w:val="008D189D"/>
    <w:rsid w:val="008D2576"/>
    <w:rsid w:val="008D2CC2"/>
    <w:rsid w:val="008D30A5"/>
    <w:rsid w:val="008D3541"/>
    <w:rsid w:val="008D36E6"/>
    <w:rsid w:val="008D4140"/>
    <w:rsid w:val="008D4DE6"/>
    <w:rsid w:val="008D5C6F"/>
    <w:rsid w:val="008D6EEB"/>
    <w:rsid w:val="008E0DB9"/>
    <w:rsid w:val="008E0FD3"/>
    <w:rsid w:val="008E1353"/>
    <w:rsid w:val="008E37C2"/>
    <w:rsid w:val="008E4633"/>
    <w:rsid w:val="008E49A0"/>
    <w:rsid w:val="008E4EFA"/>
    <w:rsid w:val="008E4F6A"/>
    <w:rsid w:val="008E5C38"/>
    <w:rsid w:val="008E7BE8"/>
    <w:rsid w:val="008E7DB7"/>
    <w:rsid w:val="008F3778"/>
    <w:rsid w:val="008F4ADE"/>
    <w:rsid w:val="008F4E32"/>
    <w:rsid w:val="008F4E87"/>
    <w:rsid w:val="008F4F9C"/>
    <w:rsid w:val="008F60C4"/>
    <w:rsid w:val="008F6C40"/>
    <w:rsid w:val="008F785D"/>
    <w:rsid w:val="00900592"/>
    <w:rsid w:val="00901126"/>
    <w:rsid w:val="00901D28"/>
    <w:rsid w:val="00902674"/>
    <w:rsid w:val="00902782"/>
    <w:rsid w:val="00903AA8"/>
    <w:rsid w:val="0090598A"/>
    <w:rsid w:val="009061BD"/>
    <w:rsid w:val="00906445"/>
    <w:rsid w:val="0090708D"/>
    <w:rsid w:val="00907B14"/>
    <w:rsid w:val="0091180D"/>
    <w:rsid w:val="00912F4C"/>
    <w:rsid w:val="00914924"/>
    <w:rsid w:val="009173FA"/>
    <w:rsid w:val="009179DC"/>
    <w:rsid w:val="009202AE"/>
    <w:rsid w:val="00921BAF"/>
    <w:rsid w:val="009234E1"/>
    <w:rsid w:val="009247BC"/>
    <w:rsid w:val="00924C6E"/>
    <w:rsid w:val="0092504F"/>
    <w:rsid w:val="009261E9"/>
    <w:rsid w:val="00926621"/>
    <w:rsid w:val="0092685D"/>
    <w:rsid w:val="00927F36"/>
    <w:rsid w:val="00930223"/>
    <w:rsid w:val="00930417"/>
    <w:rsid w:val="00930D64"/>
    <w:rsid w:val="00934CA1"/>
    <w:rsid w:val="0093522B"/>
    <w:rsid w:val="0093557B"/>
    <w:rsid w:val="00937351"/>
    <w:rsid w:val="00937656"/>
    <w:rsid w:val="00937ADC"/>
    <w:rsid w:val="00941255"/>
    <w:rsid w:val="009415A2"/>
    <w:rsid w:val="009437BB"/>
    <w:rsid w:val="0094395C"/>
    <w:rsid w:val="00945411"/>
    <w:rsid w:val="0094678E"/>
    <w:rsid w:val="009478C9"/>
    <w:rsid w:val="0095137E"/>
    <w:rsid w:val="00951D1B"/>
    <w:rsid w:val="00952EF1"/>
    <w:rsid w:val="00956DB5"/>
    <w:rsid w:val="00957DA2"/>
    <w:rsid w:val="00961645"/>
    <w:rsid w:val="009630D8"/>
    <w:rsid w:val="0096704F"/>
    <w:rsid w:val="00967BBD"/>
    <w:rsid w:val="0097076C"/>
    <w:rsid w:val="00971E53"/>
    <w:rsid w:val="00972B3E"/>
    <w:rsid w:val="009755D2"/>
    <w:rsid w:val="0097580E"/>
    <w:rsid w:val="0097586E"/>
    <w:rsid w:val="00976D0D"/>
    <w:rsid w:val="009776FF"/>
    <w:rsid w:val="009779C3"/>
    <w:rsid w:val="009807E0"/>
    <w:rsid w:val="00980B18"/>
    <w:rsid w:val="0098170D"/>
    <w:rsid w:val="00981D9D"/>
    <w:rsid w:val="0098373C"/>
    <w:rsid w:val="00984AEF"/>
    <w:rsid w:val="0098641F"/>
    <w:rsid w:val="00986D57"/>
    <w:rsid w:val="0098717A"/>
    <w:rsid w:val="00992DC4"/>
    <w:rsid w:val="00993536"/>
    <w:rsid w:val="00993A9C"/>
    <w:rsid w:val="00994CA2"/>
    <w:rsid w:val="00995C90"/>
    <w:rsid w:val="00995D37"/>
    <w:rsid w:val="00997ADB"/>
    <w:rsid w:val="009A15F4"/>
    <w:rsid w:val="009A32C4"/>
    <w:rsid w:val="009A35D0"/>
    <w:rsid w:val="009A5A2D"/>
    <w:rsid w:val="009A5B3F"/>
    <w:rsid w:val="009A7459"/>
    <w:rsid w:val="009A7876"/>
    <w:rsid w:val="009A7A85"/>
    <w:rsid w:val="009B0ACE"/>
    <w:rsid w:val="009B0C37"/>
    <w:rsid w:val="009B2423"/>
    <w:rsid w:val="009B465C"/>
    <w:rsid w:val="009B46CF"/>
    <w:rsid w:val="009B49B3"/>
    <w:rsid w:val="009B5612"/>
    <w:rsid w:val="009B5776"/>
    <w:rsid w:val="009C0E1E"/>
    <w:rsid w:val="009C11A7"/>
    <w:rsid w:val="009C2FDB"/>
    <w:rsid w:val="009C6DA4"/>
    <w:rsid w:val="009C7F71"/>
    <w:rsid w:val="009D1DE2"/>
    <w:rsid w:val="009D2825"/>
    <w:rsid w:val="009D2D7E"/>
    <w:rsid w:val="009D35BF"/>
    <w:rsid w:val="009D3A88"/>
    <w:rsid w:val="009D49F2"/>
    <w:rsid w:val="009D4C3E"/>
    <w:rsid w:val="009E1555"/>
    <w:rsid w:val="009E2862"/>
    <w:rsid w:val="009E3D83"/>
    <w:rsid w:val="009E42FC"/>
    <w:rsid w:val="009E462E"/>
    <w:rsid w:val="009E47ED"/>
    <w:rsid w:val="009E524A"/>
    <w:rsid w:val="009E5E7E"/>
    <w:rsid w:val="009F0120"/>
    <w:rsid w:val="009F0887"/>
    <w:rsid w:val="009F30FB"/>
    <w:rsid w:val="009F32C4"/>
    <w:rsid w:val="009F4972"/>
    <w:rsid w:val="009F4FC2"/>
    <w:rsid w:val="009F7A38"/>
    <w:rsid w:val="00A03F8A"/>
    <w:rsid w:val="00A06EBD"/>
    <w:rsid w:val="00A0703A"/>
    <w:rsid w:val="00A072C4"/>
    <w:rsid w:val="00A10176"/>
    <w:rsid w:val="00A10181"/>
    <w:rsid w:val="00A10255"/>
    <w:rsid w:val="00A1071F"/>
    <w:rsid w:val="00A10869"/>
    <w:rsid w:val="00A111FF"/>
    <w:rsid w:val="00A126E3"/>
    <w:rsid w:val="00A12A41"/>
    <w:rsid w:val="00A12BDF"/>
    <w:rsid w:val="00A13E3A"/>
    <w:rsid w:val="00A162B7"/>
    <w:rsid w:val="00A165B7"/>
    <w:rsid w:val="00A171A5"/>
    <w:rsid w:val="00A20FB8"/>
    <w:rsid w:val="00A215B6"/>
    <w:rsid w:val="00A23538"/>
    <w:rsid w:val="00A242DD"/>
    <w:rsid w:val="00A25C86"/>
    <w:rsid w:val="00A26035"/>
    <w:rsid w:val="00A273D8"/>
    <w:rsid w:val="00A27AF7"/>
    <w:rsid w:val="00A27AFA"/>
    <w:rsid w:val="00A31021"/>
    <w:rsid w:val="00A316C8"/>
    <w:rsid w:val="00A31A44"/>
    <w:rsid w:val="00A33370"/>
    <w:rsid w:val="00A40466"/>
    <w:rsid w:val="00A41444"/>
    <w:rsid w:val="00A42A42"/>
    <w:rsid w:val="00A42BAA"/>
    <w:rsid w:val="00A43475"/>
    <w:rsid w:val="00A436B8"/>
    <w:rsid w:val="00A44DE7"/>
    <w:rsid w:val="00A4515C"/>
    <w:rsid w:val="00A47209"/>
    <w:rsid w:val="00A505F6"/>
    <w:rsid w:val="00A50DA0"/>
    <w:rsid w:val="00A511E7"/>
    <w:rsid w:val="00A522DA"/>
    <w:rsid w:val="00A52F42"/>
    <w:rsid w:val="00A531AF"/>
    <w:rsid w:val="00A533B2"/>
    <w:rsid w:val="00A539EC"/>
    <w:rsid w:val="00A53C78"/>
    <w:rsid w:val="00A54C55"/>
    <w:rsid w:val="00A56513"/>
    <w:rsid w:val="00A56745"/>
    <w:rsid w:val="00A568C5"/>
    <w:rsid w:val="00A56A89"/>
    <w:rsid w:val="00A56D46"/>
    <w:rsid w:val="00A57BB8"/>
    <w:rsid w:val="00A62E01"/>
    <w:rsid w:val="00A64CC4"/>
    <w:rsid w:val="00A655B2"/>
    <w:rsid w:val="00A65E6F"/>
    <w:rsid w:val="00A667F2"/>
    <w:rsid w:val="00A67067"/>
    <w:rsid w:val="00A67AC9"/>
    <w:rsid w:val="00A67E44"/>
    <w:rsid w:val="00A7124A"/>
    <w:rsid w:val="00A7130A"/>
    <w:rsid w:val="00A733D3"/>
    <w:rsid w:val="00A73567"/>
    <w:rsid w:val="00A73705"/>
    <w:rsid w:val="00A7420B"/>
    <w:rsid w:val="00A765B7"/>
    <w:rsid w:val="00A76835"/>
    <w:rsid w:val="00A76D7B"/>
    <w:rsid w:val="00A76E90"/>
    <w:rsid w:val="00A775B9"/>
    <w:rsid w:val="00A77C10"/>
    <w:rsid w:val="00A80D68"/>
    <w:rsid w:val="00A82655"/>
    <w:rsid w:val="00A833F2"/>
    <w:rsid w:val="00A83DA9"/>
    <w:rsid w:val="00A853CE"/>
    <w:rsid w:val="00A86CE1"/>
    <w:rsid w:val="00A87C88"/>
    <w:rsid w:val="00A902DA"/>
    <w:rsid w:val="00A907FC"/>
    <w:rsid w:val="00A90A88"/>
    <w:rsid w:val="00A93A75"/>
    <w:rsid w:val="00A93CBE"/>
    <w:rsid w:val="00A96696"/>
    <w:rsid w:val="00A96D18"/>
    <w:rsid w:val="00A97168"/>
    <w:rsid w:val="00A97774"/>
    <w:rsid w:val="00AA06B8"/>
    <w:rsid w:val="00AA342F"/>
    <w:rsid w:val="00AA605A"/>
    <w:rsid w:val="00AA748F"/>
    <w:rsid w:val="00AB04D9"/>
    <w:rsid w:val="00AB27F1"/>
    <w:rsid w:val="00AB347C"/>
    <w:rsid w:val="00AB4343"/>
    <w:rsid w:val="00AB4959"/>
    <w:rsid w:val="00AB5136"/>
    <w:rsid w:val="00AB65E8"/>
    <w:rsid w:val="00AB7330"/>
    <w:rsid w:val="00AC0223"/>
    <w:rsid w:val="00AC0921"/>
    <w:rsid w:val="00AC1336"/>
    <w:rsid w:val="00AC22EB"/>
    <w:rsid w:val="00AC2775"/>
    <w:rsid w:val="00AC2FC1"/>
    <w:rsid w:val="00AC39B2"/>
    <w:rsid w:val="00AC491D"/>
    <w:rsid w:val="00AC56E7"/>
    <w:rsid w:val="00AC65F4"/>
    <w:rsid w:val="00AC7E2E"/>
    <w:rsid w:val="00AD0EEB"/>
    <w:rsid w:val="00AD22AE"/>
    <w:rsid w:val="00AD59F1"/>
    <w:rsid w:val="00AD69B6"/>
    <w:rsid w:val="00AD6AF0"/>
    <w:rsid w:val="00AD6CA1"/>
    <w:rsid w:val="00AD6D40"/>
    <w:rsid w:val="00AD7544"/>
    <w:rsid w:val="00AE0DDD"/>
    <w:rsid w:val="00AE3404"/>
    <w:rsid w:val="00AE6010"/>
    <w:rsid w:val="00AE65A3"/>
    <w:rsid w:val="00AE67A6"/>
    <w:rsid w:val="00AE67E5"/>
    <w:rsid w:val="00AE7079"/>
    <w:rsid w:val="00AF1AB9"/>
    <w:rsid w:val="00AF2310"/>
    <w:rsid w:val="00AF2A4D"/>
    <w:rsid w:val="00AF2BF0"/>
    <w:rsid w:val="00AF3830"/>
    <w:rsid w:val="00AF4B41"/>
    <w:rsid w:val="00AF5CB7"/>
    <w:rsid w:val="00AF5CC8"/>
    <w:rsid w:val="00AF5E75"/>
    <w:rsid w:val="00AF65EF"/>
    <w:rsid w:val="00AF6CC7"/>
    <w:rsid w:val="00AF7C01"/>
    <w:rsid w:val="00B0141C"/>
    <w:rsid w:val="00B037B5"/>
    <w:rsid w:val="00B04F01"/>
    <w:rsid w:val="00B05932"/>
    <w:rsid w:val="00B05A37"/>
    <w:rsid w:val="00B0735A"/>
    <w:rsid w:val="00B115C2"/>
    <w:rsid w:val="00B11DEE"/>
    <w:rsid w:val="00B122CD"/>
    <w:rsid w:val="00B12B11"/>
    <w:rsid w:val="00B13357"/>
    <w:rsid w:val="00B13401"/>
    <w:rsid w:val="00B140BB"/>
    <w:rsid w:val="00B143A8"/>
    <w:rsid w:val="00B14E65"/>
    <w:rsid w:val="00B14ED5"/>
    <w:rsid w:val="00B16B06"/>
    <w:rsid w:val="00B171E1"/>
    <w:rsid w:val="00B17C86"/>
    <w:rsid w:val="00B2296D"/>
    <w:rsid w:val="00B22F65"/>
    <w:rsid w:val="00B232A3"/>
    <w:rsid w:val="00B249AF"/>
    <w:rsid w:val="00B25A9F"/>
    <w:rsid w:val="00B261F4"/>
    <w:rsid w:val="00B26369"/>
    <w:rsid w:val="00B271C9"/>
    <w:rsid w:val="00B27533"/>
    <w:rsid w:val="00B31DCB"/>
    <w:rsid w:val="00B31F23"/>
    <w:rsid w:val="00B32796"/>
    <w:rsid w:val="00B34C16"/>
    <w:rsid w:val="00B4049D"/>
    <w:rsid w:val="00B40B7B"/>
    <w:rsid w:val="00B41B68"/>
    <w:rsid w:val="00B425CD"/>
    <w:rsid w:val="00B436FF"/>
    <w:rsid w:val="00B44154"/>
    <w:rsid w:val="00B44EF2"/>
    <w:rsid w:val="00B46CA2"/>
    <w:rsid w:val="00B473EE"/>
    <w:rsid w:val="00B51043"/>
    <w:rsid w:val="00B53AD0"/>
    <w:rsid w:val="00B5483B"/>
    <w:rsid w:val="00B54DD6"/>
    <w:rsid w:val="00B55BFE"/>
    <w:rsid w:val="00B57E59"/>
    <w:rsid w:val="00B62A47"/>
    <w:rsid w:val="00B64E15"/>
    <w:rsid w:val="00B65014"/>
    <w:rsid w:val="00B66E46"/>
    <w:rsid w:val="00B67129"/>
    <w:rsid w:val="00B7032F"/>
    <w:rsid w:val="00B711EE"/>
    <w:rsid w:val="00B71782"/>
    <w:rsid w:val="00B724E5"/>
    <w:rsid w:val="00B73964"/>
    <w:rsid w:val="00B73C8D"/>
    <w:rsid w:val="00B75E62"/>
    <w:rsid w:val="00B77911"/>
    <w:rsid w:val="00B80D89"/>
    <w:rsid w:val="00B81A3C"/>
    <w:rsid w:val="00B8332A"/>
    <w:rsid w:val="00B83433"/>
    <w:rsid w:val="00B842BB"/>
    <w:rsid w:val="00B84700"/>
    <w:rsid w:val="00B8487A"/>
    <w:rsid w:val="00B85D5E"/>
    <w:rsid w:val="00B87500"/>
    <w:rsid w:val="00B87520"/>
    <w:rsid w:val="00B9000D"/>
    <w:rsid w:val="00B90705"/>
    <w:rsid w:val="00B94A96"/>
    <w:rsid w:val="00B95C96"/>
    <w:rsid w:val="00B95EC6"/>
    <w:rsid w:val="00B96F07"/>
    <w:rsid w:val="00BA0016"/>
    <w:rsid w:val="00BA241F"/>
    <w:rsid w:val="00BA2521"/>
    <w:rsid w:val="00BA34BC"/>
    <w:rsid w:val="00BA3D7C"/>
    <w:rsid w:val="00BA6C75"/>
    <w:rsid w:val="00BA7F21"/>
    <w:rsid w:val="00BB076B"/>
    <w:rsid w:val="00BB0C49"/>
    <w:rsid w:val="00BB1085"/>
    <w:rsid w:val="00BB36CA"/>
    <w:rsid w:val="00BB4147"/>
    <w:rsid w:val="00BB4F84"/>
    <w:rsid w:val="00BB5074"/>
    <w:rsid w:val="00BB51B1"/>
    <w:rsid w:val="00BB6F7F"/>
    <w:rsid w:val="00BB7FA5"/>
    <w:rsid w:val="00BC1330"/>
    <w:rsid w:val="00BC14F1"/>
    <w:rsid w:val="00BC2E61"/>
    <w:rsid w:val="00BC54BE"/>
    <w:rsid w:val="00BC6A59"/>
    <w:rsid w:val="00BC7441"/>
    <w:rsid w:val="00BD215A"/>
    <w:rsid w:val="00BD27D3"/>
    <w:rsid w:val="00BD2BFC"/>
    <w:rsid w:val="00BD3EFE"/>
    <w:rsid w:val="00BD64B0"/>
    <w:rsid w:val="00BD7221"/>
    <w:rsid w:val="00BE1819"/>
    <w:rsid w:val="00BE2338"/>
    <w:rsid w:val="00BE2A7B"/>
    <w:rsid w:val="00BE3D19"/>
    <w:rsid w:val="00BE3D5D"/>
    <w:rsid w:val="00BE46A1"/>
    <w:rsid w:val="00BE46A5"/>
    <w:rsid w:val="00BF0228"/>
    <w:rsid w:val="00BF0C62"/>
    <w:rsid w:val="00BF5005"/>
    <w:rsid w:val="00C00224"/>
    <w:rsid w:val="00C00508"/>
    <w:rsid w:val="00C00FAB"/>
    <w:rsid w:val="00C01F78"/>
    <w:rsid w:val="00C01F89"/>
    <w:rsid w:val="00C02DA9"/>
    <w:rsid w:val="00C035C3"/>
    <w:rsid w:val="00C03DCC"/>
    <w:rsid w:val="00C04418"/>
    <w:rsid w:val="00C048A5"/>
    <w:rsid w:val="00C0499A"/>
    <w:rsid w:val="00C055B1"/>
    <w:rsid w:val="00C07124"/>
    <w:rsid w:val="00C0797D"/>
    <w:rsid w:val="00C107AF"/>
    <w:rsid w:val="00C12ACD"/>
    <w:rsid w:val="00C13AF7"/>
    <w:rsid w:val="00C1561E"/>
    <w:rsid w:val="00C15FF5"/>
    <w:rsid w:val="00C17139"/>
    <w:rsid w:val="00C1715C"/>
    <w:rsid w:val="00C1744E"/>
    <w:rsid w:val="00C17EFB"/>
    <w:rsid w:val="00C17FFB"/>
    <w:rsid w:val="00C2194D"/>
    <w:rsid w:val="00C22479"/>
    <w:rsid w:val="00C2291C"/>
    <w:rsid w:val="00C22E91"/>
    <w:rsid w:val="00C24F21"/>
    <w:rsid w:val="00C2662D"/>
    <w:rsid w:val="00C30F90"/>
    <w:rsid w:val="00C31AD6"/>
    <w:rsid w:val="00C32613"/>
    <w:rsid w:val="00C369A8"/>
    <w:rsid w:val="00C36F2C"/>
    <w:rsid w:val="00C36F68"/>
    <w:rsid w:val="00C425C2"/>
    <w:rsid w:val="00C445C4"/>
    <w:rsid w:val="00C44A85"/>
    <w:rsid w:val="00C4586A"/>
    <w:rsid w:val="00C52342"/>
    <w:rsid w:val="00C5357E"/>
    <w:rsid w:val="00C53DE4"/>
    <w:rsid w:val="00C573A7"/>
    <w:rsid w:val="00C604CB"/>
    <w:rsid w:val="00C61572"/>
    <w:rsid w:val="00C61B72"/>
    <w:rsid w:val="00C62309"/>
    <w:rsid w:val="00C6267B"/>
    <w:rsid w:val="00C641F7"/>
    <w:rsid w:val="00C64EBA"/>
    <w:rsid w:val="00C6619A"/>
    <w:rsid w:val="00C664FA"/>
    <w:rsid w:val="00C66843"/>
    <w:rsid w:val="00C6799D"/>
    <w:rsid w:val="00C679A2"/>
    <w:rsid w:val="00C70910"/>
    <w:rsid w:val="00C70C50"/>
    <w:rsid w:val="00C725CA"/>
    <w:rsid w:val="00C72BA9"/>
    <w:rsid w:val="00C73573"/>
    <w:rsid w:val="00C74382"/>
    <w:rsid w:val="00C76533"/>
    <w:rsid w:val="00C77464"/>
    <w:rsid w:val="00C77F22"/>
    <w:rsid w:val="00C808EB"/>
    <w:rsid w:val="00C80FA9"/>
    <w:rsid w:val="00C81E0D"/>
    <w:rsid w:val="00C85B93"/>
    <w:rsid w:val="00C86081"/>
    <w:rsid w:val="00C869F7"/>
    <w:rsid w:val="00C8727A"/>
    <w:rsid w:val="00C87FB7"/>
    <w:rsid w:val="00C904CC"/>
    <w:rsid w:val="00C906A5"/>
    <w:rsid w:val="00C90A76"/>
    <w:rsid w:val="00C90C7B"/>
    <w:rsid w:val="00C92282"/>
    <w:rsid w:val="00C93474"/>
    <w:rsid w:val="00C93BE2"/>
    <w:rsid w:val="00C94049"/>
    <w:rsid w:val="00C94D31"/>
    <w:rsid w:val="00C955AF"/>
    <w:rsid w:val="00C975D2"/>
    <w:rsid w:val="00CA036B"/>
    <w:rsid w:val="00CA0650"/>
    <w:rsid w:val="00CA1189"/>
    <w:rsid w:val="00CA164A"/>
    <w:rsid w:val="00CA2393"/>
    <w:rsid w:val="00CA409D"/>
    <w:rsid w:val="00CA4A83"/>
    <w:rsid w:val="00CA4CCD"/>
    <w:rsid w:val="00CA7A5A"/>
    <w:rsid w:val="00CA7A60"/>
    <w:rsid w:val="00CB1217"/>
    <w:rsid w:val="00CB1276"/>
    <w:rsid w:val="00CB15F9"/>
    <w:rsid w:val="00CB164C"/>
    <w:rsid w:val="00CB168C"/>
    <w:rsid w:val="00CB22D2"/>
    <w:rsid w:val="00CB25DB"/>
    <w:rsid w:val="00CB32C5"/>
    <w:rsid w:val="00CB3991"/>
    <w:rsid w:val="00CB608D"/>
    <w:rsid w:val="00CC05D6"/>
    <w:rsid w:val="00CC0C05"/>
    <w:rsid w:val="00CC3BB2"/>
    <w:rsid w:val="00CC49E7"/>
    <w:rsid w:val="00CC4F26"/>
    <w:rsid w:val="00CC5368"/>
    <w:rsid w:val="00CC597A"/>
    <w:rsid w:val="00CC7B45"/>
    <w:rsid w:val="00CD0137"/>
    <w:rsid w:val="00CD1D95"/>
    <w:rsid w:val="00CD2BD3"/>
    <w:rsid w:val="00CD3795"/>
    <w:rsid w:val="00CD3B07"/>
    <w:rsid w:val="00CD6B7D"/>
    <w:rsid w:val="00CE1BF0"/>
    <w:rsid w:val="00CE2962"/>
    <w:rsid w:val="00CE2C8E"/>
    <w:rsid w:val="00CE3956"/>
    <w:rsid w:val="00CE5925"/>
    <w:rsid w:val="00CE60C6"/>
    <w:rsid w:val="00CE651A"/>
    <w:rsid w:val="00CF0884"/>
    <w:rsid w:val="00CF0B02"/>
    <w:rsid w:val="00CF3AA4"/>
    <w:rsid w:val="00CF3BA2"/>
    <w:rsid w:val="00CF4495"/>
    <w:rsid w:val="00CF4C1A"/>
    <w:rsid w:val="00CF58CD"/>
    <w:rsid w:val="00CF6710"/>
    <w:rsid w:val="00D0179E"/>
    <w:rsid w:val="00D03276"/>
    <w:rsid w:val="00D03AD2"/>
    <w:rsid w:val="00D050C8"/>
    <w:rsid w:val="00D07807"/>
    <w:rsid w:val="00D07904"/>
    <w:rsid w:val="00D07EDC"/>
    <w:rsid w:val="00D121B6"/>
    <w:rsid w:val="00D13083"/>
    <w:rsid w:val="00D133FB"/>
    <w:rsid w:val="00D13F2D"/>
    <w:rsid w:val="00D15BE7"/>
    <w:rsid w:val="00D167C6"/>
    <w:rsid w:val="00D16B49"/>
    <w:rsid w:val="00D17CAD"/>
    <w:rsid w:val="00D17DD7"/>
    <w:rsid w:val="00D17F81"/>
    <w:rsid w:val="00D17FDA"/>
    <w:rsid w:val="00D2094E"/>
    <w:rsid w:val="00D2234B"/>
    <w:rsid w:val="00D226A7"/>
    <w:rsid w:val="00D24468"/>
    <w:rsid w:val="00D254F4"/>
    <w:rsid w:val="00D260C2"/>
    <w:rsid w:val="00D26B24"/>
    <w:rsid w:val="00D27010"/>
    <w:rsid w:val="00D3128F"/>
    <w:rsid w:val="00D33231"/>
    <w:rsid w:val="00D34D43"/>
    <w:rsid w:val="00D37193"/>
    <w:rsid w:val="00D3719B"/>
    <w:rsid w:val="00D3722B"/>
    <w:rsid w:val="00D4145D"/>
    <w:rsid w:val="00D4443C"/>
    <w:rsid w:val="00D44B58"/>
    <w:rsid w:val="00D45157"/>
    <w:rsid w:val="00D46B9E"/>
    <w:rsid w:val="00D50D6E"/>
    <w:rsid w:val="00D51944"/>
    <w:rsid w:val="00D53247"/>
    <w:rsid w:val="00D53EC0"/>
    <w:rsid w:val="00D55432"/>
    <w:rsid w:val="00D554D2"/>
    <w:rsid w:val="00D557B2"/>
    <w:rsid w:val="00D55D25"/>
    <w:rsid w:val="00D57802"/>
    <w:rsid w:val="00D60ABB"/>
    <w:rsid w:val="00D64A0C"/>
    <w:rsid w:val="00D65450"/>
    <w:rsid w:val="00D66329"/>
    <w:rsid w:val="00D669BE"/>
    <w:rsid w:val="00D66E8E"/>
    <w:rsid w:val="00D6776A"/>
    <w:rsid w:val="00D70106"/>
    <w:rsid w:val="00D701A9"/>
    <w:rsid w:val="00D70DCF"/>
    <w:rsid w:val="00D70EBD"/>
    <w:rsid w:val="00D72DE9"/>
    <w:rsid w:val="00D72E09"/>
    <w:rsid w:val="00D749E8"/>
    <w:rsid w:val="00D756C5"/>
    <w:rsid w:val="00D76919"/>
    <w:rsid w:val="00D814AC"/>
    <w:rsid w:val="00D8193A"/>
    <w:rsid w:val="00D82411"/>
    <w:rsid w:val="00D826E2"/>
    <w:rsid w:val="00D82C02"/>
    <w:rsid w:val="00D84304"/>
    <w:rsid w:val="00D846BF"/>
    <w:rsid w:val="00D853DE"/>
    <w:rsid w:val="00D860B8"/>
    <w:rsid w:val="00D86878"/>
    <w:rsid w:val="00D87E99"/>
    <w:rsid w:val="00D921D9"/>
    <w:rsid w:val="00D92556"/>
    <w:rsid w:val="00D92E6D"/>
    <w:rsid w:val="00D92F7E"/>
    <w:rsid w:val="00D93312"/>
    <w:rsid w:val="00D93C47"/>
    <w:rsid w:val="00D94930"/>
    <w:rsid w:val="00D9651F"/>
    <w:rsid w:val="00D96FAC"/>
    <w:rsid w:val="00D97B81"/>
    <w:rsid w:val="00DA04EA"/>
    <w:rsid w:val="00DA0DA0"/>
    <w:rsid w:val="00DA1FAE"/>
    <w:rsid w:val="00DA21B4"/>
    <w:rsid w:val="00DA442C"/>
    <w:rsid w:val="00DA7A34"/>
    <w:rsid w:val="00DB160B"/>
    <w:rsid w:val="00DB17B5"/>
    <w:rsid w:val="00DB347F"/>
    <w:rsid w:val="00DB55DC"/>
    <w:rsid w:val="00DB763C"/>
    <w:rsid w:val="00DB7B18"/>
    <w:rsid w:val="00DB7E35"/>
    <w:rsid w:val="00DC0AE2"/>
    <w:rsid w:val="00DC23A0"/>
    <w:rsid w:val="00DC24EA"/>
    <w:rsid w:val="00DC2B4E"/>
    <w:rsid w:val="00DC3C45"/>
    <w:rsid w:val="00DC4032"/>
    <w:rsid w:val="00DC403A"/>
    <w:rsid w:val="00DC4CAD"/>
    <w:rsid w:val="00DC7CB6"/>
    <w:rsid w:val="00DD1695"/>
    <w:rsid w:val="00DD3DCE"/>
    <w:rsid w:val="00DD4269"/>
    <w:rsid w:val="00DD5519"/>
    <w:rsid w:val="00DD568F"/>
    <w:rsid w:val="00DD7195"/>
    <w:rsid w:val="00DD7BE7"/>
    <w:rsid w:val="00DD7C2C"/>
    <w:rsid w:val="00DE06CC"/>
    <w:rsid w:val="00DE09B7"/>
    <w:rsid w:val="00DE139D"/>
    <w:rsid w:val="00DE1420"/>
    <w:rsid w:val="00DE51DE"/>
    <w:rsid w:val="00DE558D"/>
    <w:rsid w:val="00DE677C"/>
    <w:rsid w:val="00DF23B5"/>
    <w:rsid w:val="00DF354C"/>
    <w:rsid w:val="00DF4E2B"/>
    <w:rsid w:val="00DF4F77"/>
    <w:rsid w:val="00DF5346"/>
    <w:rsid w:val="00DF5DCB"/>
    <w:rsid w:val="00DF74D1"/>
    <w:rsid w:val="00DF7DB1"/>
    <w:rsid w:val="00DF7F07"/>
    <w:rsid w:val="00E0054E"/>
    <w:rsid w:val="00E03673"/>
    <w:rsid w:val="00E048FC"/>
    <w:rsid w:val="00E057D2"/>
    <w:rsid w:val="00E0718C"/>
    <w:rsid w:val="00E07331"/>
    <w:rsid w:val="00E117CD"/>
    <w:rsid w:val="00E150CA"/>
    <w:rsid w:val="00E2076B"/>
    <w:rsid w:val="00E21E20"/>
    <w:rsid w:val="00E2731C"/>
    <w:rsid w:val="00E3222D"/>
    <w:rsid w:val="00E322FF"/>
    <w:rsid w:val="00E34313"/>
    <w:rsid w:val="00E35F7A"/>
    <w:rsid w:val="00E36F2D"/>
    <w:rsid w:val="00E373EA"/>
    <w:rsid w:val="00E40621"/>
    <w:rsid w:val="00E41BCC"/>
    <w:rsid w:val="00E43E62"/>
    <w:rsid w:val="00E4420D"/>
    <w:rsid w:val="00E44A5B"/>
    <w:rsid w:val="00E44C9E"/>
    <w:rsid w:val="00E457C0"/>
    <w:rsid w:val="00E45AAA"/>
    <w:rsid w:val="00E45B4B"/>
    <w:rsid w:val="00E502E4"/>
    <w:rsid w:val="00E518C4"/>
    <w:rsid w:val="00E5323A"/>
    <w:rsid w:val="00E534DD"/>
    <w:rsid w:val="00E53FC1"/>
    <w:rsid w:val="00E562EB"/>
    <w:rsid w:val="00E57103"/>
    <w:rsid w:val="00E60056"/>
    <w:rsid w:val="00E6080A"/>
    <w:rsid w:val="00E61828"/>
    <w:rsid w:val="00E63F81"/>
    <w:rsid w:val="00E6495D"/>
    <w:rsid w:val="00E64F2E"/>
    <w:rsid w:val="00E650DC"/>
    <w:rsid w:val="00E67705"/>
    <w:rsid w:val="00E71BA6"/>
    <w:rsid w:val="00E71F32"/>
    <w:rsid w:val="00E727C9"/>
    <w:rsid w:val="00E72FB4"/>
    <w:rsid w:val="00E73EB1"/>
    <w:rsid w:val="00E75C62"/>
    <w:rsid w:val="00E7797D"/>
    <w:rsid w:val="00E8056F"/>
    <w:rsid w:val="00E859E7"/>
    <w:rsid w:val="00E86E6C"/>
    <w:rsid w:val="00E903E9"/>
    <w:rsid w:val="00E90B4E"/>
    <w:rsid w:val="00E911FE"/>
    <w:rsid w:val="00E9133F"/>
    <w:rsid w:val="00E936FA"/>
    <w:rsid w:val="00E94F1A"/>
    <w:rsid w:val="00E95023"/>
    <w:rsid w:val="00E96989"/>
    <w:rsid w:val="00E977AF"/>
    <w:rsid w:val="00E97A91"/>
    <w:rsid w:val="00EA157D"/>
    <w:rsid w:val="00EA1856"/>
    <w:rsid w:val="00EA23E3"/>
    <w:rsid w:val="00EA26CC"/>
    <w:rsid w:val="00EA317B"/>
    <w:rsid w:val="00EA4330"/>
    <w:rsid w:val="00EA46A1"/>
    <w:rsid w:val="00EA63D2"/>
    <w:rsid w:val="00EA711B"/>
    <w:rsid w:val="00EB02D4"/>
    <w:rsid w:val="00EB291E"/>
    <w:rsid w:val="00EB2B97"/>
    <w:rsid w:val="00EB2E33"/>
    <w:rsid w:val="00EB318C"/>
    <w:rsid w:val="00EB5549"/>
    <w:rsid w:val="00EB5D89"/>
    <w:rsid w:val="00EB67EE"/>
    <w:rsid w:val="00EC046C"/>
    <w:rsid w:val="00EC058F"/>
    <w:rsid w:val="00EC30E5"/>
    <w:rsid w:val="00EC6F31"/>
    <w:rsid w:val="00EC7445"/>
    <w:rsid w:val="00ED2009"/>
    <w:rsid w:val="00ED407C"/>
    <w:rsid w:val="00ED462F"/>
    <w:rsid w:val="00ED5D85"/>
    <w:rsid w:val="00ED6366"/>
    <w:rsid w:val="00ED77FC"/>
    <w:rsid w:val="00EE0132"/>
    <w:rsid w:val="00EE2366"/>
    <w:rsid w:val="00EE2D27"/>
    <w:rsid w:val="00EE2E65"/>
    <w:rsid w:val="00EE3208"/>
    <w:rsid w:val="00EE4130"/>
    <w:rsid w:val="00EE4C37"/>
    <w:rsid w:val="00EE586D"/>
    <w:rsid w:val="00EE5C01"/>
    <w:rsid w:val="00EE64CE"/>
    <w:rsid w:val="00EE6B50"/>
    <w:rsid w:val="00EE6F15"/>
    <w:rsid w:val="00EE72C3"/>
    <w:rsid w:val="00EE7A8F"/>
    <w:rsid w:val="00EE7F63"/>
    <w:rsid w:val="00EF0B0F"/>
    <w:rsid w:val="00EF1138"/>
    <w:rsid w:val="00EF27AB"/>
    <w:rsid w:val="00EF27DF"/>
    <w:rsid w:val="00EF3C87"/>
    <w:rsid w:val="00EF3CE7"/>
    <w:rsid w:val="00EF40FC"/>
    <w:rsid w:val="00EF463D"/>
    <w:rsid w:val="00EF4EE3"/>
    <w:rsid w:val="00EF5EE7"/>
    <w:rsid w:val="00EF61D6"/>
    <w:rsid w:val="00EF62C1"/>
    <w:rsid w:val="00EF67BE"/>
    <w:rsid w:val="00F00243"/>
    <w:rsid w:val="00F00331"/>
    <w:rsid w:val="00F0076B"/>
    <w:rsid w:val="00F00A3B"/>
    <w:rsid w:val="00F014B1"/>
    <w:rsid w:val="00F02EE4"/>
    <w:rsid w:val="00F030F7"/>
    <w:rsid w:val="00F0333E"/>
    <w:rsid w:val="00F037AD"/>
    <w:rsid w:val="00F0437E"/>
    <w:rsid w:val="00F04565"/>
    <w:rsid w:val="00F06325"/>
    <w:rsid w:val="00F11187"/>
    <w:rsid w:val="00F12C1D"/>
    <w:rsid w:val="00F13610"/>
    <w:rsid w:val="00F15C80"/>
    <w:rsid w:val="00F16FE6"/>
    <w:rsid w:val="00F20941"/>
    <w:rsid w:val="00F209EE"/>
    <w:rsid w:val="00F20CCC"/>
    <w:rsid w:val="00F20D55"/>
    <w:rsid w:val="00F20D61"/>
    <w:rsid w:val="00F21E39"/>
    <w:rsid w:val="00F24B8E"/>
    <w:rsid w:val="00F2557B"/>
    <w:rsid w:val="00F257B0"/>
    <w:rsid w:val="00F25C09"/>
    <w:rsid w:val="00F26197"/>
    <w:rsid w:val="00F2647B"/>
    <w:rsid w:val="00F302E1"/>
    <w:rsid w:val="00F30ADC"/>
    <w:rsid w:val="00F30CA5"/>
    <w:rsid w:val="00F31F01"/>
    <w:rsid w:val="00F3342D"/>
    <w:rsid w:val="00F35D54"/>
    <w:rsid w:val="00F35DB0"/>
    <w:rsid w:val="00F35F74"/>
    <w:rsid w:val="00F36133"/>
    <w:rsid w:val="00F36225"/>
    <w:rsid w:val="00F36F7B"/>
    <w:rsid w:val="00F3703E"/>
    <w:rsid w:val="00F371DF"/>
    <w:rsid w:val="00F40524"/>
    <w:rsid w:val="00F4145F"/>
    <w:rsid w:val="00F42910"/>
    <w:rsid w:val="00F42E78"/>
    <w:rsid w:val="00F43B95"/>
    <w:rsid w:val="00F44610"/>
    <w:rsid w:val="00F45366"/>
    <w:rsid w:val="00F45708"/>
    <w:rsid w:val="00F45E30"/>
    <w:rsid w:val="00F460EA"/>
    <w:rsid w:val="00F501F7"/>
    <w:rsid w:val="00F50823"/>
    <w:rsid w:val="00F52A8F"/>
    <w:rsid w:val="00F55665"/>
    <w:rsid w:val="00F55F1B"/>
    <w:rsid w:val="00F563A9"/>
    <w:rsid w:val="00F57B42"/>
    <w:rsid w:val="00F6382F"/>
    <w:rsid w:val="00F64097"/>
    <w:rsid w:val="00F67691"/>
    <w:rsid w:val="00F70468"/>
    <w:rsid w:val="00F7156A"/>
    <w:rsid w:val="00F74091"/>
    <w:rsid w:val="00F77E3B"/>
    <w:rsid w:val="00F80EF8"/>
    <w:rsid w:val="00F81A7D"/>
    <w:rsid w:val="00F8264D"/>
    <w:rsid w:val="00F82675"/>
    <w:rsid w:val="00F826F7"/>
    <w:rsid w:val="00F84762"/>
    <w:rsid w:val="00F8526D"/>
    <w:rsid w:val="00F85B25"/>
    <w:rsid w:val="00F85EE6"/>
    <w:rsid w:val="00F86D67"/>
    <w:rsid w:val="00F90581"/>
    <w:rsid w:val="00F9110B"/>
    <w:rsid w:val="00F92138"/>
    <w:rsid w:val="00F933B9"/>
    <w:rsid w:val="00F958C0"/>
    <w:rsid w:val="00FA0968"/>
    <w:rsid w:val="00FA2458"/>
    <w:rsid w:val="00FA2E06"/>
    <w:rsid w:val="00FA4534"/>
    <w:rsid w:val="00FA49C4"/>
    <w:rsid w:val="00FA516F"/>
    <w:rsid w:val="00FA5FFA"/>
    <w:rsid w:val="00FA6540"/>
    <w:rsid w:val="00FA7ACF"/>
    <w:rsid w:val="00FB1FF2"/>
    <w:rsid w:val="00FB20DC"/>
    <w:rsid w:val="00FB2AF3"/>
    <w:rsid w:val="00FB2CE6"/>
    <w:rsid w:val="00FB35E9"/>
    <w:rsid w:val="00FB5A38"/>
    <w:rsid w:val="00FB63CD"/>
    <w:rsid w:val="00FC031F"/>
    <w:rsid w:val="00FC060B"/>
    <w:rsid w:val="00FC2DF0"/>
    <w:rsid w:val="00FC2F89"/>
    <w:rsid w:val="00FC3745"/>
    <w:rsid w:val="00FC63F8"/>
    <w:rsid w:val="00FC746F"/>
    <w:rsid w:val="00FC75ED"/>
    <w:rsid w:val="00FD2002"/>
    <w:rsid w:val="00FD389B"/>
    <w:rsid w:val="00FD4269"/>
    <w:rsid w:val="00FD48F2"/>
    <w:rsid w:val="00FD4EBF"/>
    <w:rsid w:val="00FD5371"/>
    <w:rsid w:val="00FD5461"/>
    <w:rsid w:val="00FD58DF"/>
    <w:rsid w:val="00FD6208"/>
    <w:rsid w:val="00FD6C26"/>
    <w:rsid w:val="00FD7C1D"/>
    <w:rsid w:val="00FE1DDA"/>
    <w:rsid w:val="00FE1EB8"/>
    <w:rsid w:val="00FE4CCC"/>
    <w:rsid w:val="00FE523A"/>
    <w:rsid w:val="00FE6018"/>
    <w:rsid w:val="00FE67F4"/>
    <w:rsid w:val="00FF18F4"/>
    <w:rsid w:val="00FF19D3"/>
    <w:rsid w:val="00FF21E3"/>
    <w:rsid w:val="00FF4A78"/>
    <w:rsid w:val="00FF4E5F"/>
    <w:rsid w:val="00FF5019"/>
    <w:rsid w:val="00FF5766"/>
    <w:rsid w:val="00FF5DD5"/>
    <w:rsid w:val="00FF6543"/>
    <w:rsid w:val="00FF7133"/>
    <w:rsid w:val="00FF7360"/>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20"/>
        <w:ind w:left="1191" w:hanging="11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01D28"/>
    <w:pPr>
      <w:spacing w:after="200" w:line="276" w:lineRule="auto"/>
      <w:ind w:left="0" w:firstLine="0"/>
      <w:jc w:val="left"/>
    </w:pPr>
    <w:rPr>
      <w:rFonts w:ascii="Calibri" w:eastAsia="Calibri" w:hAnsi="Calibri" w:cs="Times New Roman"/>
    </w:rPr>
  </w:style>
  <w:style w:type="paragraph" w:styleId="Heading1">
    <w:name w:val="heading 1"/>
    <w:aliases w:val="FARE Heading 1,Heading Numbered"/>
    <w:basedOn w:val="Normal"/>
    <w:next w:val="Normal"/>
    <w:link w:val="Heading1Char"/>
    <w:uiPriority w:val="9"/>
    <w:qFormat/>
    <w:rsid w:val="00C2662D"/>
    <w:pPr>
      <w:keepNext/>
      <w:keepLines/>
      <w:numPr>
        <w:numId w:val="9"/>
      </w:numPr>
      <w:outlineLvl w:val="0"/>
    </w:pPr>
    <w:rPr>
      <w:rFonts w:eastAsia="Times New Roman"/>
      <w:b/>
      <w:bCs/>
      <w:noProof/>
      <w:sz w:val="44"/>
      <w:szCs w:val="44"/>
      <w:lang w:val="en-GB"/>
    </w:rPr>
  </w:style>
  <w:style w:type="paragraph" w:styleId="Heading2">
    <w:name w:val="heading 2"/>
    <w:aliases w:val="FARE Heading 2"/>
    <w:basedOn w:val="Normal"/>
    <w:next w:val="Normal"/>
    <w:link w:val="Heading2Char"/>
    <w:uiPriority w:val="9"/>
    <w:unhideWhenUsed/>
    <w:qFormat/>
    <w:rsid w:val="00901D28"/>
    <w:pPr>
      <w:keepNext/>
      <w:keepLines/>
      <w:numPr>
        <w:ilvl w:val="1"/>
        <w:numId w:val="1"/>
      </w:numPr>
      <w:spacing w:before="200" w:after="0"/>
      <w:outlineLvl w:val="1"/>
    </w:pPr>
    <w:rPr>
      <w:rFonts w:eastAsia="Times New Roman"/>
      <w:b/>
      <w:bCs/>
      <w:color w:val="E41B23"/>
      <w:sz w:val="36"/>
      <w:szCs w:val="26"/>
    </w:rPr>
  </w:style>
  <w:style w:type="paragraph" w:styleId="Heading3">
    <w:name w:val="heading 3"/>
    <w:basedOn w:val="Normal"/>
    <w:next w:val="Normal"/>
    <w:link w:val="Heading3Char"/>
    <w:uiPriority w:val="9"/>
    <w:unhideWhenUsed/>
    <w:qFormat/>
    <w:rsid w:val="00901D28"/>
    <w:pPr>
      <w:keepNext/>
      <w:keepLines/>
      <w:numPr>
        <w:ilvl w:val="2"/>
        <w:numId w:val="1"/>
      </w:numPr>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iPriority w:val="9"/>
    <w:unhideWhenUsed/>
    <w:qFormat/>
    <w:rsid w:val="00901D28"/>
    <w:pPr>
      <w:keepNext/>
      <w:keepLines/>
      <w:numPr>
        <w:ilvl w:val="3"/>
        <w:numId w:val="1"/>
      </w:numPr>
      <w:spacing w:before="200" w:after="0"/>
      <w:outlineLvl w:val="3"/>
    </w:pPr>
    <w:rPr>
      <w:rFonts w:ascii="Cambria" w:eastAsia="Times New Roman" w:hAnsi="Cambria"/>
      <w:b/>
      <w:bCs/>
      <w:i/>
      <w:iCs/>
      <w:color w:val="4F81BD"/>
      <w:sz w:val="20"/>
      <w:szCs w:val="20"/>
    </w:rPr>
  </w:style>
  <w:style w:type="paragraph" w:styleId="Heading5">
    <w:name w:val="heading 5"/>
    <w:basedOn w:val="Normal"/>
    <w:next w:val="Normal"/>
    <w:link w:val="Heading5Char"/>
    <w:uiPriority w:val="9"/>
    <w:unhideWhenUsed/>
    <w:qFormat/>
    <w:rsid w:val="00901D28"/>
    <w:pPr>
      <w:keepNext/>
      <w:keepLines/>
      <w:numPr>
        <w:ilvl w:val="4"/>
        <w:numId w:val="1"/>
      </w:numPr>
      <w:spacing w:before="200" w:after="0"/>
      <w:outlineLvl w:val="4"/>
    </w:pPr>
    <w:rPr>
      <w:rFonts w:ascii="Cambria" w:eastAsia="Times New Roman" w:hAnsi="Cambria"/>
      <w:color w:val="243F60"/>
      <w:sz w:val="20"/>
      <w:szCs w:val="20"/>
    </w:rPr>
  </w:style>
  <w:style w:type="paragraph" w:styleId="Heading6">
    <w:name w:val="heading 6"/>
    <w:basedOn w:val="Normal"/>
    <w:next w:val="Normal"/>
    <w:link w:val="Heading6Char"/>
    <w:uiPriority w:val="9"/>
    <w:unhideWhenUsed/>
    <w:qFormat/>
    <w:rsid w:val="00901D28"/>
    <w:pPr>
      <w:keepNext/>
      <w:keepLines/>
      <w:numPr>
        <w:ilvl w:val="5"/>
        <w:numId w:val="1"/>
      </w:numPr>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uiPriority w:val="9"/>
    <w:unhideWhenUsed/>
    <w:qFormat/>
    <w:rsid w:val="00901D28"/>
    <w:pPr>
      <w:keepNext/>
      <w:keepLines/>
      <w:numPr>
        <w:ilvl w:val="6"/>
        <w:numId w:val="1"/>
      </w:numPr>
      <w:spacing w:before="200" w:after="0"/>
      <w:outlineLvl w:val="6"/>
    </w:pPr>
    <w:rPr>
      <w:rFonts w:ascii="Cambria" w:eastAsia="Times New Roman" w:hAnsi="Cambria"/>
      <w:i/>
      <w:iCs/>
      <w:color w:val="404040"/>
      <w:sz w:val="20"/>
      <w:szCs w:val="20"/>
    </w:rPr>
  </w:style>
  <w:style w:type="paragraph" w:styleId="Heading8">
    <w:name w:val="heading 8"/>
    <w:basedOn w:val="Normal"/>
    <w:next w:val="Normal"/>
    <w:link w:val="Heading8Char"/>
    <w:uiPriority w:val="9"/>
    <w:unhideWhenUsed/>
    <w:qFormat/>
    <w:rsid w:val="00901D28"/>
    <w:pPr>
      <w:keepNext/>
      <w:keepLines/>
      <w:numPr>
        <w:ilvl w:val="7"/>
        <w:numId w:val="1"/>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unhideWhenUsed/>
    <w:qFormat/>
    <w:rsid w:val="00901D28"/>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EH1">
    <w:name w:val="FARE_H1"/>
    <w:basedOn w:val="Heading1"/>
    <w:link w:val="FAREH1Char"/>
    <w:autoRedefine/>
    <w:qFormat/>
    <w:rsid w:val="00646317"/>
    <w:pPr>
      <w:numPr>
        <w:numId w:val="11"/>
      </w:numPr>
    </w:pPr>
    <w:rPr>
      <w:bCs w:val="0"/>
      <w:kern w:val="32"/>
      <w:szCs w:val="24"/>
      <w:lang w:val="en-US"/>
    </w:rPr>
  </w:style>
  <w:style w:type="character" w:customStyle="1" w:styleId="Heading1Char">
    <w:name w:val="Heading 1 Char"/>
    <w:aliases w:val="FARE Heading 1 Char,Heading Numbered Char"/>
    <w:link w:val="Heading1"/>
    <w:uiPriority w:val="9"/>
    <w:rsid w:val="00C2662D"/>
    <w:rPr>
      <w:rFonts w:ascii="Calibri" w:eastAsia="Times New Roman" w:hAnsi="Calibri" w:cs="Times New Roman"/>
      <w:b/>
      <w:bCs/>
      <w:noProof/>
      <w:sz w:val="44"/>
      <w:szCs w:val="44"/>
      <w:lang w:val="en-GB"/>
    </w:rPr>
  </w:style>
  <w:style w:type="character" w:customStyle="1" w:styleId="FAREH1Char">
    <w:name w:val="FARE_H1 Char"/>
    <w:link w:val="FAREH1"/>
    <w:rsid w:val="00646317"/>
    <w:rPr>
      <w:rFonts w:ascii="Calibri" w:eastAsia="Times New Roman" w:hAnsi="Calibri" w:cs="Times New Roman"/>
      <w:b/>
      <w:noProof/>
      <w:kern w:val="32"/>
      <w:sz w:val="44"/>
      <w:szCs w:val="24"/>
      <w:lang w:val="en-US"/>
    </w:rPr>
  </w:style>
  <w:style w:type="paragraph" w:customStyle="1" w:styleId="FAREH2">
    <w:name w:val="FARE_H2"/>
    <w:basedOn w:val="FAREH1"/>
    <w:link w:val="FAREH2Char"/>
    <w:qFormat/>
    <w:rsid w:val="00901D28"/>
    <w:pPr>
      <w:numPr>
        <w:ilvl w:val="1"/>
        <w:numId w:val="8"/>
      </w:numPr>
      <w:spacing w:after="120"/>
    </w:pPr>
    <w:rPr>
      <w:bCs/>
      <w:iCs/>
      <w:sz w:val="36"/>
      <w:szCs w:val="36"/>
    </w:rPr>
  </w:style>
  <w:style w:type="character" w:customStyle="1" w:styleId="Heading2Char">
    <w:name w:val="Heading 2 Char"/>
    <w:aliases w:val="FARE Heading 2 Char"/>
    <w:link w:val="Heading2"/>
    <w:uiPriority w:val="9"/>
    <w:rsid w:val="00901D28"/>
    <w:rPr>
      <w:rFonts w:ascii="Calibri" w:eastAsia="Times New Roman" w:hAnsi="Calibri" w:cs="Times New Roman"/>
      <w:b/>
      <w:bCs/>
      <w:color w:val="E41B23"/>
      <w:sz w:val="36"/>
      <w:szCs w:val="26"/>
    </w:rPr>
  </w:style>
  <w:style w:type="character" w:customStyle="1" w:styleId="FAREH2Char">
    <w:name w:val="FARE_H2 Char"/>
    <w:link w:val="FAREH2"/>
    <w:rsid w:val="00901D28"/>
    <w:rPr>
      <w:rFonts w:ascii="Calibri" w:eastAsia="Times New Roman" w:hAnsi="Calibri" w:cs="Times New Roman"/>
      <w:b/>
      <w:bCs/>
      <w:iCs/>
      <w:noProof/>
      <w:kern w:val="32"/>
      <w:sz w:val="36"/>
      <w:szCs w:val="36"/>
      <w:lang w:val="en-US"/>
    </w:rPr>
  </w:style>
  <w:style w:type="paragraph" w:customStyle="1" w:styleId="FAREH3">
    <w:name w:val="FARE_H3"/>
    <w:basedOn w:val="FAREH2"/>
    <w:next w:val="Normal"/>
    <w:link w:val="FAREH3Char"/>
    <w:qFormat/>
    <w:rsid w:val="0034684A"/>
    <w:pPr>
      <w:numPr>
        <w:ilvl w:val="2"/>
        <w:numId w:val="9"/>
      </w:numPr>
      <w:spacing w:before="280" w:line="240" w:lineRule="auto"/>
    </w:pPr>
    <w:rPr>
      <w:sz w:val="32"/>
      <w:szCs w:val="32"/>
    </w:rPr>
  </w:style>
  <w:style w:type="character" w:customStyle="1" w:styleId="FAREH3Char">
    <w:name w:val="FARE_H3 Char"/>
    <w:link w:val="FAREH3"/>
    <w:rsid w:val="0034684A"/>
    <w:rPr>
      <w:rFonts w:ascii="Calibri" w:eastAsia="Times New Roman" w:hAnsi="Calibri" w:cs="Times New Roman"/>
      <w:b/>
      <w:bCs/>
      <w:iCs/>
      <w:noProof/>
      <w:kern w:val="32"/>
      <w:sz w:val="32"/>
      <w:szCs w:val="32"/>
      <w:lang w:val="en-US"/>
    </w:rPr>
  </w:style>
  <w:style w:type="character" w:customStyle="1" w:styleId="Heading3Char">
    <w:name w:val="Heading 3 Char"/>
    <w:link w:val="Heading3"/>
    <w:uiPriority w:val="9"/>
    <w:rsid w:val="00901D28"/>
    <w:rPr>
      <w:rFonts w:ascii="Cambria" w:eastAsia="Times New Roman" w:hAnsi="Cambria" w:cs="Times New Roman"/>
      <w:b/>
      <w:bCs/>
      <w:color w:val="4F81BD"/>
      <w:sz w:val="20"/>
      <w:szCs w:val="20"/>
    </w:rPr>
  </w:style>
  <w:style w:type="character" w:customStyle="1" w:styleId="Heading4Char">
    <w:name w:val="Heading 4 Char"/>
    <w:link w:val="Heading4"/>
    <w:uiPriority w:val="9"/>
    <w:rsid w:val="00901D28"/>
    <w:rPr>
      <w:rFonts w:ascii="Cambria" w:eastAsia="Times New Roman" w:hAnsi="Cambria" w:cs="Times New Roman"/>
      <w:b/>
      <w:bCs/>
      <w:i/>
      <w:iCs/>
      <w:color w:val="4F81BD"/>
      <w:sz w:val="20"/>
      <w:szCs w:val="20"/>
    </w:rPr>
  </w:style>
  <w:style w:type="character" w:customStyle="1" w:styleId="Heading5Char">
    <w:name w:val="Heading 5 Char"/>
    <w:link w:val="Heading5"/>
    <w:uiPriority w:val="9"/>
    <w:rsid w:val="00901D28"/>
    <w:rPr>
      <w:rFonts w:ascii="Cambria" w:eastAsia="Times New Roman" w:hAnsi="Cambria" w:cs="Times New Roman"/>
      <w:color w:val="243F60"/>
      <w:sz w:val="20"/>
      <w:szCs w:val="20"/>
    </w:rPr>
  </w:style>
  <w:style w:type="character" w:customStyle="1" w:styleId="Heading6Char">
    <w:name w:val="Heading 6 Char"/>
    <w:link w:val="Heading6"/>
    <w:uiPriority w:val="9"/>
    <w:rsid w:val="00901D28"/>
    <w:rPr>
      <w:rFonts w:ascii="Cambria" w:eastAsia="Times New Roman" w:hAnsi="Cambria" w:cs="Times New Roman"/>
      <w:i/>
      <w:iCs/>
      <w:color w:val="243F60"/>
      <w:sz w:val="20"/>
      <w:szCs w:val="20"/>
    </w:rPr>
  </w:style>
  <w:style w:type="character" w:customStyle="1" w:styleId="Heading7Char">
    <w:name w:val="Heading 7 Char"/>
    <w:link w:val="Heading7"/>
    <w:uiPriority w:val="9"/>
    <w:rsid w:val="00901D28"/>
    <w:rPr>
      <w:rFonts w:ascii="Cambria" w:eastAsia="Times New Roman" w:hAnsi="Cambria" w:cs="Times New Roman"/>
      <w:i/>
      <w:iCs/>
      <w:color w:val="404040"/>
      <w:sz w:val="20"/>
      <w:szCs w:val="20"/>
    </w:rPr>
  </w:style>
  <w:style w:type="character" w:customStyle="1" w:styleId="Heading8Char">
    <w:name w:val="Heading 8 Char"/>
    <w:link w:val="Heading8"/>
    <w:uiPriority w:val="9"/>
    <w:rsid w:val="00901D28"/>
    <w:rPr>
      <w:rFonts w:ascii="Cambria" w:eastAsia="Times New Roman" w:hAnsi="Cambria" w:cs="Times New Roman"/>
      <w:color w:val="404040"/>
      <w:sz w:val="20"/>
      <w:szCs w:val="20"/>
    </w:rPr>
  </w:style>
  <w:style w:type="character" w:customStyle="1" w:styleId="Heading9Char">
    <w:name w:val="Heading 9 Char"/>
    <w:link w:val="Heading9"/>
    <w:uiPriority w:val="9"/>
    <w:rsid w:val="00901D28"/>
    <w:rPr>
      <w:rFonts w:ascii="Cambria" w:eastAsia="Times New Roman" w:hAnsi="Cambria" w:cs="Times New Roman"/>
      <w:i/>
      <w:iCs/>
      <w:color w:val="404040"/>
      <w:sz w:val="20"/>
      <w:szCs w:val="20"/>
    </w:rPr>
  </w:style>
  <w:style w:type="character" w:styleId="Strong">
    <w:name w:val="Strong"/>
    <w:uiPriority w:val="22"/>
    <w:qFormat/>
    <w:rsid w:val="00901D28"/>
  </w:style>
  <w:style w:type="character" w:styleId="CommentReference">
    <w:name w:val="annotation reference"/>
    <w:uiPriority w:val="99"/>
    <w:semiHidden/>
    <w:unhideWhenUsed/>
    <w:rsid w:val="00901D28"/>
    <w:rPr>
      <w:sz w:val="16"/>
      <w:szCs w:val="16"/>
    </w:rPr>
  </w:style>
  <w:style w:type="paragraph" w:styleId="CommentText">
    <w:name w:val="annotation text"/>
    <w:basedOn w:val="Normal"/>
    <w:link w:val="CommentTextChar"/>
    <w:uiPriority w:val="99"/>
    <w:unhideWhenUsed/>
    <w:rsid w:val="00901D28"/>
    <w:rPr>
      <w:sz w:val="20"/>
      <w:szCs w:val="20"/>
    </w:rPr>
  </w:style>
  <w:style w:type="character" w:customStyle="1" w:styleId="CommentTextChar">
    <w:name w:val="Comment Text Char"/>
    <w:link w:val="CommentText"/>
    <w:uiPriority w:val="99"/>
    <w:rsid w:val="00901D28"/>
    <w:rPr>
      <w:rFonts w:ascii="Calibri" w:eastAsia="Calibri" w:hAnsi="Calibri" w:cs="Times New Roman"/>
      <w:sz w:val="20"/>
      <w:szCs w:val="20"/>
    </w:rPr>
  </w:style>
  <w:style w:type="paragraph" w:customStyle="1" w:styleId="FAREnormaltext">
    <w:name w:val="FARE_normal text"/>
    <w:basedOn w:val="Normal"/>
    <w:link w:val="FAREnormaltextChar"/>
    <w:qFormat/>
    <w:rsid w:val="00A539EC"/>
    <w:pPr>
      <w:jc w:val="both"/>
    </w:pPr>
    <w:rPr>
      <w:lang w:val="en-GB"/>
    </w:rPr>
  </w:style>
  <w:style w:type="character" w:customStyle="1" w:styleId="FAREnormaltextChar">
    <w:name w:val="FARE_normal text Char"/>
    <w:link w:val="FAREnormaltext"/>
    <w:rsid w:val="00A539EC"/>
    <w:rPr>
      <w:rFonts w:ascii="Calibri" w:eastAsia="Calibri" w:hAnsi="Calibri" w:cs="Times New Roman"/>
      <w:lang w:val="en-GB"/>
    </w:rPr>
  </w:style>
  <w:style w:type="character" w:styleId="Emphasis">
    <w:name w:val="Emphasis"/>
    <w:aliases w:val="FARE_Figures"/>
    <w:uiPriority w:val="20"/>
    <w:qFormat/>
    <w:rsid w:val="00901D28"/>
  </w:style>
  <w:style w:type="paragraph" w:customStyle="1" w:styleId="FAREH4">
    <w:name w:val="FARE H_4"/>
    <w:basedOn w:val="FAREH3"/>
    <w:link w:val="FAREH4Char"/>
    <w:qFormat/>
    <w:rsid w:val="00901D28"/>
    <w:rPr>
      <w:sz w:val="28"/>
      <w:szCs w:val="28"/>
    </w:rPr>
  </w:style>
  <w:style w:type="character" w:customStyle="1" w:styleId="FAREH4Char">
    <w:name w:val="FARE H_4 Char"/>
    <w:link w:val="FAREH4"/>
    <w:rsid w:val="00901D28"/>
    <w:rPr>
      <w:rFonts w:ascii="Calibri" w:eastAsia="Times New Roman" w:hAnsi="Calibri" w:cs="Times New Roman"/>
      <w:b/>
      <w:bCs/>
      <w:iCs/>
      <w:noProof/>
      <w:kern w:val="32"/>
      <w:sz w:val="28"/>
      <w:szCs w:val="28"/>
      <w:lang w:val="en-US"/>
    </w:rPr>
  </w:style>
  <w:style w:type="paragraph" w:styleId="BalloonText">
    <w:name w:val="Balloon Text"/>
    <w:basedOn w:val="Normal"/>
    <w:link w:val="BalloonTextChar"/>
    <w:uiPriority w:val="99"/>
    <w:semiHidden/>
    <w:unhideWhenUsed/>
    <w:rsid w:val="00901D28"/>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1D28"/>
    <w:rPr>
      <w:rFonts w:ascii="Tahoma" w:eastAsia="Calibri" w:hAnsi="Tahoma" w:cs="Times New Roman"/>
      <w:sz w:val="16"/>
      <w:szCs w:val="16"/>
    </w:rPr>
  </w:style>
  <w:style w:type="paragraph" w:styleId="Subtitle">
    <w:name w:val="Subtitle"/>
    <w:aliases w:val="FARE Heading 4"/>
    <w:basedOn w:val="Normal"/>
    <w:next w:val="Normal"/>
    <w:link w:val="SubtitleChar"/>
    <w:uiPriority w:val="11"/>
    <w:qFormat/>
    <w:rsid w:val="00901D28"/>
    <w:pPr>
      <w:numPr>
        <w:ilvl w:val="1"/>
      </w:numPr>
      <w:spacing w:before="200" w:after="0"/>
    </w:pPr>
    <w:rPr>
      <w:rFonts w:eastAsia="Times New Roman"/>
      <w:iCs/>
      <w:color w:val="E41B23"/>
      <w:spacing w:val="15"/>
      <w:sz w:val="28"/>
      <w:szCs w:val="24"/>
    </w:rPr>
  </w:style>
  <w:style w:type="character" w:customStyle="1" w:styleId="SubtitleChar">
    <w:name w:val="Subtitle Char"/>
    <w:aliases w:val="FARE Heading 4 Char"/>
    <w:link w:val="Subtitle"/>
    <w:uiPriority w:val="11"/>
    <w:rsid w:val="00901D28"/>
    <w:rPr>
      <w:rFonts w:ascii="Calibri" w:eastAsia="Times New Roman" w:hAnsi="Calibri" w:cs="Times New Roman"/>
      <w:iCs/>
      <w:color w:val="E41B23"/>
      <w:spacing w:val="15"/>
      <w:sz w:val="28"/>
      <w:szCs w:val="24"/>
    </w:rPr>
  </w:style>
  <w:style w:type="paragraph" w:styleId="NoSpacing">
    <w:name w:val="No Spacing"/>
    <w:link w:val="NoSpacingChar"/>
    <w:uiPriority w:val="1"/>
    <w:qFormat/>
    <w:rsid w:val="00901D28"/>
    <w:pPr>
      <w:spacing w:after="0"/>
      <w:ind w:left="0" w:firstLine="0"/>
      <w:jc w:val="left"/>
    </w:pPr>
    <w:rPr>
      <w:rFonts w:ascii="Calibri" w:eastAsia="Calibri" w:hAnsi="Calibri" w:cs="Times New Roman"/>
      <w:lang w:eastAsia="en-AU"/>
    </w:rPr>
  </w:style>
  <w:style w:type="character" w:customStyle="1" w:styleId="NoSpacingChar">
    <w:name w:val="No Spacing Char"/>
    <w:link w:val="NoSpacing"/>
    <w:uiPriority w:val="1"/>
    <w:rsid w:val="00901D28"/>
    <w:rPr>
      <w:rFonts w:ascii="Calibri" w:eastAsia="Calibri" w:hAnsi="Calibri" w:cs="Times New Roman"/>
      <w:lang w:eastAsia="en-AU"/>
    </w:rPr>
  </w:style>
  <w:style w:type="paragraph" w:customStyle="1" w:styleId="FARETableStyle1">
    <w:name w:val="FARE Table Style1"/>
    <w:basedOn w:val="Normal"/>
    <w:link w:val="FARETableStyle1Char"/>
    <w:autoRedefine/>
    <w:qFormat/>
    <w:rsid w:val="00A126E3"/>
    <w:pPr>
      <w:spacing w:after="0" w:line="240" w:lineRule="auto"/>
    </w:pPr>
    <w:rPr>
      <w:rFonts w:eastAsia="Times New Roman"/>
      <w:b/>
      <w:lang w:eastAsia="en-AU"/>
    </w:rPr>
  </w:style>
  <w:style w:type="character" w:customStyle="1" w:styleId="FARETableStyle1Char">
    <w:name w:val="FARE Table Style1 Char"/>
    <w:link w:val="FARETableStyle1"/>
    <w:rsid w:val="00A126E3"/>
    <w:rPr>
      <w:rFonts w:ascii="Calibri" w:eastAsia="Times New Roman" w:hAnsi="Calibri" w:cs="Times New Roman"/>
      <w:b/>
      <w:lang w:eastAsia="en-AU"/>
    </w:rPr>
  </w:style>
  <w:style w:type="paragraph" w:styleId="Caption">
    <w:name w:val="caption"/>
    <w:basedOn w:val="Normal"/>
    <w:next w:val="Normal"/>
    <w:uiPriority w:val="35"/>
    <w:unhideWhenUsed/>
    <w:qFormat/>
    <w:rsid w:val="00901D28"/>
    <w:pPr>
      <w:spacing w:line="240" w:lineRule="auto"/>
    </w:pPr>
    <w:rPr>
      <w:b/>
      <w:bCs/>
      <w:color w:val="4F81BD"/>
      <w:sz w:val="18"/>
      <w:szCs w:val="18"/>
    </w:rPr>
  </w:style>
  <w:style w:type="character" w:styleId="SubtleEmphasis">
    <w:name w:val="Subtle Emphasis"/>
    <w:aliases w:val="Table foot note"/>
    <w:uiPriority w:val="19"/>
    <w:qFormat/>
    <w:rsid w:val="00901D28"/>
    <w:rPr>
      <w:sz w:val="20"/>
      <w:szCs w:val="20"/>
    </w:rPr>
  </w:style>
  <w:style w:type="paragraph" w:customStyle="1" w:styleId="FAREtableheading">
    <w:name w:val="FARE_table heading"/>
    <w:basedOn w:val="NoSpacing"/>
    <w:link w:val="FAREtableheadingChar"/>
    <w:qFormat/>
    <w:rsid w:val="00A126E3"/>
    <w:pPr>
      <w:spacing w:after="200" w:line="276" w:lineRule="auto"/>
    </w:pPr>
    <w:rPr>
      <w:b/>
      <w:lang w:val="en-GB"/>
    </w:rPr>
  </w:style>
  <w:style w:type="character" w:customStyle="1" w:styleId="FAREtableheadingChar">
    <w:name w:val="FARE_table heading Char"/>
    <w:link w:val="FAREtableheading"/>
    <w:rsid w:val="00A126E3"/>
    <w:rPr>
      <w:rFonts w:ascii="Calibri" w:eastAsia="Calibri" w:hAnsi="Calibri" w:cs="Times New Roman"/>
      <w:b/>
      <w:lang w:val="en-GB" w:eastAsia="en-AU"/>
    </w:rPr>
  </w:style>
  <w:style w:type="paragraph" w:customStyle="1" w:styleId="FAREHeading3">
    <w:name w:val="FARE Heading 3"/>
    <w:basedOn w:val="FAREH3"/>
    <w:next w:val="FAREnormaltext"/>
    <w:link w:val="FAREHeading3Char"/>
    <w:qFormat/>
    <w:rsid w:val="00901D28"/>
    <w:rPr>
      <w:rFonts w:eastAsia="Calibri"/>
      <w:bCs w:val="0"/>
      <w:iCs w:val="0"/>
      <w:kern w:val="0"/>
    </w:rPr>
  </w:style>
  <w:style w:type="paragraph" w:styleId="TOCHeading">
    <w:name w:val="TOC Heading"/>
    <w:basedOn w:val="Heading1"/>
    <w:next w:val="Normal"/>
    <w:uiPriority w:val="39"/>
    <w:unhideWhenUsed/>
    <w:qFormat/>
    <w:rsid w:val="00901D28"/>
    <w:pPr>
      <w:numPr>
        <w:numId w:val="0"/>
      </w:numPr>
      <w:spacing w:before="480" w:after="0"/>
      <w:outlineLvl w:val="9"/>
    </w:pPr>
    <w:rPr>
      <w:rFonts w:ascii="Cambria" w:hAnsi="Cambria"/>
      <w:color w:val="365F91"/>
      <w:sz w:val="28"/>
      <w:lang w:val="en-US"/>
    </w:rPr>
  </w:style>
  <w:style w:type="character" w:customStyle="1" w:styleId="FAREHeading3Char">
    <w:name w:val="FARE Heading 3 Char"/>
    <w:link w:val="FAREHeading3"/>
    <w:rsid w:val="00901D28"/>
    <w:rPr>
      <w:rFonts w:ascii="Calibri" w:eastAsia="Calibri" w:hAnsi="Calibri" w:cs="Times New Roman"/>
      <w:b/>
      <w:noProof/>
      <w:sz w:val="32"/>
      <w:szCs w:val="32"/>
      <w:lang w:val="en-US"/>
    </w:rPr>
  </w:style>
  <w:style w:type="paragraph" w:styleId="TOC1">
    <w:name w:val="toc 1"/>
    <w:basedOn w:val="Normal"/>
    <w:next w:val="Normal"/>
    <w:autoRedefine/>
    <w:uiPriority w:val="39"/>
    <w:unhideWhenUsed/>
    <w:qFormat/>
    <w:rsid w:val="00901D28"/>
    <w:pPr>
      <w:tabs>
        <w:tab w:val="right" w:leader="dot" w:pos="9016"/>
      </w:tabs>
      <w:spacing w:after="100"/>
    </w:pPr>
    <w:rPr>
      <w:b/>
      <w:noProof/>
    </w:rPr>
  </w:style>
  <w:style w:type="paragraph" w:styleId="TOC2">
    <w:name w:val="toc 2"/>
    <w:basedOn w:val="Normal"/>
    <w:next w:val="Normal"/>
    <w:autoRedefine/>
    <w:uiPriority w:val="39"/>
    <w:unhideWhenUsed/>
    <w:qFormat/>
    <w:rsid w:val="00901D28"/>
    <w:pPr>
      <w:tabs>
        <w:tab w:val="right" w:leader="dot" w:pos="9016"/>
      </w:tabs>
      <w:spacing w:after="100"/>
      <w:ind w:left="221"/>
    </w:pPr>
  </w:style>
  <w:style w:type="character" w:styleId="Hyperlink">
    <w:name w:val="Hyperlink"/>
    <w:uiPriority w:val="99"/>
    <w:unhideWhenUsed/>
    <w:rsid w:val="00901D28"/>
    <w:rPr>
      <w:color w:val="0000FF"/>
      <w:u w:val="single"/>
    </w:rPr>
  </w:style>
  <w:style w:type="paragraph" w:styleId="FootnoteText">
    <w:name w:val="footnote text"/>
    <w:basedOn w:val="Normal"/>
    <w:link w:val="FootnoteTextChar"/>
    <w:uiPriority w:val="99"/>
    <w:unhideWhenUsed/>
    <w:rsid w:val="00901D28"/>
    <w:rPr>
      <w:sz w:val="20"/>
      <w:szCs w:val="20"/>
    </w:rPr>
  </w:style>
  <w:style w:type="character" w:customStyle="1" w:styleId="FootnoteTextChar">
    <w:name w:val="Footnote Text Char"/>
    <w:link w:val="FootnoteText"/>
    <w:uiPriority w:val="99"/>
    <w:rsid w:val="00901D28"/>
    <w:rPr>
      <w:rFonts w:ascii="Calibri" w:eastAsia="Calibri" w:hAnsi="Calibri" w:cs="Times New Roman"/>
      <w:sz w:val="20"/>
      <w:szCs w:val="20"/>
    </w:rPr>
  </w:style>
  <w:style w:type="character" w:styleId="FootnoteReference">
    <w:name w:val="footnote reference"/>
    <w:uiPriority w:val="99"/>
    <w:unhideWhenUsed/>
    <w:rsid w:val="00901D28"/>
    <w:rPr>
      <w:vertAlign w:val="superscript"/>
    </w:rPr>
  </w:style>
  <w:style w:type="paragraph" w:customStyle="1" w:styleId="FAREH5">
    <w:name w:val="FARE H_5"/>
    <w:basedOn w:val="FAREH4"/>
    <w:link w:val="FAREH5Char"/>
    <w:qFormat/>
    <w:rsid w:val="00901D28"/>
    <w:rPr>
      <w:rFonts w:eastAsia="Calibri"/>
      <w:bCs w:val="0"/>
      <w:iCs w:val="0"/>
      <w:kern w:val="0"/>
      <w:sz w:val="24"/>
      <w:szCs w:val="24"/>
    </w:rPr>
  </w:style>
  <w:style w:type="character" w:customStyle="1" w:styleId="FAREH5Char">
    <w:name w:val="FARE H_5 Char"/>
    <w:link w:val="FAREH5"/>
    <w:rsid w:val="00901D28"/>
    <w:rPr>
      <w:rFonts w:ascii="Calibri" w:eastAsia="Calibri" w:hAnsi="Calibri" w:cs="Times New Roman"/>
      <w:b/>
      <w:noProof/>
      <w:sz w:val="24"/>
      <w:szCs w:val="24"/>
      <w:lang w:val="en-US"/>
    </w:rPr>
  </w:style>
  <w:style w:type="paragraph" w:styleId="Header">
    <w:name w:val="header"/>
    <w:basedOn w:val="Normal"/>
    <w:link w:val="HeaderChar"/>
    <w:uiPriority w:val="99"/>
    <w:unhideWhenUsed/>
    <w:rsid w:val="00901D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1D28"/>
    <w:rPr>
      <w:rFonts w:ascii="Calibri" w:eastAsia="Calibri" w:hAnsi="Calibri" w:cs="Times New Roman"/>
    </w:rPr>
  </w:style>
  <w:style w:type="paragraph" w:styleId="Footer">
    <w:name w:val="footer"/>
    <w:basedOn w:val="Normal"/>
    <w:link w:val="FooterChar"/>
    <w:uiPriority w:val="99"/>
    <w:unhideWhenUsed/>
    <w:rsid w:val="00901D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1D28"/>
    <w:rPr>
      <w:rFonts w:ascii="Calibri" w:eastAsia="Calibri" w:hAnsi="Calibri" w:cs="Times New Roman"/>
    </w:rPr>
  </w:style>
  <w:style w:type="paragraph" w:styleId="TOC3">
    <w:name w:val="toc 3"/>
    <w:basedOn w:val="Normal"/>
    <w:next w:val="Normal"/>
    <w:autoRedefine/>
    <w:uiPriority w:val="39"/>
    <w:unhideWhenUsed/>
    <w:qFormat/>
    <w:rsid w:val="00901D28"/>
    <w:pPr>
      <w:spacing w:after="100"/>
      <w:ind w:left="440"/>
    </w:pPr>
    <w:rPr>
      <w:rFonts w:eastAsia="Times New Roman"/>
      <w:lang w:val="en-US"/>
    </w:rPr>
  </w:style>
  <w:style w:type="table" w:styleId="TableGrid">
    <w:name w:val="Table Grid"/>
    <w:basedOn w:val="TableNormal"/>
    <w:uiPriority w:val="59"/>
    <w:rsid w:val="00901D28"/>
    <w:pPr>
      <w:spacing w:after="0"/>
      <w:ind w:left="0" w:firstLine="0"/>
      <w:jc w:val="left"/>
    </w:pPr>
    <w:rPr>
      <w:rFonts w:ascii="Calibri" w:eastAsia="Calibri" w:hAnsi="Calibri" w:cs="Times New Roman"/>
      <w:sz w:val="20"/>
      <w:szCs w:val="20"/>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901D28"/>
    <w:rPr>
      <w:b/>
      <w:bCs/>
    </w:rPr>
  </w:style>
  <w:style w:type="character" w:customStyle="1" w:styleId="CommentSubjectChar">
    <w:name w:val="Comment Subject Char"/>
    <w:link w:val="CommentSubject"/>
    <w:uiPriority w:val="99"/>
    <w:semiHidden/>
    <w:rsid w:val="00901D28"/>
    <w:rPr>
      <w:rFonts w:ascii="Calibri" w:eastAsia="Calibri" w:hAnsi="Calibri" w:cs="Times New Roman"/>
      <w:b/>
      <w:bCs/>
      <w:sz w:val="20"/>
      <w:szCs w:val="20"/>
    </w:rPr>
  </w:style>
  <w:style w:type="paragraph" w:styleId="ListParagraph">
    <w:name w:val="List Paragraph"/>
    <w:basedOn w:val="Normal"/>
    <w:link w:val="ListParagraphChar"/>
    <w:uiPriority w:val="34"/>
    <w:qFormat/>
    <w:rsid w:val="00901D28"/>
    <w:pPr>
      <w:spacing w:before="120" w:line="360" w:lineRule="auto"/>
      <w:ind w:left="720"/>
      <w:contextualSpacing/>
    </w:pPr>
    <w:rPr>
      <w:rFonts w:ascii="Times New Roman" w:hAnsi="Times New Roman"/>
      <w:sz w:val="24"/>
    </w:rPr>
  </w:style>
  <w:style w:type="numbering" w:customStyle="1" w:styleId="Style1">
    <w:name w:val="Style1"/>
    <w:uiPriority w:val="99"/>
    <w:rsid w:val="00901D28"/>
    <w:pPr>
      <w:numPr>
        <w:numId w:val="2"/>
      </w:numPr>
    </w:pPr>
  </w:style>
  <w:style w:type="paragraph" w:customStyle="1" w:styleId="TPReferences">
    <w:name w:val="TP_References"/>
    <w:basedOn w:val="Normal"/>
    <w:rsid w:val="00901D28"/>
    <w:pPr>
      <w:widowControl w:val="0"/>
      <w:autoSpaceDE w:val="0"/>
      <w:autoSpaceDN w:val="0"/>
      <w:adjustRightInd w:val="0"/>
      <w:spacing w:after="240" w:line="240" w:lineRule="auto"/>
      <w:ind w:left="720" w:hanging="720"/>
    </w:pPr>
    <w:rPr>
      <w:rFonts w:ascii="Arial" w:hAnsi="Arial" w:cs="Arial"/>
      <w:bCs/>
      <w:sz w:val="20"/>
      <w:szCs w:val="20"/>
    </w:rPr>
  </w:style>
  <w:style w:type="paragraph" w:customStyle="1" w:styleId="HTO2heading1">
    <w:name w:val="HTO2 heading 1"/>
    <w:basedOn w:val="Heading1"/>
    <w:rsid w:val="00901D28"/>
    <w:pPr>
      <w:keepLines w:val="0"/>
      <w:numPr>
        <w:numId w:val="0"/>
      </w:numPr>
    </w:pPr>
    <w:rPr>
      <w:color w:val="FF0000"/>
      <w:kern w:val="32"/>
      <w:szCs w:val="24"/>
      <w:lang w:val="en-US" w:eastAsia="en-AU"/>
    </w:rPr>
  </w:style>
  <w:style w:type="paragraph" w:customStyle="1" w:styleId="HTO2heading2">
    <w:name w:val="HTO2 heading 2"/>
    <w:basedOn w:val="Heading2"/>
    <w:qFormat/>
    <w:rsid w:val="00901D28"/>
    <w:pPr>
      <w:numPr>
        <w:ilvl w:val="0"/>
        <w:numId w:val="0"/>
      </w:numPr>
    </w:pPr>
    <w:rPr>
      <w:kern w:val="32"/>
      <w:szCs w:val="36"/>
      <w:lang w:val="en-US" w:eastAsia="en-AU"/>
    </w:rPr>
  </w:style>
  <w:style w:type="paragraph" w:customStyle="1" w:styleId="HTO2heading3">
    <w:name w:val="HTO2 heading 3"/>
    <w:basedOn w:val="Heading3"/>
    <w:qFormat/>
    <w:rsid w:val="00901D28"/>
    <w:pPr>
      <w:numPr>
        <w:ilvl w:val="0"/>
        <w:numId w:val="0"/>
      </w:numPr>
      <w:spacing w:before="300" w:after="170" w:line="280" w:lineRule="exact"/>
    </w:pPr>
    <w:rPr>
      <w:rFonts w:ascii="Calibri" w:hAnsi="Calibri"/>
      <w:b w:val="0"/>
      <w:caps/>
      <w:color w:val="FF0000"/>
      <w:sz w:val="28"/>
      <w:szCs w:val="24"/>
      <w:lang w:val="en-US"/>
    </w:rPr>
  </w:style>
  <w:style w:type="paragraph" w:customStyle="1" w:styleId="NumberedList">
    <w:name w:val="Numbered List"/>
    <w:next w:val="Normal"/>
    <w:link w:val="NumberedListChar"/>
    <w:qFormat/>
    <w:rsid w:val="00901D28"/>
    <w:pPr>
      <w:numPr>
        <w:numId w:val="3"/>
      </w:numPr>
      <w:spacing w:after="0"/>
    </w:pPr>
    <w:rPr>
      <w:rFonts w:ascii="Calibri" w:eastAsia="Cambria" w:hAnsi="Calibri" w:cs="Times New Roman"/>
      <w:color w:val="939497"/>
      <w:sz w:val="20"/>
      <w:szCs w:val="24"/>
      <w:lang w:val="en-US" w:eastAsia="en-AU"/>
    </w:rPr>
  </w:style>
  <w:style w:type="character" w:customStyle="1" w:styleId="NumberedListChar">
    <w:name w:val="Numbered List Char"/>
    <w:link w:val="NumberedList"/>
    <w:rsid w:val="00901D28"/>
    <w:rPr>
      <w:rFonts w:ascii="Calibri" w:eastAsia="Cambria" w:hAnsi="Calibri" w:cs="Times New Roman"/>
      <w:color w:val="939497"/>
      <w:sz w:val="20"/>
      <w:szCs w:val="24"/>
      <w:lang w:val="en-US" w:eastAsia="en-AU"/>
    </w:rPr>
  </w:style>
  <w:style w:type="character" w:customStyle="1" w:styleId="st1">
    <w:name w:val="st1"/>
    <w:basedOn w:val="DefaultParagraphFont"/>
    <w:rsid w:val="00901D28"/>
  </w:style>
  <w:style w:type="paragraph" w:customStyle="1" w:styleId="CoverPageText">
    <w:name w:val="Cover Page Text"/>
    <w:qFormat/>
    <w:rsid w:val="00901D28"/>
    <w:pPr>
      <w:spacing w:after="0" w:line="480" w:lineRule="exact"/>
      <w:ind w:left="0" w:firstLine="0"/>
      <w:jc w:val="right"/>
    </w:pPr>
    <w:rPr>
      <w:rFonts w:ascii="Calibri" w:eastAsia="Cambria" w:hAnsi="Calibri" w:cs="Times New Roman"/>
      <w:sz w:val="32"/>
      <w:szCs w:val="24"/>
      <w:lang w:val="en-US"/>
    </w:rPr>
  </w:style>
  <w:style w:type="paragraph" w:customStyle="1" w:styleId="TPparagraph">
    <w:name w:val="TP_paragraph"/>
    <w:link w:val="TPparagraphChar"/>
    <w:rsid w:val="00901D28"/>
    <w:pPr>
      <w:spacing w:before="80" w:after="200" w:line="276" w:lineRule="auto"/>
      <w:ind w:left="0" w:firstLine="0"/>
    </w:pPr>
    <w:rPr>
      <w:rFonts w:ascii="Arial" w:eastAsia="Calibri" w:hAnsi="Arial" w:cs="Arial"/>
      <w:lang w:eastAsia="en-AU"/>
    </w:rPr>
  </w:style>
  <w:style w:type="character" w:customStyle="1" w:styleId="TPparagraphChar">
    <w:name w:val="TP_paragraph Char"/>
    <w:link w:val="TPparagraph"/>
    <w:locked/>
    <w:rsid w:val="00901D28"/>
    <w:rPr>
      <w:rFonts w:ascii="Arial" w:eastAsia="Calibri" w:hAnsi="Arial" w:cs="Arial"/>
      <w:lang w:eastAsia="en-AU"/>
    </w:rPr>
  </w:style>
  <w:style w:type="paragraph" w:styleId="TableofFigures">
    <w:name w:val="table of figures"/>
    <w:basedOn w:val="Normal"/>
    <w:next w:val="Normal"/>
    <w:uiPriority w:val="99"/>
    <w:unhideWhenUsed/>
    <w:rsid w:val="00901D28"/>
  </w:style>
  <w:style w:type="paragraph" w:customStyle="1" w:styleId="TPFootnotetext">
    <w:name w:val="TP_Footnote text"/>
    <w:basedOn w:val="FootnoteText"/>
    <w:link w:val="TPFootnotetextChar"/>
    <w:rsid w:val="00901D28"/>
    <w:pPr>
      <w:keepLines/>
      <w:spacing w:after="240" w:line="240" w:lineRule="auto"/>
      <w:ind w:left="284" w:hanging="284"/>
      <w:contextualSpacing/>
    </w:pPr>
    <w:rPr>
      <w:rFonts w:ascii="Arial Narrow" w:hAnsi="Arial Narrow"/>
      <w:color w:val="000000"/>
      <w:sz w:val="18"/>
    </w:rPr>
  </w:style>
  <w:style w:type="character" w:customStyle="1" w:styleId="TPFootnotetextChar">
    <w:name w:val="TP_Footnote text Char"/>
    <w:link w:val="TPFootnotetext"/>
    <w:locked/>
    <w:rsid w:val="00901D28"/>
    <w:rPr>
      <w:rFonts w:ascii="Arial Narrow" w:eastAsia="Calibri" w:hAnsi="Arial Narrow" w:cs="Times New Roman"/>
      <w:color w:val="000000"/>
      <w:sz w:val="18"/>
      <w:szCs w:val="20"/>
    </w:rPr>
  </w:style>
  <w:style w:type="paragraph" w:styleId="Revision">
    <w:name w:val="Revision"/>
    <w:hidden/>
    <w:uiPriority w:val="99"/>
    <w:semiHidden/>
    <w:rsid w:val="00901D28"/>
    <w:pPr>
      <w:spacing w:after="0"/>
      <w:ind w:left="0" w:firstLine="0"/>
      <w:jc w:val="left"/>
    </w:pPr>
    <w:rPr>
      <w:rFonts w:ascii="Calibri" w:eastAsia="Calibri" w:hAnsi="Calibri" w:cs="Times New Roman"/>
    </w:rPr>
  </w:style>
  <w:style w:type="paragraph" w:customStyle="1" w:styleId="FooterText">
    <w:name w:val="Footer Text"/>
    <w:qFormat/>
    <w:rsid w:val="00901D28"/>
    <w:pPr>
      <w:spacing w:after="0" w:line="160" w:lineRule="exact"/>
      <w:ind w:left="0" w:firstLine="0"/>
      <w:jc w:val="right"/>
    </w:pPr>
    <w:rPr>
      <w:rFonts w:ascii="Calibri" w:eastAsia="Cambria" w:hAnsi="Calibri" w:cs="Times New Roman"/>
      <w:caps/>
      <w:color w:val="939497"/>
      <w:sz w:val="17"/>
      <w:szCs w:val="24"/>
      <w:lang w:val="en-US"/>
    </w:rPr>
  </w:style>
  <w:style w:type="paragraph" w:styleId="NormalWeb">
    <w:name w:val="Normal (Web)"/>
    <w:basedOn w:val="Normal"/>
    <w:uiPriority w:val="99"/>
    <w:unhideWhenUsed/>
    <w:rsid w:val="00901D28"/>
    <w:pPr>
      <w:spacing w:before="100" w:beforeAutospacing="1" w:after="100" w:afterAutospacing="1" w:line="240" w:lineRule="auto"/>
    </w:pPr>
    <w:rPr>
      <w:rFonts w:ascii="Times New Roman" w:eastAsia="Times New Roman" w:hAnsi="Times New Roman"/>
      <w:sz w:val="24"/>
      <w:szCs w:val="24"/>
      <w:lang w:eastAsia="en-AU"/>
    </w:rPr>
  </w:style>
  <w:style w:type="paragraph" w:customStyle="1" w:styleId="FAREdotpoint">
    <w:name w:val="FARE_dot point"/>
    <w:basedOn w:val="Normal"/>
    <w:link w:val="FAREdotpointChar"/>
    <w:qFormat/>
    <w:rsid w:val="00901D28"/>
    <w:pPr>
      <w:numPr>
        <w:numId w:val="10"/>
      </w:numPr>
      <w:spacing w:after="170" w:line="280" w:lineRule="exact"/>
      <w:jc w:val="both"/>
    </w:pPr>
    <w:rPr>
      <w:sz w:val="20"/>
      <w:szCs w:val="20"/>
    </w:rPr>
  </w:style>
  <w:style w:type="character" w:customStyle="1" w:styleId="FAREdotpointChar">
    <w:name w:val="FARE_dot point Char"/>
    <w:link w:val="FAREdotpoint"/>
    <w:rsid w:val="00901D28"/>
    <w:rPr>
      <w:rFonts w:ascii="Calibri" w:eastAsia="Calibri" w:hAnsi="Calibri" w:cs="Times New Roman"/>
      <w:sz w:val="20"/>
      <w:szCs w:val="20"/>
    </w:rPr>
  </w:style>
  <w:style w:type="paragraph" w:styleId="TOC4">
    <w:name w:val="toc 4"/>
    <w:basedOn w:val="Normal"/>
    <w:next w:val="Normal"/>
    <w:autoRedefine/>
    <w:uiPriority w:val="39"/>
    <w:unhideWhenUsed/>
    <w:rsid w:val="00901D28"/>
    <w:pPr>
      <w:spacing w:after="100"/>
      <w:ind w:left="660"/>
    </w:pPr>
    <w:rPr>
      <w:rFonts w:eastAsia="Times New Roman"/>
      <w:lang w:eastAsia="en-AU"/>
    </w:rPr>
  </w:style>
  <w:style w:type="paragraph" w:styleId="TOC5">
    <w:name w:val="toc 5"/>
    <w:basedOn w:val="Normal"/>
    <w:next w:val="Normal"/>
    <w:autoRedefine/>
    <w:uiPriority w:val="39"/>
    <w:unhideWhenUsed/>
    <w:rsid w:val="00901D28"/>
    <w:pPr>
      <w:spacing w:after="100"/>
      <w:ind w:left="880"/>
    </w:pPr>
    <w:rPr>
      <w:rFonts w:eastAsia="Times New Roman"/>
      <w:lang w:eastAsia="en-AU"/>
    </w:rPr>
  </w:style>
  <w:style w:type="paragraph" w:styleId="TOC6">
    <w:name w:val="toc 6"/>
    <w:basedOn w:val="Normal"/>
    <w:next w:val="Normal"/>
    <w:autoRedefine/>
    <w:uiPriority w:val="39"/>
    <w:unhideWhenUsed/>
    <w:rsid w:val="00901D28"/>
    <w:pPr>
      <w:spacing w:after="100"/>
      <w:ind w:left="1100"/>
    </w:pPr>
    <w:rPr>
      <w:rFonts w:eastAsia="Times New Roman"/>
      <w:lang w:eastAsia="en-AU"/>
    </w:rPr>
  </w:style>
  <w:style w:type="paragraph" w:styleId="TOC7">
    <w:name w:val="toc 7"/>
    <w:basedOn w:val="Normal"/>
    <w:next w:val="Normal"/>
    <w:autoRedefine/>
    <w:uiPriority w:val="39"/>
    <w:unhideWhenUsed/>
    <w:rsid w:val="00901D28"/>
    <w:pPr>
      <w:spacing w:after="100"/>
      <w:ind w:left="1320"/>
    </w:pPr>
    <w:rPr>
      <w:rFonts w:eastAsia="Times New Roman"/>
      <w:lang w:eastAsia="en-AU"/>
    </w:rPr>
  </w:style>
  <w:style w:type="paragraph" w:styleId="TOC8">
    <w:name w:val="toc 8"/>
    <w:basedOn w:val="Normal"/>
    <w:next w:val="Normal"/>
    <w:autoRedefine/>
    <w:uiPriority w:val="39"/>
    <w:unhideWhenUsed/>
    <w:rsid w:val="00901D28"/>
    <w:pPr>
      <w:spacing w:after="100"/>
      <w:ind w:left="1540"/>
    </w:pPr>
    <w:rPr>
      <w:rFonts w:eastAsia="Times New Roman"/>
      <w:lang w:eastAsia="en-AU"/>
    </w:rPr>
  </w:style>
  <w:style w:type="paragraph" w:styleId="TOC9">
    <w:name w:val="toc 9"/>
    <w:basedOn w:val="Normal"/>
    <w:next w:val="Normal"/>
    <w:autoRedefine/>
    <w:uiPriority w:val="39"/>
    <w:unhideWhenUsed/>
    <w:rsid w:val="00901D28"/>
    <w:pPr>
      <w:spacing w:after="100"/>
      <w:ind w:left="1760"/>
    </w:pPr>
    <w:rPr>
      <w:rFonts w:eastAsia="Times New Roman"/>
      <w:lang w:eastAsia="en-AU"/>
    </w:rPr>
  </w:style>
  <w:style w:type="paragraph" w:styleId="BodyTextIndent">
    <w:name w:val="Body Text Indent"/>
    <w:aliases w:val="Body Text Indent Char Char Char Char Char Char Char Char Char Char"/>
    <w:basedOn w:val="Normal"/>
    <w:link w:val="BodyTextIndentChar"/>
    <w:uiPriority w:val="99"/>
    <w:rsid w:val="00901D28"/>
    <w:pPr>
      <w:spacing w:before="100" w:after="100" w:line="360" w:lineRule="auto"/>
      <w:ind w:left="720"/>
      <w:jc w:val="both"/>
    </w:pPr>
    <w:rPr>
      <w:rFonts w:ascii="Arial" w:eastAsia="Times New Roman" w:hAnsi="Arial"/>
      <w:sz w:val="20"/>
      <w:szCs w:val="20"/>
    </w:rPr>
  </w:style>
  <w:style w:type="character" w:customStyle="1" w:styleId="BodyTextIndentChar">
    <w:name w:val="Body Text Indent Char"/>
    <w:aliases w:val="Body Text Indent Char Char Char Char Char Char Char Char Char Char Char"/>
    <w:link w:val="BodyTextIndent"/>
    <w:uiPriority w:val="99"/>
    <w:rsid w:val="00901D28"/>
    <w:rPr>
      <w:rFonts w:ascii="Arial" w:eastAsia="Times New Roman" w:hAnsi="Arial" w:cs="Times New Roman"/>
      <w:sz w:val="20"/>
      <w:szCs w:val="20"/>
    </w:rPr>
  </w:style>
  <w:style w:type="paragraph" w:customStyle="1" w:styleId="Figure3">
    <w:name w:val="Figure 3"/>
    <w:basedOn w:val="Heading3"/>
    <w:link w:val="Figure3Char"/>
    <w:rsid w:val="00901D28"/>
    <w:pPr>
      <w:keepLines w:val="0"/>
      <w:numPr>
        <w:ilvl w:val="0"/>
        <w:numId w:val="0"/>
      </w:numPr>
      <w:pBdr>
        <w:bottom w:val="double" w:sz="4" w:space="1" w:color="auto"/>
      </w:pBdr>
      <w:spacing w:before="120" w:after="120" w:line="360" w:lineRule="auto"/>
      <w:jc w:val="both"/>
    </w:pPr>
    <w:rPr>
      <w:rFonts w:ascii="Arial" w:hAnsi="Arial"/>
      <w:bCs w:val="0"/>
      <w:color w:val="auto"/>
    </w:rPr>
  </w:style>
  <w:style w:type="character" w:customStyle="1" w:styleId="Figure3Char">
    <w:name w:val="Figure 3 Char"/>
    <w:link w:val="Figure3"/>
    <w:rsid w:val="00901D28"/>
    <w:rPr>
      <w:rFonts w:ascii="Arial" w:eastAsia="Times New Roman" w:hAnsi="Arial" w:cs="Times New Roman"/>
      <w:b/>
      <w:sz w:val="20"/>
      <w:szCs w:val="20"/>
    </w:rPr>
  </w:style>
  <w:style w:type="paragraph" w:customStyle="1" w:styleId="Headline">
    <w:name w:val="Headline"/>
    <w:next w:val="Normal"/>
    <w:autoRedefine/>
    <w:rsid w:val="00901D28"/>
    <w:pPr>
      <w:pageBreakBefore/>
      <w:pBdr>
        <w:bottom w:val="single" w:sz="4" w:space="1" w:color="auto"/>
      </w:pBdr>
      <w:ind w:left="0" w:right="6" w:firstLine="0"/>
      <w:jc w:val="left"/>
    </w:pPr>
    <w:rPr>
      <w:rFonts w:ascii="Univers" w:eastAsia="Times New Roman" w:hAnsi="Univers" w:cs="Times New Roman"/>
      <w:b/>
      <w:bCs/>
      <w:color w:val="000066"/>
      <w:sz w:val="32"/>
      <w:szCs w:val="32"/>
      <w:lang w:val="en-US"/>
    </w:rPr>
  </w:style>
  <w:style w:type="character" w:customStyle="1" w:styleId="moz-txt-tag">
    <w:name w:val="moz-txt-tag"/>
    <w:basedOn w:val="DefaultParagraphFont"/>
    <w:rsid w:val="00901D28"/>
  </w:style>
  <w:style w:type="paragraph" w:customStyle="1" w:styleId="StyleStyleBodyTextCharJustifiedRight-027cm">
    <w:name w:val="Style Style Body Text Char + Justified Right:  -0.27 cm"/>
    <w:basedOn w:val="Normal"/>
    <w:rsid w:val="00901D28"/>
    <w:pPr>
      <w:spacing w:before="120" w:after="120" w:line="360" w:lineRule="auto"/>
      <w:ind w:left="720" w:right="-151"/>
      <w:jc w:val="both"/>
    </w:pPr>
    <w:rPr>
      <w:rFonts w:ascii="Arial" w:eastAsia="Times New Roman" w:hAnsi="Arial"/>
      <w:sz w:val="20"/>
      <w:szCs w:val="20"/>
    </w:rPr>
  </w:style>
  <w:style w:type="paragraph" w:customStyle="1" w:styleId="StyleJustifiedCharChar">
    <w:name w:val="Style Justified Char Char"/>
    <w:basedOn w:val="Normal"/>
    <w:link w:val="StyleJustifiedCharCharChar1"/>
    <w:rsid w:val="00901D28"/>
    <w:pPr>
      <w:widowControl w:val="0"/>
      <w:adjustRightInd w:val="0"/>
      <w:spacing w:after="240" w:line="240" w:lineRule="auto"/>
      <w:jc w:val="both"/>
      <w:textAlignment w:val="baseline"/>
    </w:pPr>
    <w:rPr>
      <w:rFonts w:ascii="Times New Roman" w:eastAsia="PMingLiU" w:hAnsi="Times New Roman"/>
      <w:sz w:val="24"/>
      <w:szCs w:val="20"/>
      <w:lang w:val="en-US"/>
    </w:rPr>
  </w:style>
  <w:style w:type="character" w:customStyle="1" w:styleId="StyleJustifiedCharCharChar1">
    <w:name w:val="Style Justified Char Char Char1"/>
    <w:link w:val="StyleJustifiedCharChar"/>
    <w:rsid w:val="00901D28"/>
    <w:rPr>
      <w:rFonts w:ascii="Times New Roman" w:eastAsia="PMingLiU" w:hAnsi="Times New Roman" w:cs="Times New Roman"/>
      <w:sz w:val="24"/>
      <w:szCs w:val="20"/>
      <w:lang w:val="en-US"/>
    </w:rPr>
  </w:style>
  <w:style w:type="paragraph" w:styleId="PlainText">
    <w:name w:val="Plain Text"/>
    <w:basedOn w:val="Normal"/>
    <w:link w:val="PlainTextChar"/>
    <w:uiPriority w:val="99"/>
    <w:rsid w:val="00901D28"/>
    <w:pPr>
      <w:spacing w:after="0" w:line="240" w:lineRule="auto"/>
    </w:pPr>
    <w:rPr>
      <w:rFonts w:ascii="Courier New" w:eastAsia="Times New Roman" w:hAnsi="Courier New"/>
      <w:sz w:val="20"/>
      <w:szCs w:val="20"/>
    </w:rPr>
  </w:style>
  <w:style w:type="character" w:customStyle="1" w:styleId="PlainTextChar">
    <w:name w:val="Plain Text Char"/>
    <w:link w:val="PlainText"/>
    <w:uiPriority w:val="99"/>
    <w:rsid w:val="00901D28"/>
    <w:rPr>
      <w:rFonts w:ascii="Courier New" w:eastAsia="Times New Roman" w:hAnsi="Courier New" w:cs="Times New Roman"/>
      <w:sz w:val="20"/>
      <w:szCs w:val="20"/>
    </w:rPr>
  </w:style>
  <w:style w:type="character" w:styleId="SubtleReference">
    <w:name w:val="Subtle Reference"/>
    <w:uiPriority w:val="31"/>
    <w:qFormat/>
    <w:rsid w:val="00901D28"/>
    <w:rPr>
      <w:smallCaps/>
      <w:color w:val="C0504D"/>
      <w:u w:val="single"/>
    </w:rPr>
  </w:style>
  <w:style w:type="character" w:styleId="BookTitle">
    <w:name w:val="Book Title"/>
    <w:uiPriority w:val="33"/>
    <w:qFormat/>
    <w:rsid w:val="00901D28"/>
    <w:rPr>
      <w:b/>
      <w:bCs/>
      <w:smallCaps/>
      <w:spacing w:val="5"/>
    </w:rPr>
  </w:style>
  <w:style w:type="character" w:styleId="IntenseReference">
    <w:name w:val="Intense Reference"/>
    <w:uiPriority w:val="32"/>
    <w:qFormat/>
    <w:rsid w:val="00901D28"/>
    <w:rPr>
      <w:b/>
      <w:bCs/>
      <w:smallCaps/>
      <w:color w:val="C0504D"/>
      <w:spacing w:val="5"/>
      <w:u w:val="single"/>
    </w:rPr>
  </w:style>
  <w:style w:type="paragraph" w:styleId="BodyText">
    <w:name w:val="Body Text"/>
    <w:basedOn w:val="Normal"/>
    <w:link w:val="BodyTextChar"/>
    <w:rsid w:val="00901D28"/>
    <w:pPr>
      <w:spacing w:after="0" w:line="240" w:lineRule="auto"/>
      <w:jc w:val="both"/>
    </w:pPr>
    <w:rPr>
      <w:rFonts w:ascii="Times New Roman" w:eastAsia="Times New Roman" w:hAnsi="Times New Roman"/>
      <w:b/>
      <w:sz w:val="24"/>
      <w:szCs w:val="20"/>
      <w:lang w:val="en-US"/>
    </w:rPr>
  </w:style>
  <w:style w:type="character" w:customStyle="1" w:styleId="BodyTextChar">
    <w:name w:val="Body Text Char"/>
    <w:link w:val="BodyText"/>
    <w:rsid w:val="00901D28"/>
    <w:rPr>
      <w:rFonts w:ascii="Times New Roman" w:eastAsia="Times New Roman" w:hAnsi="Times New Roman" w:cs="Times New Roman"/>
      <w:b/>
      <w:sz w:val="24"/>
      <w:szCs w:val="20"/>
      <w:lang w:val="en-US"/>
    </w:rPr>
  </w:style>
  <w:style w:type="paragraph" w:customStyle="1" w:styleId="Scale5pts">
    <w:name w:val="Scale 5pts"/>
    <w:rsid w:val="00901D28"/>
    <w:pPr>
      <w:tabs>
        <w:tab w:val="center" w:pos="720"/>
        <w:tab w:val="center" w:pos="2520"/>
        <w:tab w:val="center" w:pos="4320"/>
        <w:tab w:val="center" w:pos="6480"/>
        <w:tab w:val="center" w:pos="8280"/>
      </w:tabs>
      <w:suppressAutoHyphens/>
      <w:spacing w:after="0"/>
      <w:ind w:left="0" w:firstLine="0"/>
      <w:jc w:val="left"/>
    </w:pPr>
    <w:rPr>
      <w:rFonts w:ascii="Arial" w:eastAsia="Times New Roman" w:hAnsi="Arial" w:cs="Times New Roman"/>
      <w:noProof/>
      <w:szCs w:val="20"/>
    </w:rPr>
  </w:style>
  <w:style w:type="paragraph" w:customStyle="1" w:styleId="BodyDHS">
    <w:name w:val="Body DHS"/>
    <w:basedOn w:val="Normal"/>
    <w:rsid w:val="00901D28"/>
    <w:pPr>
      <w:overflowPunct w:val="0"/>
      <w:autoSpaceDE w:val="0"/>
      <w:autoSpaceDN w:val="0"/>
      <w:spacing w:after="180" w:line="260" w:lineRule="exact"/>
    </w:pPr>
    <w:rPr>
      <w:rFonts w:ascii="Book Antiqua" w:hAnsi="Book Antiqua"/>
      <w:sz w:val="21"/>
      <w:szCs w:val="21"/>
      <w:lang w:eastAsia="en-AU"/>
    </w:rPr>
  </w:style>
  <w:style w:type="character" w:customStyle="1" w:styleId="DocumentMapChar">
    <w:name w:val="Document Map Char"/>
    <w:aliases w:val=" Char Char"/>
    <w:link w:val="DocumentMap"/>
    <w:uiPriority w:val="99"/>
    <w:semiHidden/>
    <w:rsid w:val="00901D28"/>
    <w:rPr>
      <w:rFonts w:ascii="Tahoma" w:hAnsi="Tahoma"/>
      <w:sz w:val="16"/>
      <w:szCs w:val="16"/>
    </w:rPr>
  </w:style>
  <w:style w:type="paragraph" w:styleId="DocumentMap">
    <w:name w:val="Document Map"/>
    <w:aliases w:val=" Char"/>
    <w:basedOn w:val="Normal"/>
    <w:link w:val="DocumentMapChar"/>
    <w:uiPriority w:val="99"/>
    <w:semiHidden/>
    <w:unhideWhenUsed/>
    <w:rsid w:val="00901D28"/>
    <w:pPr>
      <w:spacing w:after="0" w:line="240" w:lineRule="auto"/>
    </w:pPr>
    <w:rPr>
      <w:rFonts w:ascii="Tahoma" w:eastAsiaTheme="minorHAnsi" w:hAnsi="Tahoma" w:cstheme="minorBidi"/>
      <w:sz w:val="16"/>
      <w:szCs w:val="16"/>
    </w:rPr>
  </w:style>
  <w:style w:type="character" w:customStyle="1" w:styleId="DocumentMapChar1">
    <w:name w:val="Document Map Char1"/>
    <w:uiPriority w:val="99"/>
    <w:semiHidden/>
    <w:rsid w:val="00901D28"/>
    <w:rPr>
      <w:rFonts w:ascii="Tahoma" w:hAnsi="Tahoma" w:cs="Tahoma"/>
      <w:sz w:val="16"/>
      <w:szCs w:val="16"/>
    </w:rPr>
  </w:style>
  <w:style w:type="paragraph" w:customStyle="1" w:styleId="DHSText10pt">
    <w:name w:val="DHS Text 10pt"/>
    <w:basedOn w:val="Normal"/>
    <w:rsid w:val="00901D28"/>
    <w:pPr>
      <w:widowControl w:val="0"/>
      <w:overflowPunct w:val="0"/>
      <w:autoSpaceDE w:val="0"/>
      <w:autoSpaceDN w:val="0"/>
      <w:adjustRightInd w:val="0"/>
      <w:spacing w:after="0" w:line="240" w:lineRule="auto"/>
      <w:textAlignment w:val="baseline"/>
    </w:pPr>
    <w:rPr>
      <w:rFonts w:ascii="Verdana" w:eastAsia="Times New Roman" w:hAnsi="Verdana"/>
      <w:sz w:val="20"/>
      <w:szCs w:val="20"/>
    </w:rPr>
  </w:style>
  <w:style w:type="paragraph" w:customStyle="1" w:styleId="table">
    <w:name w:val="table"/>
    <w:basedOn w:val="Normal"/>
    <w:rsid w:val="00901D28"/>
    <w:pPr>
      <w:overflowPunct w:val="0"/>
      <w:autoSpaceDE w:val="0"/>
      <w:autoSpaceDN w:val="0"/>
      <w:adjustRightInd w:val="0"/>
      <w:spacing w:after="120" w:line="360" w:lineRule="auto"/>
      <w:textAlignment w:val="baseline"/>
    </w:pPr>
    <w:rPr>
      <w:rFonts w:ascii="Times New Roman" w:eastAsia="SimSun" w:hAnsi="Times New Roman"/>
      <w:szCs w:val="20"/>
    </w:rPr>
  </w:style>
  <w:style w:type="character" w:customStyle="1" w:styleId="BodyText2Char">
    <w:name w:val="Body Text 2 Char"/>
    <w:link w:val="BodyText2"/>
    <w:semiHidden/>
    <w:rsid w:val="00901D28"/>
    <w:rPr>
      <w:rFonts w:ascii="Times New Roman" w:eastAsia="SimSun" w:hAnsi="Times New Roman"/>
      <w:sz w:val="24"/>
      <w:szCs w:val="24"/>
      <w:lang w:val="en-US" w:eastAsia="zh-CN"/>
    </w:rPr>
  </w:style>
  <w:style w:type="paragraph" w:styleId="BodyText2">
    <w:name w:val="Body Text 2"/>
    <w:basedOn w:val="Normal"/>
    <w:link w:val="BodyText2Char"/>
    <w:semiHidden/>
    <w:rsid w:val="00901D28"/>
    <w:pPr>
      <w:spacing w:after="120" w:line="480" w:lineRule="auto"/>
    </w:pPr>
    <w:rPr>
      <w:rFonts w:ascii="Times New Roman" w:eastAsia="SimSun" w:hAnsi="Times New Roman" w:cstheme="minorBidi"/>
      <w:sz w:val="24"/>
      <w:szCs w:val="24"/>
      <w:lang w:val="en-US" w:eastAsia="zh-CN"/>
    </w:rPr>
  </w:style>
  <w:style w:type="character" w:customStyle="1" w:styleId="BodyText2Char1">
    <w:name w:val="Body Text 2 Char1"/>
    <w:basedOn w:val="DefaultParagraphFont"/>
    <w:uiPriority w:val="99"/>
    <w:semiHidden/>
    <w:rsid w:val="00901D28"/>
  </w:style>
  <w:style w:type="paragraph" w:customStyle="1" w:styleId="Codes">
    <w:name w:val="Codes"/>
    <w:basedOn w:val="Normal"/>
    <w:rsid w:val="00901D28"/>
    <w:pPr>
      <w:numPr>
        <w:ilvl w:val="1"/>
        <w:numId w:val="4"/>
      </w:numPr>
      <w:tabs>
        <w:tab w:val="left" w:pos="6120"/>
      </w:tabs>
      <w:spacing w:after="0" w:line="240" w:lineRule="auto"/>
    </w:pPr>
    <w:rPr>
      <w:rFonts w:ascii="Arial" w:eastAsia="Times New Roman" w:hAnsi="Arial" w:cs="Arial"/>
      <w:sz w:val="18"/>
      <w:szCs w:val="20"/>
    </w:rPr>
  </w:style>
  <w:style w:type="character" w:styleId="PageNumber">
    <w:name w:val="page number"/>
    <w:basedOn w:val="DefaultParagraphFont"/>
    <w:rsid w:val="00901D28"/>
  </w:style>
  <w:style w:type="character" w:customStyle="1" w:styleId="CharChar13">
    <w:name w:val="Char Char13"/>
    <w:rsid w:val="00901D28"/>
    <w:rPr>
      <w:rFonts w:ascii="Cambria" w:eastAsia="Times New Roman" w:hAnsi="Cambria" w:cs="Times New Roman"/>
      <w:b/>
      <w:bCs/>
      <w:kern w:val="32"/>
      <w:sz w:val="32"/>
      <w:szCs w:val="32"/>
    </w:rPr>
  </w:style>
  <w:style w:type="paragraph" w:customStyle="1" w:styleId="CODEFRAME">
    <w:name w:val="CODE FRAME"/>
    <w:basedOn w:val="Normal"/>
    <w:rsid w:val="00901D28"/>
    <w:pPr>
      <w:numPr>
        <w:numId w:val="5"/>
      </w:numPr>
      <w:spacing w:after="0" w:line="240" w:lineRule="auto"/>
    </w:pPr>
    <w:rPr>
      <w:rFonts w:ascii="Arial" w:eastAsia="Times New Roman" w:hAnsi="Arial" w:cs="Arial"/>
      <w:sz w:val="20"/>
      <w:szCs w:val="20"/>
      <w:lang w:eastAsia="en-AU"/>
    </w:rPr>
  </w:style>
  <w:style w:type="character" w:customStyle="1" w:styleId="value2">
    <w:name w:val="value2"/>
    <w:rsid w:val="00901D28"/>
    <w:rPr>
      <w:color w:val="3F3F3F"/>
    </w:rPr>
  </w:style>
  <w:style w:type="paragraph" w:styleId="EndnoteText">
    <w:name w:val="endnote text"/>
    <w:basedOn w:val="Normal"/>
    <w:link w:val="EndnoteTextChar"/>
    <w:uiPriority w:val="99"/>
    <w:semiHidden/>
    <w:unhideWhenUsed/>
    <w:rsid w:val="00901D28"/>
    <w:pPr>
      <w:spacing w:after="80" w:line="360" w:lineRule="auto"/>
    </w:pPr>
    <w:rPr>
      <w:sz w:val="20"/>
      <w:szCs w:val="20"/>
    </w:rPr>
  </w:style>
  <w:style w:type="character" w:customStyle="1" w:styleId="EndnoteTextChar">
    <w:name w:val="Endnote Text Char"/>
    <w:link w:val="EndnoteText"/>
    <w:uiPriority w:val="99"/>
    <w:semiHidden/>
    <w:rsid w:val="00901D28"/>
    <w:rPr>
      <w:rFonts w:ascii="Calibri" w:eastAsia="Calibri" w:hAnsi="Calibri" w:cs="Times New Roman"/>
      <w:sz w:val="20"/>
      <w:szCs w:val="20"/>
    </w:rPr>
  </w:style>
  <w:style w:type="character" w:styleId="EndnoteReference">
    <w:name w:val="endnote reference"/>
    <w:uiPriority w:val="99"/>
    <w:semiHidden/>
    <w:unhideWhenUsed/>
    <w:rsid w:val="00901D28"/>
    <w:rPr>
      <w:vertAlign w:val="superscript"/>
    </w:rPr>
  </w:style>
  <w:style w:type="paragraph" w:customStyle="1" w:styleId="ExSumlevel2">
    <w:name w:val="Ex Sum level 2"/>
    <w:basedOn w:val="Normal"/>
    <w:link w:val="ExSumlevel2Char"/>
    <w:rsid w:val="00901D28"/>
    <w:pPr>
      <w:spacing w:after="80" w:line="240" w:lineRule="auto"/>
    </w:pPr>
    <w:rPr>
      <w:b/>
      <w:color w:val="E41B23"/>
      <w:sz w:val="32"/>
      <w:szCs w:val="32"/>
    </w:rPr>
  </w:style>
  <w:style w:type="character" w:customStyle="1" w:styleId="ExSumlevel2Char">
    <w:name w:val="Ex Sum level 2 Char"/>
    <w:link w:val="ExSumlevel2"/>
    <w:rsid w:val="00901D28"/>
    <w:rPr>
      <w:rFonts w:ascii="Calibri" w:eastAsia="Calibri" w:hAnsi="Calibri" w:cs="Times New Roman"/>
      <w:b/>
      <w:color w:val="E41B23"/>
      <w:sz w:val="32"/>
      <w:szCs w:val="32"/>
    </w:rPr>
  </w:style>
  <w:style w:type="paragraph" w:customStyle="1" w:styleId="Normal1">
    <w:name w:val="Normal1"/>
    <w:basedOn w:val="Normal"/>
    <w:link w:val="NormalChar"/>
    <w:qFormat/>
    <w:rsid w:val="00336F46"/>
    <w:rPr>
      <w:rFonts w:asciiTheme="minorHAnsi" w:hAnsiTheme="minorHAnsi"/>
      <w:szCs w:val="20"/>
    </w:rPr>
  </w:style>
  <w:style w:type="character" w:customStyle="1" w:styleId="NormalChar">
    <w:name w:val="Normal Char"/>
    <w:link w:val="Normal1"/>
    <w:rsid w:val="00336F46"/>
    <w:rPr>
      <w:rFonts w:eastAsia="Calibri" w:cs="Times New Roman"/>
      <w:szCs w:val="20"/>
    </w:rPr>
  </w:style>
  <w:style w:type="paragraph" w:customStyle="1" w:styleId="Executive">
    <w:name w:val="Executive"/>
    <w:basedOn w:val="Normal"/>
    <w:link w:val="ExecutiveChar"/>
    <w:rsid w:val="00901D28"/>
    <w:pPr>
      <w:spacing w:before="200" w:after="0"/>
    </w:pPr>
    <w:rPr>
      <w:b/>
      <w:color w:val="E41B23"/>
      <w:sz w:val="48"/>
      <w:szCs w:val="48"/>
    </w:rPr>
  </w:style>
  <w:style w:type="character" w:customStyle="1" w:styleId="apple-converted-space">
    <w:name w:val="apple-converted-space"/>
    <w:basedOn w:val="DefaultParagraphFont"/>
    <w:rsid w:val="00901D28"/>
  </w:style>
  <w:style w:type="character" w:customStyle="1" w:styleId="ExecutiveChar">
    <w:name w:val="Executive Char"/>
    <w:link w:val="Executive"/>
    <w:rsid w:val="00901D28"/>
    <w:rPr>
      <w:rFonts w:ascii="Calibri" w:eastAsia="Calibri" w:hAnsi="Calibri" w:cs="Times New Roman"/>
      <w:b/>
      <w:color w:val="E41B23"/>
      <w:sz w:val="48"/>
      <w:szCs w:val="48"/>
    </w:rPr>
  </w:style>
  <w:style w:type="character" w:customStyle="1" w:styleId="st">
    <w:name w:val="st"/>
    <w:basedOn w:val="DefaultParagraphFont"/>
    <w:rsid w:val="00901D28"/>
  </w:style>
  <w:style w:type="table" w:styleId="LightShading-Accent2">
    <w:name w:val="Light Shading Accent 2"/>
    <w:basedOn w:val="TableNormal"/>
    <w:uiPriority w:val="60"/>
    <w:rsid w:val="00901D28"/>
    <w:pPr>
      <w:spacing w:after="0"/>
      <w:ind w:left="0" w:firstLine="0"/>
      <w:jc w:val="left"/>
    </w:pPr>
    <w:rPr>
      <w:rFonts w:ascii="Calibri" w:eastAsia="Calibri" w:hAnsi="Calibri" w:cs="Times New Roman"/>
      <w:color w:val="943634"/>
      <w:sz w:val="20"/>
      <w:szCs w:val="20"/>
      <w:lang w:eastAsia="en-A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2">
    <w:name w:val="Medium Shading 1 Accent 2"/>
    <w:basedOn w:val="TableNormal"/>
    <w:uiPriority w:val="63"/>
    <w:rsid w:val="00901D28"/>
    <w:pPr>
      <w:spacing w:after="0"/>
      <w:ind w:left="0" w:firstLine="0"/>
      <w:jc w:val="left"/>
    </w:pPr>
    <w:rPr>
      <w:rFonts w:ascii="Calibri" w:eastAsia="Calibri" w:hAnsi="Calibri" w:cs="Times New Roman"/>
      <w:sz w:val="20"/>
      <w:szCs w:val="20"/>
      <w:lang w:eastAsia="en-AU"/>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customStyle="1" w:styleId="ExSumlevel3">
    <w:name w:val="Ex Sum level 3"/>
    <w:basedOn w:val="FAREH4"/>
    <w:link w:val="ExSumlevel3Char"/>
    <w:qFormat/>
    <w:rsid w:val="00901D28"/>
    <w:pPr>
      <w:numPr>
        <w:ilvl w:val="0"/>
        <w:numId w:val="0"/>
      </w:numPr>
    </w:pPr>
  </w:style>
  <w:style w:type="numbering" w:customStyle="1" w:styleId="Style2">
    <w:name w:val="Style2"/>
    <w:uiPriority w:val="99"/>
    <w:rsid w:val="00901D28"/>
    <w:pPr>
      <w:numPr>
        <w:numId w:val="6"/>
      </w:numPr>
    </w:pPr>
  </w:style>
  <w:style w:type="character" w:customStyle="1" w:styleId="ExSumlevel3Char">
    <w:name w:val="Ex Sum level 3 Char"/>
    <w:basedOn w:val="FAREH4Char"/>
    <w:link w:val="ExSumlevel3"/>
    <w:rsid w:val="00901D28"/>
    <w:rPr>
      <w:rFonts w:ascii="Calibri" w:eastAsia="Times New Roman" w:hAnsi="Calibri" w:cs="Times New Roman"/>
      <w:b/>
      <w:bCs/>
      <w:iCs/>
      <w:noProof/>
      <w:color w:val="E41B23"/>
      <w:kern w:val="32"/>
      <w:sz w:val="28"/>
      <w:szCs w:val="28"/>
      <w:lang w:val="en-US"/>
    </w:rPr>
  </w:style>
  <w:style w:type="paragraph" w:customStyle="1" w:styleId="HTOH3withnumber">
    <w:name w:val="HTO H3 with number"/>
    <w:basedOn w:val="FAREH2"/>
    <w:link w:val="HTOH3withnumberChar"/>
    <w:qFormat/>
    <w:rsid w:val="00901D28"/>
    <w:pPr>
      <w:numPr>
        <w:ilvl w:val="2"/>
        <w:numId w:val="7"/>
      </w:numPr>
    </w:pPr>
    <w:rPr>
      <w:sz w:val="32"/>
      <w:szCs w:val="32"/>
    </w:rPr>
  </w:style>
  <w:style w:type="paragraph" w:customStyle="1" w:styleId="FAREH2Nbr">
    <w:name w:val="FARE_H2 Nbr"/>
    <w:basedOn w:val="FAREH1"/>
    <w:link w:val="FAREH2NbrChar"/>
    <w:qFormat/>
    <w:rsid w:val="00173B16"/>
    <w:pPr>
      <w:numPr>
        <w:ilvl w:val="1"/>
        <w:numId w:val="9"/>
      </w:numPr>
      <w:spacing w:before="80" w:after="0"/>
      <w:ind w:hanging="993"/>
    </w:pPr>
    <w:rPr>
      <w:bCs/>
      <w:sz w:val="36"/>
      <w:szCs w:val="36"/>
    </w:rPr>
  </w:style>
  <w:style w:type="character" w:customStyle="1" w:styleId="HTOH3withnumberChar">
    <w:name w:val="HTO H3 with number Char"/>
    <w:link w:val="HTOH3withnumber"/>
    <w:rsid w:val="00901D28"/>
    <w:rPr>
      <w:rFonts w:ascii="Calibri" w:eastAsia="Times New Roman" w:hAnsi="Calibri" w:cs="Times New Roman"/>
      <w:b/>
      <w:bCs/>
      <w:iCs/>
      <w:noProof/>
      <w:kern w:val="32"/>
      <w:sz w:val="32"/>
      <w:szCs w:val="32"/>
      <w:lang w:val="en-US"/>
    </w:rPr>
  </w:style>
  <w:style w:type="character" w:styleId="FollowedHyperlink">
    <w:name w:val="FollowedHyperlink"/>
    <w:uiPriority w:val="99"/>
    <w:semiHidden/>
    <w:unhideWhenUsed/>
    <w:rsid w:val="00901D28"/>
    <w:rPr>
      <w:color w:val="800080"/>
      <w:u w:val="single"/>
    </w:rPr>
  </w:style>
  <w:style w:type="character" w:customStyle="1" w:styleId="FAREH2NbrChar">
    <w:name w:val="FARE_H2 Nbr Char"/>
    <w:link w:val="FAREH2Nbr"/>
    <w:rsid w:val="00173B16"/>
    <w:rPr>
      <w:rFonts w:ascii="Calibri" w:eastAsia="Times New Roman" w:hAnsi="Calibri" w:cs="Times New Roman"/>
      <w:b/>
      <w:bCs/>
      <w:noProof/>
      <w:kern w:val="32"/>
      <w:sz w:val="36"/>
      <w:szCs w:val="36"/>
      <w:lang w:val="en-US"/>
    </w:rPr>
  </w:style>
  <w:style w:type="paragraph" w:customStyle="1" w:styleId="FAREH4nonumber">
    <w:name w:val="FARE H4 no number"/>
    <w:basedOn w:val="FAREH4"/>
    <w:link w:val="FAREH4nonumberChar"/>
    <w:qFormat/>
    <w:rsid w:val="00901D28"/>
    <w:pPr>
      <w:numPr>
        <w:ilvl w:val="0"/>
        <w:numId w:val="0"/>
      </w:numPr>
      <w:ind w:left="567" w:hanging="567"/>
    </w:pPr>
    <w:rPr>
      <w:bCs w:val="0"/>
      <w:lang w:val="en-AU"/>
    </w:rPr>
  </w:style>
  <w:style w:type="character" w:customStyle="1" w:styleId="FAREH4nonumberChar">
    <w:name w:val="FARE H4 no number Char"/>
    <w:basedOn w:val="FAREH4Char"/>
    <w:link w:val="FAREH4nonumber"/>
    <w:rsid w:val="00901D28"/>
    <w:rPr>
      <w:rFonts w:ascii="Calibri" w:eastAsia="Times New Roman" w:hAnsi="Calibri" w:cs="Times New Roman"/>
      <w:b/>
      <w:bCs/>
      <w:iCs/>
      <w:noProof/>
      <w:color w:val="E41B23"/>
      <w:kern w:val="32"/>
      <w:sz w:val="28"/>
      <w:szCs w:val="28"/>
      <w:lang w:val="en-US"/>
    </w:rPr>
  </w:style>
  <w:style w:type="paragraph" w:customStyle="1" w:styleId="xfarenormaltext">
    <w:name w:val="x_farenormaltext"/>
    <w:basedOn w:val="Normal"/>
    <w:rsid w:val="00181C36"/>
    <w:pPr>
      <w:spacing w:before="100" w:beforeAutospacing="1" w:after="100" w:afterAutospacing="1" w:line="240" w:lineRule="auto"/>
    </w:pPr>
    <w:rPr>
      <w:rFonts w:ascii="Times New Roman" w:eastAsia="Times New Roman" w:hAnsi="Times New Roman"/>
      <w:sz w:val="24"/>
      <w:szCs w:val="24"/>
      <w:lang w:eastAsia="en-AU"/>
    </w:rPr>
  </w:style>
  <w:style w:type="paragraph" w:customStyle="1" w:styleId="xmsonormal">
    <w:name w:val="x_msonormal"/>
    <w:basedOn w:val="Normal"/>
    <w:rsid w:val="00181C36"/>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citation-publication-date">
    <w:name w:val="citation-publication-date"/>
    <w:basedOn w:val="DefaultParagraphFont"/>
    <w:rsid w:val="00704170"/>
  </w:style>
  <w:style w:type="paragraph" w:customStyle="1" w:styleId="FAREdotpoints">
    <w:name w:val="FARE dot points"/>
    <w:basedOn w:val="ListParagraph"/>
    <w:link w:val="FAREdotpointsChar"/>
    <w:qFormat/>
    <w:rsid w:val="00D3722B"/>
    <w:pPr>
      <w:numPr>
        <w:numId w:val="12"/>
      </w:numPr>
      <w:autoSpaceDE w:val="0"/>
      <w:autoSpaceDN w:val="0"/>
      <w:adjustRightInd w:val="0"/>
      <w:spacing w:before="0" w:after="120"/>
    </w:pPr>
    <w:rPr>
      <w:rFonts w:asciiTheme="minorHAnsi" w:hAnsiTheme="minorHAnsi"/>
      <w:color w:val="000000"/>
      <w:sz w:val="22"/>
    </w:rPr>
  </w:style>
  <w:style w:type="character" w:customStyle="1" w:styleId="ListParagraphChar">
    <w:name w:val="List Paragraph Char"/>
    <w:basedOn w:val="DefaultParagraphFont"/>
    <w:link w:val="ListParagraph"/>
    <w:uiPriority w:val="34"/>
    <w:rsid w:val="00D3722B"/>
    <w:rPr>
      <w:rFonts w:ascii="Times New Roman" w:eastAsia="Calibri" w:hAnsi="Times New Roman" w:cs="Times New Roman"/>
      <w:sz w:val="24"/>
    </w:rPr>
  </w:style>
  <w:style w:type="character" w:customStyle="1" w:styleId="FAREdotpointsChar">
    <w:name w:val="FARE dot points Char"/>
    <w:basedOn w:val="ListParagraphChar"/>
    <w:link w:val="FAREdotpoints"/>
    <w:rsid w:val="00D3722B"/>
    <w:rPr>
      <w:rFonts w:ascii="Times New Roman" w:eastAsia="Calibri" w:hAnsi="Times New Roman" w:cs="Times New Roman"/>
      <w:color w:val="000000"/>
      <w:sz w:val="24"/>
    </w:rPr>
  </w:style>
  <w:style w:type="paragraph" w:customStyle="1" w:styleId="Default">
    <w:name w:val="Default"/>
    <w:rsid w:val="00EB318C"/>
    <w:pPr>
      <w:autoSpaceDE w:val="0"/>
      <w:autoSpaceDN w:val="0"/>
      <w:adjustRightInd w:val="0"/>
      <w:spacing w:after="0"/>
      <w:ind w:left="0" w:firstLine="0"/>
      <w:jc w:val="left"/>
    </w:pPr>
    <w:rPr>
      <w:rFonts w:ascii="Times New Roman" w:hAnsi="Times New Roman" w:cs="Times New Roman"/>
      <w:color w:val="000000"/>
      <w:sz w:val="24"/>
      <w:szCs w:val="24"/>
    </w:rPr>
  </w:style>
  <w:style w:type="paragraph" w:customStyle="1" w:styleId="Body">
    <w:name w:val="Body"/>
    <w:basedOn w:val="Normal"/>
    <w:link w:val="BodyChar"/>
    <w:qFormat/>
    <w:rsid w:val="00CA7A60"/>
    <w:pPr>
      <w:widowControl w:val="0"/>
      <w:autoSpaceDE w:val="0"/>
      <w:autoSpaceDN w:val="0"/>
      <w:adjustRightInd w:val="0"/>
      <w:spacing w:after="0" w:line="480" w:lineRule="auto"/>
    </w:pPr>
    <w:rPr>
      <w:rFonts w:ascii="Times New Roman" w:eastAsia="Times New Roman" w:hAnsi="Times New Roman"/>
      <w:sz w:val="24"/>
      <w:szCs w:val="24"/>
      <w:lang w:eastAsia="en-AU"/>
    </w:rPr>
  </w:style>
  <w:style w:type="character" w:customStyle="1" w:styleId="BodyChar">
    <w:name w:val="Body Char"/>
    <w:link w:val="Body"/>
    <w:rsid w:val="00CA7A60"/>
    <w:rPr>
      <w:rFonts w:ascii="Times New Roman" w:eastAsia="Times New Roman" w:hAnsi="Times New Roman" w:cs="Times New Roman"/>
      <w:sz w:val="24"/>
      <w:szCs w:val="24"/>
      <w:lang w:eastAsia="en-AU"/>
    </w:rPr>
  </w:style>
  <w:style w:type="paragraph" w:customStyle="1" w:styleId="TableHeading">
    <w:name w:val="Table Heading"/>
    <w:basedOn w:val="Normal"/>
    <w:link w:val="TableHeadingChar"/>
    <w:qFormat/>
    <w:rsid w:val="00CA7A60"/>
    <w:pPr>
      <w:widowControl w:val="0"/>
      <w:autoSpaceDE w:val="0"/>
      <w:autoSpaceDN w:val="0"/>
      <w:adjustRightInd w:val="0"/>
      <w:spacing w:before="29" w:after="0" w:line="240" w:lineRule="auto"/>
      <w:ind w:left="225"/>
    </w:pPr>
    <w:rPr>
      <w:rFonts w:ascii="Times New Roman" w:eastAsia="Times New Roman" w:hAnsi="Times New Roman"/>
      <w:i/>
      <w:iCs/>
      <w:spacing w:val="1"/>
      <w:sz w:val="24"/>
      <w:szCs w:val="24"/>
      <w:lang w:eastAsia="en-AU"/>
    </w:rPr>
  </w:style>
  <w:style w:type="character" w:customStyle="1" w:styleId="TableHeadingChar">
    <w:name w:val="Table Heading Char"/>
    <w:link w:val="TableHeading"/>
    <w:rsid w:val="00CA7A60"/>
    <w:rPr>
      <w:rFonts w:ascii="Times New Roman" w:eastAsia="Times New Roman" w:hAnsi="Times New Roman" w:cs="Times New Roman"/>
      <w:i/>
      <w:iCs/>
      <w:spacing w:val="1"/>
      <w:sz w:val="24"/>
      <w:szCs w:val="24"/>
      <w:lang w:eastAsia="en-AU"/>
    </w:rPr>
  </w:style>
  <w:style w:type="paragraph" w:customStyle="1" w:styleId="Pathwayspara">
    <w:name w:val="Pathways para"/>
    <w:basedOn w:val="Normal"/>
    <w:link w:val="PathwaysparaChar"/>
    <w:qFormat/>
    <w:rsid w:val="00CA7A60"/>
    <w:pPr>
      <w:autoSpaceDE w:val="0"/>
      <w:autoSpaceDN w:val="0"/>
      <w:adjustRightInd w:val="0"/>
      <w:spacing w:before="240" w:after="240" w:line="320" w:lineRule="exact"/>
      <w:jc w:val="both"/>
    </w:pPr>
    <w:rPr>
      <w:rFonts w:asciiTheme="minorHAnsi" w:eastAsia="Times New Roman" w:hAnsiTheme="minorHAnsi"/>
      <w:sz w:val="24"/>
      <w:szCs w:val="24"/>
    </w:rPr>
  </w:style>
  <w:style w:type="character" w:customStyle="1" w:styleId="PathwaysparaChar">
    <w:name w:val="Pathways para Char"/>
    <w:basedOn w:val="DefaultParagraphFont"/>
    <w:link w:val="Pathwayspara"/>
    <w:rsid w:val="00CA7A60"/>
    <w:rPr>
      <w:rFonts w:eastAsia="Times New Roman" w:cs="Times New Roman"/>
      <w:sz w:val="24"/>
      <w:szCs w:val="24"/>
    </w:rPr>
  </w:style>
  <w:style w:type="paragraph" w:customStyle="1" w:styleId="TableC">
    <w:name w:val="Table_C"/>
    <w:basedOn w:val="Normal"/>
    <w:rsid w:val="00CA7A60"/>
    <w:pPr>
      <w:spacing w:after="0" w:line="240" w:lineRule="auto"/>
    </w:pPr>
    <w:rPr>
      <w:rFonts w:eastAsia="Times New Roman"/>
      <w:color w:val="000000"/>
      <w:lang w:eastAsia="en-AU"/>
    </w:rPr>
  </w:style>
  <w:style w:type="paragraph" w:customStyle="1" w:styleId="normal2">
    <w:name w:val="normal2"/>
    <w:basedOn w:val="Pathwayspara"/>
    <w:rsid w:val="00CA7A60"/>
    <w:pPr>
      <w:ind w:left="720"/>
    </w:pPr>
  </w:style>
  <w:style w:type="paragraph" w:customStyle="1" w:styleId="AAparagraph">
    <w:name w:val="AA_paragraph"/>
    <w:link w:val="AAparagraphChar"/>
    <w:rsid w:val="00883963"/>
    <w:pPr>
      <w:spacing w:before="80" w:line="312" w:lineRule="auto"/>
      <w:ind w:left="0" w:firstLine="0"/>
    </w:pPr>
    <w:rPr>
      <w:rFonts w:ascii="Arial" w:eastAsia="Cambria" w:hAnsi="Arial" w:cs="Times New Roman"/>
    </w:rPr>
  </w:style>
  <w:style w:type="character" w:customStyle="1" w:styleId="AAparagraphChar">
    <w:name w:val="AA_paragraph Char"/>
    <w:link w:val="AAparagraph"/>
    <w:locked/>
    <w:rsid w:val="00883963"/>
    <w:rPr>
      <w:rFonts w:ascii="Arial" w:eastAsia="Cambria" w:hAnsi="Arial" w:cs="Times New Roman"/>
    </w:rPr>
  </w:style>
  <w:style w:type="paragraph" w:customStyle="1" w:styleId="AATableHeadings">
    <w:name w:val="AA_Table Headings"/>
    <w:rsid w:val="00883963"/>
    <w:pPr>
      <w:numPr>
        <w:numId w:val="20"/>
      </w:numPr>
      <w:spacing w:before="120" w:after="240" w:line="280" w:lineRule="exact"/>
      <w:ind w:left="0" w:firstLine="0"/>
      <w:jc w:val="left"/>
    </w:pPr>
    <w:rPr>
      <w:rFonts w:ascii="Arial" w:eastAsia="Times New Roman" w:hAnsi="Arial" w:cs="Arial"/>
      <w:b/>
      <w:bCs/>
      <w:sz w:val="20"/>
      <w:szCs w:val="20"/>
    </w:rPr>
  </w:style>
  <w:style w:type="paragraph" w:customStyle="1" w:styleId="AAAuthor">
    <w:name w:val="AA_Author"/>
    <w:link w:val="AAAuthorChar"/>
    <w:rsid w:val="00883963"/>
    <w:pPr>
      <w:numPr>
        <w:ilvl w:val="1"/>
        <w:numId w:val="20"/>
      </w:numPr>
      <w:spacing w:after="0"/>
      <w:jc w:val="center"/>
    </w:pPr>
    <w:rPr>
      <w:rFonts w:ascii="Arial" w:eastAsia="Cambria" w:hAnsi="Arial" w:cs="Times New Roman"/>
      <w:lang w:eastAsia="en-AU"/>
    </w:rPr>
  </w:style>
  <w:style w:type="character" w:customStyle="1" w:styleId="AAAuthorChar">
    <w:name w:val="AA_Author Char"/>
    <w:link w:val="AAAuthor"/>
    <w:locked/>
    <w:rsid w:val="00883963"/>
    <w:rPr>
      <w:rFonts w:ascii="Arial" w:eastAsia="Cambria" w:hAnsi="Arial" w:cs="Times New Roman"/>
      <w:lang w:eastAsia="en-AU"/>
    </w:rPr>
  </w:style>
  <w:style w:type="paragraph" w:customStyle="1" w:styleId="heading3pp">
    <w:name w:val="heading 3 pp"/>
    <w:basedOn w:val="Normal"/>
    <w:link w:val="heading3ppChar"/>
    <w:qFormat/>
    <w:rsid w:val="007925F3"/>
    <w:pPr>
      <w:keepNext/>
      <w:keepLines/>
      <w:spacing w:before="120" w:after="120" w:line="240" w:lineRule="auto"/>
      <w:outlineLvl w:val="1"/>
    </w:pPr>
    <w:rPr>
      <w:rFonts w:ascii="Cambria" w:eastAsia="SimSun" w:hAnsi="Cambria"/>
      <w:bCs/>
      <w:i/>
      <w:sz w:val="24"/>
      <w:szCs w:val="24"/>
    </w:rPr>
  </w:style>
  <w:style w:type="character" w:customStyle="1" w:styleId="heading3ppChar">
    <w:name w:val="heading 3 pp Char"/>
    <w:basedOn w:val="DefaultParagraphFont"/>
    <w:link w:val="heading3pp"/>
    <w:rsid w:val="007925F3"/>
    <w:rPr>
      <w:rFonts w:ascii="Cambria" w:eastAsia="SimSun" w:hAnsi="Cambria" w:cs="Times New Roman"/>
      <w:bCs/>
      <w:i/>
      <w:sz w:val="24"/>
      <w:szCs w:val="24"/>
    </w:rPr>
  </w:style>
  <w:style w:type="paragraph" w:styleId="Title">
    <w:name w:val="Title"/>
    <w:basedOn w:val="Normal"/>
    <w:next w:val="Subtitle"/>
    <w:link w:val="TitleChar"/>
    <w:uiPriority w:val="10"/>
    <w:qFormat/>
    <w:rsid w:val="00AA605A"/>
    <w:pPr>
      <w:spacing w:after="300" w:line="192" w:lineRule="auto"/>
      <w:contextualSpacing/>
      <w:jc w:val="right"/>
    </w:pPr>
    <w:rPr>
      <w:rFonts w:asciiTheme="majorHAnsi" w:eastAsiaTheme="majorEastAsia" w:hAnsiTheme="majorHAnsi" w:cstheme="majorBidi"/>
      <w:b/>
      <w:bCs/>
      <w:caps/>
      <w:color w:val="FFFFFF" w:themeColor="background1"/>
      <w:spacing w:val="5"/>
      <w:kern w:val="28"/>
      <w:sz w:val="44"/>
      <w:szCs w:val="44"/>
      <w:lang w:val="en-US"/>
    </w:rPr>
  </w:style>
  <w:style w:type="character" w:customStyle="1" w:styleId="TitleChar">
    <w:name w:val="Title Char"/>
    <w:basedOn w:val="DefaultParagraphFont"/>
    <w:link w:val="Title"/>
    <w:uiPriority w:val="10"/>
    <w:rsid w:val="00AA605A"/>
    <w:rPr>
      <w:rFonts w:asciiTheme="majorHAnsi" w:eastAsiaTheme="majorEastAsia" w:hAnsiTheme="majorHAnsi" w:cstheme="majorBidi"/>
      <w:b/>
      <w:bCs/>
      <w:caps/>
      <w:color w:val="FFFFFF" w:themeColor="background1"/>
      <w:spacing w:val="5"/>
      <w:kern w:val="28"/>
      <w:sz w:val="44"/>
      <w:szCs w:val="44"/>
      <w:lang w:val="en-US"/>
    </w:rPr>
  </w:style>
  <w:style w:type="paragraph" w:customStyle="1" w:styleId="Covertextnormal">
    <w:name w:val="Cover text normal"/>
    <w:basedOn w:val="Normal"/>
    <w:qFormat/>
    <w:rsid w:val="00AA605A"/>
    <w:pPr>
      <w:spacing w:line="240" w:lineRule="auto"/>
      <w:jc w:val="right"/>
    </w:pPr>
    <w:rPr>
      <w:rFonts w:asciiTheme="majorHAnsi" w:eastAsiaTheme="minorHAnsi" w:hAnsiTheme="majorHAnsi" w:cstheme="minorBidi"/>
      <w:color w:val="FFFFFF" w:themeColor="background1"/>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20"/>
        <w:ind w:left="1191" w:hanging="11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01D28"/>
    <w:pPr>
      <w:spacing w:after="200" w:line="276" w:lineRule="auto"/>
      <w:ind w:left="0" w:firstLine="0"/>
      <w:jc w:val="left"/>
    </w:pPr>
    <w:rPr>
      <w:rFonts w:ascii="Calibri" w:eastAsia="Calibri" w:hAnsi="Calibri" w:cs="Times New Roman"/>
    </w:rPr>
  </w:style>
  <w:style w:type="paragraph" w:styleId="Heading1">
    <w:name w:val="heading 1"/>
    <w:aliases w:val="FARE Heading 1,Heading Numbered"/>
    <w:basedOn w:val="Normal"/>
    <w:next w:val="Normal"/>
    <w:link w:val="Heading1Char"/>
    <w:uiPriority w:val="9"/>
    <w:qFormat/>
    <w:rsid w:val="00C2662D"/>
    <w:pPr>
      <w:keepNext/>
      <w:keepLines/>
      <w:numPr>
        <w:numId w:val="9"/>
      </w:numPr>
      <w:outlineLvl w:val="0"/>
    </w:pPr>
    <w:rPr>
      <w:rFonts w:eastAsia="Times New Roman"/>
      <w:b/>
      <w:bCs/>
      <w:noProof/>
      <w:sz w:val="44"/>
      <w:szCs w:val="44"/>
      <w:lang w:val="en-GB"/>
    </w:rPr>
  </w:style>
  <w:style w:type="paragraph" w:styleId="Heading2">
    <w:name w:val="heading 2"/>
    <w:aliases w:val="FARE Heading 2"/>
    <w:basedOn w:val="Normal"/>
    <w:next w:val="Normal"/>
    <w:link w:val="Heading2Char"/>
    <w:uiPriority w:val="9"/>
    <w:unhideWhenUsed/>
    <w:qFormat/>
    <w:rsid w:val="00901D28"/>
    <w:pPr>
      <w:keepNext/>
      <w:keepLines/>
      <w:numPr>
        <w:ilvl w:val="1"/>
        <w:numId w:val="1"/>
      </w:numPr>
      <w:spacing w:before="200" w:after="0"/>
      <w:outlineLvl w:val="1"/>
    </w:pPr>
    <w:rPr>
      <w:rFonts w:eastAsia="Times New Roman"/>
      <w:b/>
      <w:bCs/>
      <w:color w:val="E41B23"/>
      <w:sz w:val="36"/>
      <w:szCs w:val="26"/>
    </w:rPr>
  </w:style>
  <w:style w:type="paragraph" w:styleId="Heading3">
    <w:name w:val="heading 3"/>
    <w:basedOn w:val="Normal"/>
    <w:next w:val="Normal"/>
    <w:link w:val="Heading3Char"/>
    <w:uiPriority w:val="9"/>
    <w:unhideWhenUsed/>
    <w:qFormat/>
    <w:rsid w:val="00901D28"/>
    <w:pPr>
      <w:keepNext/>
      <w:keepLines/>
      <w:numPr>
        <w:ilvl w:val="2"/>
        <w:numId w:val="1"/>
      </w:numPr>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iPriority w:val="9"/>
    <w:unhideWhenUsed/>
    <w:qFormat/>
    <w:rsid w:val="00901D28"/>
    <w:pPr>
      <w:keepNext/>
      <w:keepLines/>
      <w:numPr>
        <w:ilvl w:val="3"/>
        <w:numId w:val="1"/>
      </w:numPr>
      <w:spacing w:before="200" w:after="0"/>
      <w:outlineLvl w:val="3"/>
    </w:pPr>
    <w:rPr>
      <w:rFonts w:ascii="Cambria" w:eastAsia="Times New Roman" w:hAnsi="Cambria"/>
      <w:b/>
      <w:bCs/>
      <w:i/>
      <w:iCs/>
      <w:color w:val="4F81BD"/>
      <w:sz w:val="20"/>
      <w:szCs w:val="20"/>
    </w:rPr>
  </w:style>
  <w:style w:type="paragraph" w:styleId="Heading5">
    <w:name w:val="heading 5"/>
    <w:basedOn w:val="Normal"/>
    <w:next w:val="Normal"/>
    <w:link w:val="Heading5Char"/>
    <w:uiPriority w:val="9"/>
    <w:unhideWhenUsed/>
    <w:qFormat/>
    <w:rsid w:val="00901D28"/>
    <w:pPr>
      <w:keepNext/>
      <w:keepLines/>
      <w:numPr>
        <w:ilvl w:val="4"/>
        <w:numId w:val="1"/>
      </w:numPr>
      <w:spacing w:before="200" w:after="0"/>
      <w:outlineLvl w:val="4"/>
    </w:pPr>
    <w:rPr>
      <w:rFonts w:ascii="Cambria" w:eastAsia="Times New Roman" w:hAnsi="Cambria"/>
      <w:color w:val="243F60"/>
      <w:sz w:val="20"/>
      <w:szCs w:val="20"/>
    </w:rPr>
  </w:style>
  <w:style w:type="paragraph" w:styleId="Heading6">
    <w:name w:val="heading 6"/>
    <w:basedOn w:val="Normal"/>
    <w:next w:val="Normal"/>
    <w:link w:val="Heading6Char"/>
    <w:uiPriority w:val="9"/>
    <w:unhideWhenUsed/>
    <w:qFormat/>
    <w:rsid w:val="00901D28"/>
    <w:pPr>
      <w:keepNext/>
      <w:keepLines/>
      <w:numPr>
        <w:ilvl w:val="5"/>
        <w:numId w:val="1"/>
      </w:numPr>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uiPriority w:val="9"/>
    <w:unhideWhenUsed/>
    <w:qFormat/>
    <w:rsid w:val="00901D28"/>
    <w:pPr>
      <w:keepNext/>
      <w:keepLines/>
      <w:numPr>
        <w:ilvl w:val="6"/>
        <w:numId w:val="1"/>
      </w:numPr>
      <w:spacing w:before="200" w:after="0"/>
      <w:outlineLvl w:val="6"/>
    </w:pPr>
    <w:rPr>
      <w:rFonts w:ascii="Cambria" w:eastAsia="Times New Roman" w:hAnsi="Cambria"/>
      <w:i/>
      <w:iCs/>
      <w:color w:val="404040"/>
      <w:sz w:val="20"/>
      <w:szCs w:val="20"/>
    </w:rPr>
  </w:style>
  <w:style w:type="paragraph" w:styleId="Heading8">
    <w:name w:val="heading 8"/>
    <w:basedOn w:val="Normal"/>
    <w:next w:val="Normal"/>
    <w:link w:val="Heading8Char"/>
    <w:uiPriority w:val="9"/>
    <w:unhideWhenUsed/>
    <w:qFormat/>
    <w:rsid w:val="00901D28"/>
    <w:pPr>
      <w:keepNext/>
      <w:keepLines/>
      <w:numPr>
        <w:ilvl w:val="7"/>
        <w:numId w:val="1"/>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unhideWhenUsed/>
    <w:qFormat/>
    <w:rsid w:val="00901D28"/>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EH1">
    <w:name w:val="FARE_H1"/>
    <w:basedOn w:val="Heading1"/>
    <w:link w:val="FAREH1Char"/>
    <w:autoRedefine/>
    <w:qFormat/>
    <w:rsid w:val="00646317"/>
    <w:pPr>
      <w:numPr>
        <w:numId w:val="11"/>
      </w:numPr>
    </w:pPr>
    <w:rPr>
      <w:bCs w:val="0"/>
      <w:kern w:val="32"/>
      <w:szCs w:val="24"/>
      <w:lang w:val="en-US"/>
    </w:rPr>
  </w:style>
  <w:style w:type="character" w:customStyle="1" w:styleId="Heading1Char">
    <w:name w:val="Heading 1 Char"/>
    <w:aliases w:val="FARE Heading 1 Char,Heading Numbered Char"/>
    <w:link w:val="Heading1"/>
    <w:uiPriority w:val="9"/>
    <w:rsid w:val="00C2662D"/>
    <w:rPr>
      <w:rFonts w:ascii="Calibri" w:eastAsia="Times New Roman" w:hAnsi="Calibri" w:cs="Times New Roman"/>
      <w:b/>
      <w:bCs/>
      <w:noProof/>
      <w:sz w:val="44"/>
      <w:szCs w:val="44"/>
      <w:lang w:val="en-GB"/>
    </w:rPr>
  </w:style>
  <w:style w:type="character" w:customStyle="1" w:styleId="FAREH1Char">
    <w:name w:val="FARE_H1 Char"/>
    <w:link w:val="FAREH1"/>
    <w:rsid w:val="00646317"/>
    <w:rPr>
      <w:rFonts w:ascii="Calibri" w:eastAsia="Times New Roman" w:hAnsi="Calibri" w:cs="Times New Roman"/>
      <w:b/>
      <w:noProof/>
      <w:kern w:val="32"/>
      <w:sz w:val="44"/>
      <w:szCs w:val="24"/>
      <w:lang w:val="en-US"/>
    </w:rPr>
  </w:style>
  <w:style w:type="paragraph" w:customStyle="1" w:styleId="FAREH2">
    <w:name w:val="FARE_H2"/>
    <w:basedOn w:val="FAREH1"/>
    <w:link w:val="FAREH2Char"/>
    <w:qFormat/>
    <w:rsid w:val="00901D28"/>
    <w:pPr>
      <w:numPr>
        <w:ilvl w:val="1"/>
        <w:numId w:val="8"/>
      </w:numPr>
      <w:spacing w:after="120"/>
    </w:pPr>
    <w:rPr>
      <w:bCs/>
      <w:iCs/>
      <w:sz w:val="36"/>
      <w:szCs w:val="36"/>
    </w:rPr>
  </w:style>
  <w:style w:type="character" w:customStyle="1" w:styleId="Heading2Char">
    <w:name w:val="Heading 2 Char"/>
    <w:aliases w:val="FARE Heading 2 Char"/>
    <w:link w:val="Heading2"/>
    <w:uiPriority w:val="9"/>
    <w:rsid w:val="00901D28"/>
    <w:rPr>
      <w:rFonts w:ascii="Calibri" w:eastAsia="Times New Roman" w:hAnsi="Calibri" w:cs="Times New Roman"/>
      <w:b/>
      <w:bCs/>
      <w:color w:val="E41B23"/>
      <w:sz w:val="36"/>
      <w:szCs w:val="26"/>
    </w:rPr>
  </w:style>
  <w:style w:type="character" w:customStyle="1" w:styleId="FAREH2Char">
    <w:name w:val="FARE_H2 Char"/>
    <w:link w:val="FAREH2"/>
    <w:rsid w:val="00901D28"/>
    <w:rPr>
      <w:rFonts w:ascii="Calibri" w:eastAsia="Times New Roman" w:hAnsi="Calibri" w:cs="Times New Roman"/>
      <w:b/>
      <w:bCs/>
      <w:iCs/>
      <w:noProof/>
      <w:kern w:val="32"/>
      <w:sz w:val="36"/>
      <w:szCs w:val="36"/>
      <w:lang w:val="en-US"/>
    </w:rPr>
  </w:style>
  <w:style w:type="paragraph" w:customStyle="1" w:styleId="FAREH3">
    <w:name w:val="FARE_H3"/>
    <w:basedOn w:val="FAREH2"/>
    <w:next w:val="Normal"/>
    <w:link w:val="FAREH3Char"/>
    <w:qFormat/>
    <w:rsid w:val="0034684A"/>
    <w:pPr>
      <w:numPr>
        <w:ilvl w:val="2"/>
        <w:numId w:val="9"/>
      </w:numPr>
      <w:spacing w:before="280" w:line="240" w:lineRule="auto"/>
    </w:pPr>
    <w:rPr>
      <w:sz w:val="32"/>
      <w:szCs w:val="32"/>
    </w:rPr>
  </w:style>
  <w:style w:type="character" w:customStyle="1" w:styleId="FAREH3Char">
    <w:name w:val="FARE_H3 Char"/>
    <w:link w:val="FAREH3"/>
    <w:rsid w:val="0034684A"/>
    <w:rPr>
      <w:rFonts w:ascii="Calibri" w:eastAsia="Times New Roman" w:hAnsi="Calibri" w:cs="Times New Roman"/>
      <w:b/>
      <w:bCs/>
      <w:iCs/>
      <w:noProof/>
      <w:kern w:val="32"/>
      <w:sz w:val="32"/>
      <w:szCs w:val="32"/>
      <w:lang w:val="en-US"/>
    </w:rPr>
  </w:style>
  <w:style w:type="character" w:customStyle="1" w:styleId="Heading3Char">
    <w:name w:val="Heading 3 Char"/>
    <w:link w:val="Heading3"/>
    <w:uiPriority w:val="9"/>
    <w:rsid w:val="00901D28"/>
    <w:rPr>
      <w:rFonts w:ascii="Cambria" w:eastAsia="Times New Roman" w:hAnsi="Cambria" w:cs="Times New Roman"/>
      <w:b/>
      <w:bCs/>
      <w:color w:val="4F81BD"/>
      <w:sz w:val="20"/>
      <w:szCs w:val="20"/>
    </w:rPr>
  </w:style>
  <w:style w:type="character" w:customStyle="1" w:styleId="Heading4Char">
    <w:name w:val="Heading 4 Char"/>
    <w:link w:val="Heading4"/>
    <w:uiPriority w:val="9"/>
    <w:rsid w:val="00901D28"/>
    <w:rPr>
      <w:rFonts w:ascii="Cambria" w:eastAsia="Times New Roman" w:hAnsi="Cambria" w:cs="Times New Roman"/>
      <w:b/>
      <w:bCs/>
      <w:i/>
      <w:iCs/>
      <w:color w:val="4F81BD"/>
      <w:sz w:val="20"/>
      <w:szCs w:val="20"/>
    </w:rPr>
  </w:style>
  <w:style w:type="character" w:customStyle="1" w:styleId="Heading5Char">
    <w:name w:val="Heading 5 Char"/>
    <w:link w:val="Heading5"/>
    <w:uiPriority w:val="9"/>
    <w:rsid w:val="00901D28"/>
    <w:rPr>
      <w:rFonts w:ascii="Cambria" w:eastAsia="Times New Roman" w:hAnsi="Cambria" w:cs="Times New Roman"/>
      <w:color w:val="243F60"/>
      <w:sz w:val="20"/>
      <w:szCs w:val="20"/>
    </w:rPr>
  </w:style>
  <w:style w:type="character" w:customStyle="1" w:styleId="Heading6Char">
    <w:name w:val="Heading 6 Char"/>
    <w:link w:val="Heading6"/>
    <w:uiPriority w:val="9"/>
    <w:rsid w:val="00901D28"/>
    <w:rPr>
      <w:rFonts w:ascii="Cambria" w:eastAsia="Times New Roman" w:hAnsi="Cambria" w:cs="Times New Roman"/>
      <w:i/>
      <w:iCs/>
      <w:color w:val="243F60"/>
      <w:sz w:val="20"/>
      <w:szCs w:val="20"/>
    </w:rPr>
  </w:style>
  <w:style w:type="character" w:customStyle="1" w:styleId="Heading7Char">
    <w:name w:val="Heading 7 Char"/>
    <w:link w:val="Heading7"/>
    <w:uiPriority w:val="9"/>
    <w:rsid w:val="00901D28"/>
    <w:rPr>
      <w:rFonts w:ascii="Cambria" w:eastAsia="Times New Roman" w:hAnsi="Cambria" w:cs="Times New Roman"/>
      <w:i/>
      <w:iCs/>
      <w:color w:val="404040"/>
      <w:sz w:val="20"/>
      <w:szCs w:val="20"/>
    </w:rPr>
  </w:style>
  <w:style w:type="character" w:customStyle="1" w:styleId="Heading8Char">
    <w:name w:val="Heading 8 Char"/>
    <w:link w:val="Heading8"/>
    <w:uiPriority w:val="9"/>
    <w:rsid w:val="00901D28"/>
    <w:rPr>
      <w:rFonts w:ascii="Cambria" w:eastAsia="Times New Roman" w:hAnsi="Cambria" w:cs="Times New Roman"/>
      <w:color w:val="404040"/>
      <w:sz w:val="20"/>
      <w:szCs w:val="20"/>
    </w:rPr>
  </w:style>
  <w:style w:type="character" w:customStyle="1" w:styleId="Heading9Char">
    <w:name w:val="Heading 9 Char"/>
    <w:link w:val="Heading9"/>
    <w:uiPriority w:val="9"/>
    <w:rsid w:val="00901D28"/>
    <w:rPr>
      <w:rFonts w:ascii="Cambria" w:eastAsia="Times New Roman" w:hAnsi="Cambria" w:cs="Times New Roman"/>
      <w:i/>
      <w:iCs/>
      <w:color w:val="404040"/>
      <w:sz w:val="20"/>
      <w:szCs w:val="20"/>
    </w:rPr>
  </w:style>
  <w:style w:type="character" w:styleId="Strong">
    <w:name w:val="Strong"/>
    <w:uiPriority w:val="22"/>
    <w:qFormat/>
    <w:rsid w:val="00901D28"/>
  </w:style>
  <w:style w:type="character" w:styleId="CommentReference">
    <w:name w:val="annotation reference"/>
    <w:uiPriority w:val="99"/>
    <w:semiHidden/>
    <w:unhideWhenUsed/>
    <w:rsid w:val="00901D28"/>
    <w:rPr>
      <w:sz w:val="16"/>
      <w:szCs w:val="16"/>
    </w:rPr>
  </w:style>
  <w:style w:type="paragraph" w:styleId="CommentText">
    <w:name w:val="annotation text"/>
    <w:basedOn w:val="Normal"/>
    <w:link w:val="CommentTextChar"/>
    <w:uiPriority w:val="99"/>
    <w:unhideWhenUsed/>
    <w:rsid w:val="00901D28"/>
    <w:rPr>
      <w:sz w:val="20"/>
      <w:szCs w:val="20"/>
    </w:rPr>
  </w:style>
  <w:style w:type="character" w:customStyle="1" w:styleId="CommentTextChar">
    <w:name w:val="Comment Text Char"/>
    <w:link w:val="CommentText"/>
    <w:uiPriority w:val="99"/>
    <w:rsid w:val="00901D28"/>
    <w:rPr>
      <w:rFonts w:ascii="Calibri" w:eastAsia="Calibri" w:hAnsi="Calibri" w:cs="Times New Roman"/>
      <w:sz w:val="20"/>
      <w:szCs w:val="20"/>
    </w:rPr>
  </w:style>
  <w:style w:type="paragraph" w:customStyle="1" w:styleId="FAREnormaltext">
    <w:name w:val="FARE_normal text"/>
    <w:basedOn w:val="Normal"/>
    <w:link w:val="FAREnormaltextChar"/>
    <w:qFormat/>
    <w:rsid w:val="00A539EC"/>
    <w:pPr>
      <w:jc w:val="both"/>
    </w:pPr>
    <w:rPr>
      <w:lang w:val="en-GB"/>
    </w:rPr>
  </w:style>
  <w:style w:type="character" w:customStyle="1" w:styleId="FAREnormaltextChar">
    <w:name w:val="FARE_normal text Char"/>
    <w:link w:val="FAREnormaltext"/>
    <w:rsid w:val="00A539EC"/>
    <w:rPr>
      <w:rFonts w:ascii="Calibri" w:eastAsia="Calibri" w:hAnsi="Calibri" w:cs="Times New Roman"/>
      <w:lang w:val="en-GB"/>
    </w:rPr>
  </w:style>
  <w:style w:type="character" w:styleId="Emphasis">
    <w:name w:val="Emphasis"/>
    <w:aliases w:val="FARE_Figures"/>
    <w:uiPriority w:val="20"/>
    <w:qFormat/>
    <w:rsid w:val="00901D28"/>
  </w:style>
  <w:style w:type="paragraph" w:customStyle="1" w:styleId="FAREH4">
    <w:name w:val="FARE H_4"/>
    <w:basedOn w:val="FAREH3"/>
    <w:link w:val="FAREH4Char"/>
    <w:qFormat/>
    <w:rsid w:val="00901D28"/>
    <w:rPr>
      <w:sz w:val="28"/>
      <w:szCs w:val="28"/>
    </w:rPr>
  </w:style>
  <w:style w:type="character" w:customStyle="1" w:styleId="FAREH4Char">
    <w:name w:val="FARE H_4 Char"/>
    <w:link w:val="FAREH4"/>
    <w:rsid w:val="00901D28"/>
    <w:rPr>
      <w:rFonts w:ascii="Calibri" w:eastAsia="Times New Roman" w:hAnsi="Calibri" w:cs="Times New Roman"/>
      <w:b/>
      <w:bCs/>
      <w:iCs/>
      <w:noProof/>
      <w:kern w:val="32"/>
      <w:sz w:val="28"/>
      <w:szCs w:val="28"/>
      <w:lang w:val="en-US"/>
    </w:rPr>
  </w:style>
  <w:style w:type="paragraph" w:styleId="BalloonText">
    <w:name w:val="Balloon Text"/>
    <w:basedOn w:val="Normal"/>
    <w:link w:val="BalloonTextChar"/>
    <w:uiPriority w:val="99"/>
    <w:semiHidden/>
    <w:unhideWhenUsed/>
    <w:rsid w:val="00901D28"/>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1D28"/>
    <w:rPr>
      <w:rFonts w:ascii="Tahoma" w:eastAsia="Calibri" w:hAnsi="Tahoma" w:cs="Times New Roman"/>
      <w:sz w:val="16"/>
      <w:szCs w:val="16"/>
    </w:rPr>
  </w:style>
  <w:style w:type="paragraph" w:styleId="Subtitle">
    <w:name w:val="Subtitle"/>
    <w:aliases w:val="FARE Heading 4"/>
    <w:basedOn w:val="Normal"/>
    <w:next w:val="Normal"/>
    <w:link w:val="SubtitleChar"/>
    <w:uiPriority w:val="11"/>
    <w:qFormat/>
    <w:rsid w:val="00901D28"/>
    <w:pPr>
      <w:numPr>
        <w:ilvl w:val="1"/>
      </w:numPr>
      <w:spacing w:before="200" w:after="0"/>
    </w:pPr>
    <w:rPr>
      <w:rFonts w:eastAsia="Times New Roman"/>
      <w:iCs/>
      <w:color w:val="E41B23"/>
      <w:spacing w:val="15"/>
      <w:sz w:val="28"/>
      <w:szCs w:val="24"/>
    </w:rPr>
  </w:style>
  <w:style w:type="character" w:customStyle="1" w:styleId="SubtitleChar">
    <w:name w:val="Subtitle Char"/>
    <w:aliases w:val="FARE Heading 4 Char"/>
    <w:link w:val="Subtitle"/>
    <w:uiPriority w:val="11"/>
    <w:rsid w:val="00901D28"/>
    <w:rPr>
      <w:rFonts w:ascii="Calibri" w:eastAsia="Times New Roman" w:hAnsi="Calibri" w:cs="Times New Roman"/>
      <w:iCs/>
      <w:color w:val="E41B23"/>
      <w:spacing w:val="15"/>
      <w:sz w:val="28"/>
      <w:szCs w:val="24"/>
    </w:rPr>
  </w:style>
  <w:style w:type="paragraph" w:styleId="NoSpacing">
    <w:name w:val="No Spacing"/>
    <w:link w:val="NoSpacingChar"/>
    <w:uiPriority w:val="1"/>
    <w:qFormat/>
    <w:rsid w:val="00901D28"/>
    <w:pPr>
      <w:spacing w:after="0"/>
      <w:ind w:left="0" w:firstLine="0"/>
      <w:jc w:val="left"/>
    </w:pPr>
    <w:rPr>
      <w:rFonts w:ascii="Calibri" w:eastAsia="Calibri" w:hAnsi="Calibri" w:cs="Times New Roman"/>
      <w:lang w:eastAsia="en-AU"/>
    </w:rPr>
  </w:style>
  <w:style w:type="character" w:customStyle="1" w:styleId="NoSpacingChar">
    <w:name w:val="No Spacing Char"/>
    <w:link w:val="NoSpacing"/>
    <w:uiPriority w:val="1"/>
    <w:rsid w:val="00901D28"/>
    <w:rPr>
      <w:rFonts w:ascii="Calibri" w:eastAsia="Calibri" w:hAnsi="Calibri" w:cs="Times New Roman"/>
      <w:lang w:eastAsia="en-AU"/>
    </w:rPr>
  </w:style>
  <w:style w:type="paragraph" w:customStyle="1" w:styleId="FARETableStyle1">
    <w:name w:val="FARE Table Style1"/>
    <w:basedOn w:val="Normal"/>
    <w:link w:val="FARETableStyle1Char"/>
    <w:autoRedefine/>
    <w:qFormat/>
    <w:rsid w:val="00A126E3"/>
    <w:pPr>
      <w:spacing w:after="0" w:line="240" w:lineRule="auto"/>
    </w:pPr>
    <w:rPr>
      <w:rFonts w:eastAsia="Times New Roman"/>
      <w:b/>
      <w:lang w:eastAsia="en-AU"/>
    </w:rPr>
  </w:style>
  <w:style w:type="character" w:customStyle="1" w:styleId="FARETableStyle1Char">
    <w:name w:val="FARE Table Style1 Char"/>
    <w:link w:val="FARETableStyle1"/>
    <w:rsid w:val="00A126E3"/>
    <w:rPr>
      <w:rFonts w:ascii="Calibri" w:eastAsia="Times New Roman" w:hAnsi="Calibri" w:cs="Times New Roman"/>
      <w:b/>
      <w:lang w:eastAsia="en-AU"/>
    </w:rPr>
  </w:style>
  <w:style w:type="paragraph" w:styleId="Caption">
    <w:name w:val="caption"/>
    <w:basedOn w:val="Normal"/>
    <w:next w:val="Normal"/>
    <w:uiPriority w:val="35"/>
    <w:unhideWhenUsed/>
    <w:qFormat/>
    <w:rsid w:val="00901D28"/>
    <w:pPr>
      <w:spacing w:line="240" w:lineRule="auto"/>
    </w:pPr>
    <w:rPr>
      <w:b/>
      <w:bCs/>
      <w:color w:val="4F81BD"/>
      <w:sz w:val="18"/>
      <w:szCs w:val="18"/>
    </w:rPr>
  </w:style>
  <w:style w:type="character" w:styleId="SubtleEmphasis">
    <w:name w:val="Subtle Emphasis"/>
    <w:aliases w:val="Table foot note"/>
    <w:uiPriority w:val="19"/>
    <w:qFormat/>
    <w:rsid w:val="00901D28"/>
    <w:rPr>
      <w:sz w:val="20"/>
      <w:szCs w:val="20"/>
    </w:rPr>
  </w:style>
  <w:style w:type="paragraph" w:customStyle="1" w:styleId="FAREtableheading">
    <w:name w:val="FARE_table heading"/>
    <w:basedOn w:val="NoSpacing"/>
    <w:link w:val="FAREtableheadingChar"/>
    <w:qFormat/>
    <w:rsid w:val="00A126E3"/>
    <w:pPr>
      <w:spacing w:after="200" w:line="276" w:lineRule="auto"/>
    </w:pPr>
    <w:rPr>
      <w:b/>
      <w:lang w:val="en-GB"/>
    </w:rPr>
  </w:style>
  <w:style w:type="character" w:customStyle="1" w:styleId="FAREtableheadingChar">
    <w:name w:val="FARE_table heading Char"/>
    <w:link w:val="FAREtableheading"/>
    <w:rsid w:val="00A126E3"/>
    <w:rPr>
      <w:rFonts w:ascii="Calibri" w:eastAsia="Calibri" w:hAnsi="Calibri" w:cs="Times New Roman"/>
      <w:b/>
      <w:lang w:val="en-GB" w:eastAsia="en-AU"/>
    </w:rPr>
  </w:style>
  <w:style w:type="paragraph" w:customStyle="1" w:styleId="FAREHeading3">
    <w:name w:val="FARE Heading 3"/>
    <w:basedOn w:val="FAREH3"/>
    <w:next w:val="FAREnormaltext"/>
    <w:link w:val="FAREHeading3Char"/>
    <w:qFormat/>
    <w:rsid w:val="00901D28"/>
    <w:rPr>
      <w:rFonts w:eastAsia="Calibri"/>
      <w:bCs w:val="0"/>
      <w:iCs w:val="0"/>
      <w:kern w:val="0"/>
    </w:rPr>
  </w:style>
  <w:style w:type="paragraph" w:styleId="TOCHeading">
    <w:name w:val="TOC Heading"/>
    <w:basedOn w:val="Heading1"/>
    <w:next w:val="Normal"/>
    <w:uiPriority w:val="39"/>
    <w:unhideWhenUsed/>
    <w:qFormat/>
    <w:rsid w:val="00901D28"/>
    <w:pPr>
      <w:numPr>
        <w:numId w:val="0"/>
      </w:numPr>
      <w:spacing w:before="480" w:after="0"/>
      <w:outlineLvl w:val="9"/>
    </w:pPr>
    <w:rPr>
      <w:rFonts w:ascii="Cambria" w:hAnsi="Cambria"/>
      <w:color w:val="365F91"/>
      <w:sz w:val="28"/>
      <w:lang w:val="en-US"/>
    </w:rPr>
  </w:style>
  <w:style w:type="character" w:customStyle="1" w:styleId="FAREHeading3Char">
    <w:name w:val="FARE Heading 3 Char"/>
    <w:link w:val="FAREHeading3"/>
    <w:rsid w:val="00901D28"/>
    <w:rPr>
      <w:rFonts w:ascii="Calibri" w:eastAsia="Calibri" w:hAnsi="Calibri" w:cs="Times New Roman"/>
      <w:b/>
      <w:noProof/>
      <w:sz w:val="32"/>
      <w:szCs w:val="32"/>
      <w:lang w:val="en-US"/>
    </w:rPr>
  </w:style>
  <w:style w:type="paragraph" w:styleId="TOC1">
    <w:name w:val="toc 1"/>
    <w:basedOn w:val="Normal"/>
    <w:next w:val="Normal"/>
    <w:autoRedefine/>
    <w:uiPriority w:val="39"/>
    <w:unhideWhenUsed/>
    <w:qFormat/>
    <w:rsid w:val="00901D28"/>
    <w:pPr>
      <w:tabs>
        <w:tab w:val="right" w:leader="dot" w:pos="9016"/>
      </w:tabs>
      <w:spacing w:after="100"/>
    </w:pPr>
    <w:rPr>
      <w:b/>
      <w:noProof/>
    </w:rPr>
  </w:style>
  <w:style w:type="paragraph" w:styleId="TOC2">
    <w:name w:val="toc 2"/>
    <w:basedOn w:val="Normal"/>
    <w:next w:val="Normal"/>
    <w:autoRedefine/>
    <w:uiPriority w:val="39"/>
    <w:unhideWhenUsed/>
    <w:qFormat/>
    <w:rsid w:val="00901D28"/>
    <w:pPr>
      <w:tabs>
        <w:tab w:val="right" w:leader="dot" w:pos="9016"/>
      </w:tabs>
      <w:spacing w:after="100"/>
      <w:ind w:left="221"/>
    </w:pPr>
  </w:style>
  <w:style w:type="character" w:styleId="Hyperlink">
    <w:name w:val="Hyperlink"/>
    <w:uiPriority w:val="99"/>
    <w:unhideWhenUsed/>
    <w:rsid w:val="00901D28"/>
    <w:rPr>
      <w:color w:val="0000FF"/>
      <w:u w:val="single"/>
    </w:rPr>
  </w:style>
  <w:style w:type="paragraph" w:styleId="FootnoteText">
    <w:name w:val="footnote text"/>
    <w:basedOn w:val="Normal"/>
    <w:link w:val="FootnoteTextChar"/>
    <w:uiPriority w:val="99"/>
    <w:unhideWhenUsed/>
    <w:rsid w:val="00901D28"/>
    <w:rPr>
      <w:sz w:val="20"/>
      <w:szCs w:val="20"/>
    </w:rPr>
  </w:style>
  <w:style w:type="character" w:customStyle="1" w:styleId="FootnoteTextChar">
    <w:name w:val="Footnote Text Char"/>
    <w:link w:val="FootnoteText"/>
    <w:uiPriority w:val="99"/>
    <w:rsid w:val="00901D28"/>
    <w:rPr>
      <w:rFonts w:ascii="Calibri" w:eastAsia="Calibri" w:hAnsi="Calibri" w:cs="Times New Roman"/>
      <w:sz w:val="20"/>
      <w:szCs w:val="20"/>
    </w:rPr>
  </w:style>
  <w:style w:type="character" w:styleId="FootnoteReference">
    <w:name w:val="footnote reference"/>
    <w:uiPriority w:val="99"/>
    <w:unhideWhenUsed/>
    <w:rsid w:val="00901D28"/>
    <w:rPr>
      <w:vertAlign w:val="superscript"/>
    </w:rPr>
  </w:style>
  <w:style w:type="paragraph" w:customStyle="1" w:styleId="FAREH5">
    <w:name w:val="FARE H_5"/>
    <w:basedOn w:val="FAREH4"/>
    <w:link w:val="FAREH5Char"/>
    <w:qFormat/>
    <w:rsid w:val="00901D28"/>
    <w:rPr>
      <w:rFonts w:eastAsia="Calibri"/>
      <w:bCs w:val="0"/>
      <w:iCs w:val="0"/>
      <w:kern w:val="0"/>
      <w:sz w:val="24"/>
      <w:szCs w:val="24"/>
    </w:rPr>
  </w:style>
  <w:style w:type="character" w:customStyle="1" w:styleId="FAREH5Char">
    <w:name w:val="FARE H_5 Char"/>
    <w:link w:val="FAREH5"/>
    <w:rsid w:val="00901D28"/>
    <w:rPr>
      <w:rFonts w:ascii="Calibri" w:eastAsia="Calibri" w:hAnsi="Calibri" w:cs="Times New Roman"/>
      <w:b/>
      <w:noProof/>
      <w:sz w:val="24"/>
      <w:szCs w:val="24"/>
      <w:lang w:val="en-US"/>
    </w:rPr>
  </w:style>
  <w:style w:type="paragraph" w:styleId="Header">
    <w:name w:val="header"/>
    <w:basedOn w:val="Normal"/>
    <w:link w:val="HeaderChar"/>
    <w:uiPriority w:val="99"/>
    <w:unhideWhenUsed/>
    <w:rsid w:val="00901D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1D28"/>
    <w:rPr>
      <w:rFonts w:ascii="Calibri" w:eastAsia="Calibri" w:hAnsi="Calibri" w:cs="Times New Roman"/>
    </w:rPr>
  </w:style>
  <w:style w:type="paragraph" w:styleId="Footer">
    <w:name w:val="footer"/>
    <w:basedOn w:val="Normal"/>
    <w:link w:val="FooterChar"/>
    <w:uiPriority w:val="99"/>
    <w:unhideWhenUsed/>
    <w:rsid w:val="00901D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1D28"/>
    <w:rPr>
      <w:rFonts w:ascii="Calibri" w:eastAsia="Calibri" w:hAnsi="Calibri" w:cs="Times New Roman"/>
    </w:rPr>
  </w:style>
  <w:style w:type="paragraph" w:styleId="TOC3">
    <w:name w:val="toc 3"/>
    <w:basedOn w:val="Normal"/>
    <w:next w:val="Normal"/>
    <w:autoRedefine/>
    <w:uiPriority w:val="39"/>
    <w:unhideWhenUsed/>
    <w:qFormat/>
    <w:rsid w:val="00901D28"/>
    <w:pPr>
      <w:spacing w:after="100"/>
      <w:ind w:left="440"/>
    </w:pPr>
    <w:rPr>
      <w:rFonts w:eastAsia="Times New Roman"/>
      <w:lang w:val="en-US"/>
    </w:rPr>
  </w:style>
  <w:style w:type="table" w:styleId="TableGrid">
    <w:name w:val="Table Grid"/>
    <w:basedOn w:val="TableNormal"/>
    <w:uiPriority w:val="59"/>
    <w:rsid w:val="00901D28"/>
    <w:pPr>
      <w:spacing w:after="0"/>
      <w:ind w:left="0" w:firstLine="0"/>
      <w:jc w:val="left"/>
    </w:pPr>
    <w:rPr>
      <w:rFonts w:ascii="Calibri" w:eastAsia="Calibri" w:hAnsi="Calibri" w:cs="Times New Roman"/>
      <w:sz w:val="20"/>
      <w:szCs w:val="20"/>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901D28"/>
    <w:rPr>
      <w:b/>
      <w:bCs/>
    </w:rPr>
  </w:style>
  <w:style w:type="character" w:customStyle="1" w:styleId="CommentSubjectChar">
    <w:name w:val="Comment Subject Char"/>
    <w:link w:val="CommentSubject"/>
    <w:uiPriority w:val="99"/>
    <w:semiHidden/>
    <w:rsid w:val="00901D28"/>
    <w:rPr>
      <w:rFonts w:ascii="Calibri" w:eastAsia="Calibri" w:hAnsi="Calibri" w:cs="Times New Roman"/>
      <w:b/>
      <w:bCs/>
      <w:sz w:val="20"/>
      <w:szCs w:val="20"/>
    </w:rPr>
  </w:style>
  <w:style w:type="paragraph" w:styleId="ListParagraph">
    <w:name w:val="List Paragraph"/>
    <w:basedOn w:val="Normal"/>
    <w:link w:val="ListParagraphChar"/>
    <w:uiPriority w:val="34"/>
    <w:qFormat/>
    <w:rsid w:val="00901D28"/>
    <w:pPr>
      <w:spacing w:before="120" w:line="360" w:lineRule="auto"/>
      <w:ind w:left="720"/>
      <w:contextualSpacing/>
    </w:pPr>
    <w:rPr>
      <w:rFonts w:ascii="Times New Roman" w:hAnsi="Times New Roman"/>
      <w:sz w:val="24"/>
    </w:rPr>
  </w:style>
  <w:style w:type="numbering" w:customStyle="1" w:styleId="Style1">
    <w:name w:val="Style1"/>
    <w:uiPriority w:val="99"/>
    <w:rsid w:val="00901D28"/>
    <w:pPr>
      <w:numPr>
        <w:numId w:val="2"/>
      </w:numPr>
    </w:pPr>
  </w:style>
  <w:style w:type="paragraph" w:customStyle="1" w:styleId="TPReferences">
    <w:name w:val="TP_References"/>
    <w:basedOn w:val="Normal"/>
    <w:rsid w:val="00901D28"/>
    <w:pPr>
      <w:widowControl w:val="0"/>
      <w:autoSpaceDE w:val="0"/>
      <w:autoSpaceDN w:val="0"/>
      <w:adjustRightInd w:val="0"/>
      <w:spacing w:after="240" w:line="240" w:lineRule="auto"/>
      <w:ind w:left="720" w:hanging="720"/>
    </w:pPr>
    <w:rPr>
      <w:rFonts w:ascii="Arial" w:hAnsi="Arial" w:cs="Arial"/>
      <w:bCs/>
      <w:sz w:val="20"/>
      <w:szCs w:val="20"/>
    </w:rPr>
  </w:style>
  <w:style w:type="paragraph" w:customStyle="1" w:styleId="HTO2heading1">
    <w:name w:val="HTO2 heading 1"/>
    <w:basedOn w:val="Heading1"/>
    <w:rsid w:val="00901D28"/>
    <w:pPr>
      <w:keepLines w:val="0"/>
      <w:numPr>
        <w:numId w:val="0"/>
      </w:numPr>
    </w:pPr>
    <w:rPr>
      <w:color w:val="FF0000"/>
      <w:kern w:val="32"/>
      <w:szCs w:val="24"/>
      <w:lang w:val="en-US" w:eastAsia="en-AU"/>
    </w:rPr>
  </w:style>
  <w:style w:type="paragraph" w:customStyle="1" w:styleId="HTO2heading2">
    <w:name w:val="HTO2 heading 2"/>
    <w:basedOn w:val="Heading2"/>
    <w:qFormat/>
    <w:rsid w:val="00901D28"/>
    <w:pPr>
      <w:numPr>
        <w:ilvl w:val="0"/>
        <w:numId w:val="0"/>
      </w:numPr>
    </w:pPr>
    <w:rPr>
      <w:kern w:val="32"/>
      <w:szCs w:val="36"/>
      <w:lang w:val="en-US" w:eastAsia="en-AU"/>
    </w:rPr>
  </w:style>
  <w:style w:type="paragraph" w:customStyle="1" w:styleId="HTO2heading3">
    <w:name w:val="HTO2 heading 3"/>
    <w:basedOn w:val="Heading3"/>
    <w:qFormat/>
    <w:rsid w:val="00901D28"/>
    <w:pPr>
      <w:numPr>
        <w:ilvl w:val="0"/>
        <w:numId w:val="0"/>
      </w:numPr>
      <w:spacing w:before="300" w:after="170" w:line="280" w:lineRule="exact"/>
    </w:pPr>
    <w:rPr>
      <w:rFonts w:ascii="Calibri" w:hAnsi="Calibri"/>
      <w:b w:val="0"/>
      <w:caps/>
      <w:color w:val="FF0000"/>
      <w:sz w:val="28"/>
      <w:szCs w:val="24"/>
      <w:lang w:val="en-US"/>
    </w:rPr>
  </w:style>
  <w:style w:type="paragraph" w:customStyle="1" w:styleId="NumberedList">
    <w:name w:val="Numbered List"/>
    <w:next w:val="Normal"/>
    <w:link w:val="NumberedListChar"/>
    <w:qFormat/>
    <w:rsid w:val="00901D28"/>
    <w:pPr>
      <w:numPr>
        <w:numId w:val="3"/>
      </w:numPr>
      <w:spacing w:after="0"/>
    </w:pPr>
    <w:rPr>
      <w:rFonts w:ascii="Calibri" w:eastAsia="Cambria" w:hAnsi="Calibri" w:cs="Times New Roman"/>
      <w:color w:val="939497"/>
      <w:sz w:val="20"/>
      <w:szCs w:val="24"/>
      <w:lang w:val="en-US" w:eastAsia="en-AU"/>
    </w:rPr>
  </w:style>
  <w:style w:type="character" w:customStyle="1" w:styleId="NumberedListChar">
    <w:name w:val="Numbered List Char"/>
    <w:link w:val="NumberedList"/>
    <w:rsid w:val="00901D28"/>
    <w:rPr>
      <w:rFonts w:ascii="Calibri" w:eastAsia="Cambria" w:hAnsi="Calibri" w:cs="Times New Roman"/>
      <w:color w:val="939497"/>
      <w:sz w:val="20"/>
      <w:szCs w:val="24"/>
      <w:lang w:val="en-US" w:eastAsia="en-AU"/>
    </w:rPr>
  </w:style>
  <w:style w:type="character" w:customStyle="1" w:styleId="st1">
    <w:name w:val="st1"/>
    <w:basedOn w:val="DefaultParagraphFont"/>
    <w:rsid w:val="00901D28"/>
  </w:style>
  <w:style w:type="paragraph" w:customStyle="1" w:styleId="CoverPageText">
    <w:name w:val="Cover Page Text"/>
    <w:qFormat/>
    <w:rsid w:val="00901D28"/>
    <w:pPr>
      <w:spacing w:after="0" w:line="480" w:lineRule="exact"/>
      <w:ind w:left="0" w:firstLine="0"/>
      <w:jc w:val="right"/>
    </w:pPr>
    <w:rPr>
      <w:rFonts w:ascii="Calibri" w:eastAsia="Cambria" w:hAnsi="Calibri" w:cs="Times New Roman"/>
      <w:sz w:val="32"/>
      <w:szCs w:val="24"/>
      <w:lang w:val="en-US"/>
    </w:rPr>
  </w:style>
  <w:style w:type="paragraph" w:customStyle="1" w:styleId="TPparagraph">
    <w:name w:val="TP_paragraph"/>
    <w:link w:val="TPparagraphChar"/>
    <w:rsid w:val="00901D28"/>
    <w:pPr>
      <w:spacing w:before="80" w:after="200" w:line="276" w:lineRule="auto"/>
      <w:ind w:left="0" w:firstLine="0"/>
    </w:pPr>
    <w:rPr>
      <w:rFonts w:ascii="Arial" w:eastAsia="Calibri" w:hAnsi="Arial" w:cs="Arial"/>
      <w:lang w:eastAsia="en-AU"/>
    </w:rPr>
  </w:style>
  <w:style w:type="character" w:customStyle="1" w:styleId="TPparagraphChar">
    <w:name w:val="TP_paragraph Char"/>
    <w:link w:val="TPparagraph"/>
    <w:locked/>
    <w:rsid w:val="00901D28"/>
    <w:rPr>
      <w:rFonts w:ascii="Arial" w:eastAsia="Calibri" w:hAnsi="Arial" w:cs="Arial"/>
      <w:lang w:eastAsia="en-AU"/>
    </w:rPr>
  </w:style>
  <w:style w:type="paragraph" w:styleId="TableofFigures">
    <w:name w:val="table of figures"/>
    <w:basedOn w:val="Normal"/>
    <w:next w:val="Normal"/>
    <w:uiPriority w:val="99"/>
    <w:unhideWhenUsed/>
    <w:rsid w:val="00901D28"/>
  </w:style>
  <w:style w:type="paragraph" w:customStyle="1" w:styleId="TPFootnotetext">
    <w:name w:val="TP_Footnote text"/>
    <w:basedOn w:val="FootnoteText"/>
    <w:link w:val="TPFootnotetextChar"/>
    <w:rsid w:val="00901D28"/>
    <w:pPr>
      <w:keepLines/>
      <w:spacing w:after="240" w:line="240" w:lineRule="auto"/>
      <w:ind w:left="284" w:hanging="284"/>
      <w:contextualSpacing/>
    </w:pPr>
    <w:rPr>
      <w:rFonts w:ascii="Arial Narrow" w:hAnsi="Arial Narrow"/>
      <w:color w:val="000000"/>
      <w:sz w:val="18"/>
    </w:rPr>
  </w:style>
  <w:style w:type="character" w:customStyle="1" w:styleId="TPFootnotetextChar">
    <w:name w:val="TP_Footnote text Char"/>
    <w:link w:val="TPFootnotetext"/>
    <w:locked/>
    <w:rsid w:val="00901D28"/>
    <w:rPr>
      <w:rFonts w:ascii="Arial Narrow" w:eastAsia="Calibri" w:hAnsi="Arial Narrow" w:cs="Times New Roman"/>
      <w:color w:val="000000"/>
      <w:sz w:val="18"/>
      <w:szCs w:val="20"/>
    </w:rPr>
  </w:style>
  <w:style w:type="paragraph" w:styleId="Revision">
    <w:name w:val="Revision"/>
    <w:hidden/>
    <w:uiPriority w:val="99"/>
    <w:semiHidden/>
    <w:rsid w:val="00901D28"/>
    <w:pPr>
      <w:spacing w:after="0"/>
      <w:ind w:left="0" w:firstLine="0"/>
      <w:jc w:val="left"/>
    </w:pPr>
    <w:rPr>
      <w:rFonts w:ascii="Calibri" w:eastAsia="Calibri" w:hAnsi="Calibri" w:cs="Times New Roman"/>
    </w:rPr>
  </w:style>
  <w:style w:type="paragraph" w:customStyle="1" w:styleId="FooterText">
    <w:name w:val="Footer Text"/>
    <w:qFormat/>
    <w:rsid w:val="00901D28"/>
    <w:pPr>
      <w:spacing w:after="0" w:line="160" w:lineRule="exact"/>
      <w:ind w:left="0" w:firstLine="0"/>
      <w:jc w:val="right"/>
    </w:pPr>
    <w:rPr>
      <w:rFonts w:ascii="Calibri" w:eastAsia="Cambria" w:hAnsi="Calibri" w:cs="Times New Roman"/>
      <w:caps/>
      <w:color w:val="939497"/>
      <w:sz w:val="17"/>
      <w:szCs w:val="24"/>
      <w:lang w:val="en-US"/>
    </w:rPr>
  </w:style>
  <w:style w:type="paragraph" w:styleId="NormalWeb">
    <w:name w:val="Normal (Web)"/>
    <w:basedOn w:val="Normal"/>
    <w:uiPriority w:val="99"/>
    <w:unhideWhenUsed/>
    <w:rsid w:val="00901D28"/>
    <w:pPr>
      <w:spacing w:before="100" w:beforeAutospacing="1" w:after="100" w:afterAutospacing="1" w:line="240" w:lineRule="auto"/>
    </w:pPr>
    <w:rPr>
      <w:rFonts w:ascii="Times New Roman" w:eastAsia="Times New Roman" w:hAnsi="Times New Roman"/>
      <w:sz w:val="24"/>
      <w:szCs w:val="24"/>
      <w:lang w:eastAsia="en-AU"/>
    </w:rPr>
  </w:style>
  <w:style w:type="paragraph" w:customStyle="1" w:styleId="FAREdotpoint">
    <w:name w:val="FARE_dot point"/>
    <w:basedOn w:val="Normal"/>
    <w:link w:val="FAREdotpointChar"/>
    <w:qFormat/>
    <w:rsid w:val="00901D28"/>
    <w:pPr>
      <w:numPr>
        <w:numId w:val="10"/>
      </w:numPr>
      <w:spacing w:after="170" w:line="280" w:lineRule="exact"/>
      <w:jc w:val="both"/>
    </w:pPr>
    <w:rPr>
      <w:sz w:val="20"/>
      <w:szCs w:val="20"/>
    </w:rPr>
  </w:style>
  <w:style w:type="character" w:customStyle="1" w:styleId="FAREdotpointChar">
    <w:name w:val="FARE_dot point Char"/>
    <w:link w:val="FAREdotpoint"/>
    <w:rsid w:val="00901D28"/>
    <w:rPr>
      <w:rFonts w:ascii="Calibri" w:eastAsia="Calibri" w:hAnsi="Calibri" w:cs="Times New Roman"/>
      <w:sz w:val="20"/>
      <w:szCs w:val="20"/>
    </w:rPr>
  </w:style>
  <w:style w:type="paragraph" w:styleId="TOC4">
    <w:name w:val="toc 4"/>
    <w:basedOn w:val="Normal"/>
    <w:next w:val="Normal"/>
    <w:autoRedefine/>
    <w:uiPriority w:val="39"/>
    <w:unhideWhenUsed/>
    <w:rsid w:val="00901D28"/>
    <w:pPr>
      <w:spacing w:after="100"/>
      <w:ind w:left="660"/>
    </w:pPr>
    <w:rPr>
      <w:rFonts w:eastAsia="Times New Roman"/>
      <w:lang w:eastAsia="en-AU"/>
    </w:rPr>
  </w:style>
  <w:style w:type="paragraph" w:styleId="TOC5">
    <w:name w:val="toc 5"/>
    <w:basedOn w:val="Normal"/>
    <w:next w:val="Normal"/>
    <w:autoRedefine/>
    <w:uiPriority w:val="39"/>
    <w:unhideWhenUsed/>
    <w:rsid w:val="00901D28"/>
    <w:pPr>
      <w:spacing w:after="100"/>
      <w:ind w:left="880"/>
    </w:pPr>
    <w:rPr>
      <w:rFonts w:eastAsia="Times New Roman"/>
      <w:lang w:eastAsia="en-AU"/>
    </w:rPr>
  </w:style>
  <w:style w:type="paragraph" w:styleId="TOC6">
    <w:name w:val="toc 6"/>
    <w:basedOn w:val="Normal"/>
    <w:next w:val="Normal"/>
    <w:autoRedefine/>
    <w:uiPriority w:val="39"/>
    <w:unhideWhenUsed/>
    <w:rsid w:val="00901D28"/>
    <w:pPr>
      <w:spacing w:after="100"/>
      <w:ind w:left="1100"/>
    </w:pPr>
    <w:rPr>
      <w:rFonts w:eastAsia="Times New Roman"/>
      <w:lang w:eastAsia="en-AU"/>
    </w:rPr>
  </w:style>
  <w:style w:type="paragraph" w:styleId="TOC7">
    <w:name w:val="toc 7"/>
    <w:basedOn w:val="Normal"/>
    <w:next w:val="Normal"/>
    <w:autoRedefine/>
    <w:uiPriority w:val="39"/>
    <w:unhideWhenUsed/>
    <w:rsid w:val="00901D28"/>
    <w:pPr>
      <w:spacing w:after="100"/>
      <w:ind w:left="1320"/>
    </w:pPr>
    <w:rPr>
      <w:rFonts w:eastAsia="Times New Roman"/>
      <w:lang w:eastAsia="en-AU"/>
    </w:rPr>
  </w:style>
  <w:style w:type="paragraph" w:styleId="TOC8">
    <w:name w:val="toc 8"/>
    <w:basedOn w:val="Normal"/>
    <w:next w:val="Normal"/>
    <w:autoRedefine/>
    <w:uiPriority w:val="39"/>
    <w:unhideWhenUsed/>
    <w:rsid w:val="00901D28"/>
    <w:pPr>
      <w:spacing w:after="100"/>
      <w:ind w:left="1540"/>
    </w:pPr>
    <w:rPr>
      <w:rFonts w:eastAsia="Times New Roman"/>
      <w:lang w:eastAsia="en-AU"/>
    </w:rPr>
  </w:style>
  <w:style w:type="paragraph" w:styleId="TOC9">
    <w:name w:val="toc 9"/>
    <w:basedOn w:val="Normal"/>
    <w:next w:val="Normal"/>
    <w:autoRedefine/>
    <w:uiPriority w:val="39"/>
    <w:unhideWhenUsed/>
    <w:rsid w:val="00901D28"/>
    <w:pPr>
      <w:spacing w:after="100"/>
      <w:ind w:left="1760"/>
    </w:pPr>
    <w:rPr>
      <w:rFonts w:eastAsia="Times New Roman"/>
      <w:lang w:eastAsia="en-AU"/>
    </w:rPr>
  </w:style>
  <w:style w:type="paragraph" w:styleId="BodyTextIndent">
    <w:name w:val="Body Text Indent"/>
    <w:aliases w:val="Body Text Indent Char Char Char Char Char Char Char Char Char Char"/>
    <w:basedOn w:val="Normal"/>
    <w:link w:val="BodyTextIndentChar"/>
    <w:uiPriority w:val="99"/>
    <w:rsid w:val="00901D28"/>
    <w:pPr>
      <w:spacing w:before="100" w:after="100" w:line="360" w:lineRule="auto"/>
      <w:ind w:left="720"/>
      <w:jc w:val="both"/>
    </w:pPr>
    <w:rPr>
      <w:rFonts w:ascii="Arial" w:eastAsia="Times New Roman" w:hAnsi="Arial"/>
      <w:sz w:val="20"/>
      <w:szCs w:val="20"/>
    </w:rPr>
  </w:style>
  <w:style w:type="character" w:customStyle="1" w:styleId="BodyTextIndentChar">
    <w:name w:val="Body Text Indent Char"/>
    <w:aliases w:val="Body Text Indent Char Char Char Char Char Char Char Char Char Char Char"/>
    <w:link w:val="BodyTextIndent"/>
    <w:uiPriority w:val="99"/>
    <w:rsid w:val="00901D28"/>
    <w:rPr>
      <w:rFonts w:ascii="Arial" w:eastAsia="Times New Roman" w:hAnsi="Arial" w:cs="Times New Roman"/>
      <w:sz w:val="20"/>
      <w:szCs w:val="20"/>
    </w:rPr>
  </w:style>
  <w:style w:type="paragraph" w:customStyle="1" w:styleId="Figure3">
    <w:name w:val="Figure 3"/>
    <w:basedOn w:val="Heading3"/>
    <w:link w:val="Figure3Char"/>
    <w:rsid w:val="00901D28"/>
    <w:pPr>
      <w:keepLines w:val="0"/>
      <w:numPr>
        <w:ilvl w:val="0"/>
        <w:numId w:val="0"/>
      </w:numPr>
      <w:pBdr>
        <w:bottom w:val="double" w:sz="4" w:space="1" w:color="auto"/>
      </w:pBdr>
      <w:spacing w:before="120" w:after="120" w:line="360" w:lineRule="auto"/>
      <w:jc w:val="both"/>
    </w:pPr>
    <w:rPr>
      <w:rFonts w:ascii="Arial" w:hAnsi="Arial"/>
      <w:bCs w:val="0"/>
      <w:color w:val="auto"/>
    </w:rPr>
  </w:style>
  <w:style w:type="character" w:customStyle="1" w:styleId="Figure3Char">
    <w:name w:val="Figure 3 Char"/>
    <w:link w:val="Figure3"/>
    <w:rsid w:val="00901D28"/>
    <w:rPr>
      <w:rFonts w:ascii="Arial" w:eastAsia="Times New Roman" w:hAnsi="Arial" w:cs="Times New Roman"/>
      <w:b/>
      <w:sz w:val="20"/>
      <w:szCs w:val="20"/>
    </w:rPr>
  </w:style>
  <w:style w:type="paragraph" w:customStyle="1" w:styleId="Headline">
    <w:name w:val="Headline"/>
    <w:next w:val="Normal"/>
    <w:autoRedefine/>
    <w:rsid w:val="00901D28"/>
    <w:pPr>
      <w:pageBreakBefore/>
      <w:pBdr>
        <w:bottom w:val="single" w:sz="4" w:space="1" w:color="auto"/>
      </w:pBdr>
      <w:ind w:left="0" w:right="6" w:firstLine="0"/>
      <w:jc w:val="left"/>
    </w:pPr>
    <w:rPr>
      <w:rFonts w:ascii="Univers" w:eastAsia="Times New Roman" w:hAnsi="Univers" w:cs="Times New Roman"/>
      <w:b/>
      <w:bCs/>
      <w:color w:val="000066"/>
      <w:sz w:val="32"/>
      <w:szCs w:val="32"/>
      <w:lang w:val="en-US"/>
    </w:rPr>
  </w:style>
  <w:style w:type="character" w:customStyle="1" w:styleId="moz-txt-tag">
    <w:name w:val="moz-txt-tag"/>
    <w:basedOn w:val="DefaultParagraphFont"/>
    <w:rsid w:val="00901D28"/>
  </w:style>
  <w:style w:type="paragraph" w:customStyle="1" w:styleId="StyleStyleBodyTextCharJustifiedRight-027cm">
    <w:name w:val="Style Style Body Text Char + Justified Right:  -0.27 cm"/>
    <w:basedOn w:val="Normal"/>
    <w:rsid w:val="00901D28"/>
    <w:pPr>
      <w:spacing w:before="120" w:after="120" w:line="360" w:lineRule="auto"/>
      <w:ind w:left="720" w:right="-151"/>
      <w:jc w:val="both"/>
    </w:pPr>
    <w:rPr>
      <w:rFonts w:ascii="Arial" w:eastAsia="Times New Roman" w:hAnsi="Arial"/>
      <w:sz w:val="20"/>
      <w:szCs w:val="20"/>
    </w:rPr>
  </w:style>
  <w:style w:type="paragraph" w:customStyle="1" w:styleId="StyleJustifiedCharChar">
    <w:name w:val="Style Justified Char Char"/>
    <w:basedOn w:val="Normal"/>
    <w:link w:val="StyleJustifiedCharCharChar1"/>
    <w:rsid w:val="00901D28"/>
    <w:pPr>
      <w:widowControl w:val="0"/>
      <w:adjustRightInd w:val="0"/>
      <w:spacing w:after="240" w:line="240" w:lineRule="auto"/>
      <w:jc w:val="both"/>
      <w:textAlignment w:val="baseline"/>
    </w:pPr>
    <w:rPr>
      <w:rFonts w:ascii="Times New Roman" w:eastAsia="PMingLiU" w:hAnsi="Times New Roman"/>
      <w:sz w:val="24"/>
      <w:szCs w:val="20"/>
      <w:lang w:val="en-US"/>
    </w:rPr>
  </w:style>
  <w:style w:type="character" w:customStyle="1" w:styleId="StyleJustifiedCharCharChar1">
    <w:name w:val="Style Justified Char Char Char1"/>
    <w:link w:val="StyleJustifiedCharChar"/>
    <w:rsid w:val="00901D28"/>
    <w:rPr>
      <w:rFonts w:ascii="Times New Roman" w:eastAsia="PMingLiU" w:hAnsi="Times New Roman" w:cs="Times New Roman"/>
      <w:sz w:val="24"/>
      <w:szCs w:val="20"/>
      <w:lang w:val="en-US"/>
    </w:rPr>
  </w:style>
  <w:style w:type="paragraph" w:styleId="PlainText">
    <w:name w:val="Plain Text"/>
    <w:basedOn w:val="Normal"/>
    <w:link w:val="PlainTextChar"/>
    <w:uiPriority w:val="99"/>
    <w:rsid w:val="00901D28"/>
    <w:pPr>
      <w:spacing w:after="0" w:line="240" w:lineRule="auto"/>
    </w:pPr>
    <w:rPr>
      <w:rFonts w:ascii="Courier New" w:eastAsia="Times New Roman" w:hAnsi="Courier New"/>
      <w:sz w:val="20"/>
      <w:szCs w:val="20"/>
    </w:rPr>
  </w:style>
  <w:style w:type="character" w:customStyle="1" w:styleId="PlainTextChar">
    <w:name w:val="Plain Text Char"/>
    <w:link w:val="PlainText"/>
    <w:uiPriority w:val="99"/>
    <w:rsid w:val="00901D28"/>
    <w:rPr>
      <w:rFonts w:ascii="Courier New" w:eastAsia="Times New Roman" w:hAnsi="Courier New" w:cs="Times New Roman"/>
      <w:sz w:val="20"/>
      <w:szCs w:val="20"/>
    </w:rPr>
  </w:style>
  <w:style w:type="character" w:styleId="SubtleReference">
    <w:name w:val="Subtle Reference"/>
    <w:uiPriority w:val="31"/>
    <w:qFormat/>
    <w:rsid w:val="00901D28"/>
    <w:rPr>
      <w:smallCaps/>
      <w:color w:val="C0504D"/>
      <w:u w:val="single"/>
    </w:rPr>
  </w:style>
  <w:style w:type="character" w:styleId="BookTitle">
    <w:name w:val="Book Title"/>
    <w:uiPriority w:val="33"/>
    <w:qFormat/>
    <w:rsid w:val="00901D28"/>
    <w:rPr>
      <w:b/>
      <w:bCs/>
      <w:smallCaps/>
      <w:spacing w:val="5"/>
    </w:rPr>
  </w:style>
  <w:style w:type="character" w:styleId="IntenseReference">
    <w:name w:val="Intense Reference"/>
    <w:uiPriority w:val="32"/>
    <w:qFormat/>
    <w:rsid w:val="00901D28"/>
    <w:rPr>
      <w:b/>
      <w:bCs/>
      <w:smallCaps/>
      <w:color w:val="C0504D"/>
      <w:spacing w:val="5"/>
      <w:u w:val="single"/>
    </w:rPr>
  </w:style>
  <w:style w:type="paragraph" w:styleId="BodyText">
    <w:name w:val="Body Text"/>
    <w:basedOn w:val="Normal"/>
    <w:link w:val="BodyTextChar"/>
    <w:rsid w:val="00901D28"/>
    <w:pPr>
      <w:spacing w:after="0" w:line="240" w:lineRule="auto"/>
      <w:jc w:val="both"/>
    </w:pPr>
    <w:rPr>
      <w:rFonts w:ascii="Times New Roman" w:eastAsia="Times New Roman" w:hAnsi="Times New Roman"/>
      <w:b/>
      <w:sz w:val="24"/>
      <w:szCs w:val="20"/>
      <w:lang w:val="en-US"/>
    </w:rPr>
  </w:style>
  <w:style w:type="character" w:customStyle="1" w:styleId="BodyTextChar">
    <w:name w:val="Body Text Char"/>
    <w:link w:val="BodyText"/>
    <w:rsid w:val="00901D28"/>
    <w:rPr>
      <w:rFonts w:ascii="Times New Roman" w:eastAsia="Times New Roman" w:hAnsi="Times New Roman" w:cs="Times New Roman"/>
      <w:b/>
      <w:sz w:val="24"/>
      <w:szCs w:val="20"/>
      <w:lang w:val="en-US"/>
    </w:rPr>
  </w:style>
  <w:style w:type="paragraph" w:customStyle="1" w:styleId="Scale5pts">
    <w:name w:val="Scale 5pts"/>
    <w:rsid w:val="00901D28"/>
    <w:pPr>
      <w:tabs>
        <w:tab w:val="center" w:pos="720"/>
        <w:tab w:val="center" w:pos="2520"/>
        <w:tab w:val="center" w:pos="4320"/>
        <w:tab w:val="center" w:pos="6480"/>
        <w:tab w:val="center" w:pos="8280"/>
      </w:tabs>
      <w:suppressAutoHyphens/>
      <w:spacing w:after="0"/>
      <w:ind w:left="0" w:firstLine="0"/>
      <w:jc w:val="left"/>
    </w:pPr>
    <w:rPr>
      <w:rFonts w:ascii="Arial" w:eastAsia="Times New Roman" w:hAnsi="Arial" w:cs="Times New Roman"/>
      <w:noProof/>
      <w:szCs w:val="20"/>
    </w:rPr>
  </w:style>
  <w:style w:type="paragraph" w:customStyle="1" w:styleId="BodyDHS">
    <w:name w:val="Body DHS"/>
    <w:basedOn w:val="Normal"/>
    <w:rsid w:val="00901D28"/>
    <w:pPr>
      <w:overflowPunct w:val="0"/>
      <w:autoSpaceDE w:val="0"/>
      <w:autoSpaceDN w:val="0"/>
      <w:spacing w:after="180" w:line="260" w:lineRule="exact"/>
    </w:pPr>
    <w:rPr>
      <w:rFonts w:ascii="Book Antiqua" w:hAnsi="Book Antiqua"/>
      <w:sz w:val="21"/>
      <w:szCs w:val="21"/>
      <w:lang w:eastAsia="en-AU"/>
    </w:rPr>
  </w:style>
  <w:style w:type="character" w:customStyle="1" w:styleId="DocumentMapChar">
    <w:name w:val="Document Map Char"/>
    <w:aliases w:val=" Char Char"/>
    <w:link w:val="DocumentMap"/>
    <w:uiPriority w:val="99"/>
    <w:semiHidden/>
    <w:rsid w:val="00901D28"/>
    <w:rPr>
      <w:rFonts w:ascii="Tahoma" w:hAnsi="Tahoma"/>
      <w:sz w:val="16"/>
      <w:szCs w:val="16"/>
    </w:rPr>
  </w:style>
  <w:style w:type="paragraph" w:styleId="DocumentMap">
    <w:name w:val="Document Map"/>
    <w:aliases w:val=" Char"/>
    <w:basedOn w:val="Normal"/>
    <w:link w:val="DocumentMapChar"/>
    <w:uiPriority w:val="99"/>
    <w:semiHidden/>
    <w:unhideWhenUsed/>
    <w:rsid w:val="00901D28"/>
    <w:pPr>
      <w:spacing w:after="0" w:line="240" w:lineRule="auto"/>
    </w:pPr>
    <w:rPr>
      <w:rFonts w:ascii="Tahoma" w:eastAsiaTheme="minorHAnsi" w:hAnsi="Tahoma" w:cstheme="minorBidi"/>
      <w:sz w:val="16"/>
      <w:szCs w:val="16"/>
    </w:rPr>
  </w:style>
  <w:style w:type="character" w:customStyle="1" w:styleId="DocumentMapChar1">
    <w:name w:val="Document Map Char1"/>
    <w:uiPriority w:val="99"/>
    <w:semiHidden/>
    <w:rsid w:val="00901D28"/>
    <w:rPr>
      <w:rFonts w:ascii="Tahoma" w:hAnsi="Tahoma" w:cs="Tahoma"/>
      <w:sz w:val="16"/>
      <w:szCs w:val="16"/>
    </w:rPr>
  </w:style>
  <w:style w:type="paragraph" w:customStyle="1" w:styleId="DHSText10pt">
    <w:name w:val="DHS Text 10pt"/>
    <w:basedOn w:val="Normal"/>
    <w:rsid w:val="00901D28"/>
    <w:pPr>
      <w:widowControl w:val="0"/>
      <w:overflowPunct w:val="0"/>
      <w:autoSpaceDE w:val="0"/>
      <w:autoSpaceDN w:val="0"/>
      <w:adjustRightInd w:val="0"/>
      <w:spacing w:after="0" w:line="240" w:lineRule="auto"/>
      <w:textAlignment w:val="baseline"/>
    </w:pPr>
    <w:rPr>
      <w:rFonts w:ascii="Verdana" w:eastAsia="Times New Roman" w:hAnsi="Verdana"/>
      <w:sz w:val="20"/>
      <w:szCs w:val="20"/>
    </w:rPr>
  </w:style>
  <w:style w:type="paragraph" w:customStyle="1" w:styleId="table">
    <w:name w:val="table"/>
    <w:basedOn w:val="Normal"/>
    <w:rsid w:val="00901D28"/>
    <w:pPr>
      <w:overflowPunct w:val="0"/>
      <w:autoSpaceDE w:val="0"/>
      <w:autoSpaceDN w:val="0"/>
      <w:adjustRightInd w:val="0"/>
      <w:spacing w:after="120" w:line="360" w:lineRule="auto"/>
      <w:textAlignment w:val="baseline"/>
    </w:pPr>
    <w:rPr>
      <w:rFonts w:ascii="Times New Roman" w:eastAsia="SimSun" w:hAnsi="Times New Roman"/>
      <w:szCs w:val="20"/>
    </w:rPr>
  </w:style>
  <w:style w:type="character" w:customStyle="1" w:styleId="BodyText2Char">
    <w:name w:val="Body Text 2 Char"/>
    <w:link w:val="BodyText2"/>
    <w:semiHidden/>
    <w:rsid w:val="00901D28"/>
    <w:rPr>
      <w:rFonts w:ascii="Times New Roman" w:eastAsia="SimSun" w:hAnsi="Times New Roman"/>
      <w:sz w:val="24"/>
      <w:szCs w:val="24"/>
      <w:lang w:val="en-US" w:eastAsia="zh-CN"/>
    </w:rPr>
  </w:style>
  <w:style w:type="paragraph" w:styleId="BodyText2">
    <w:name w:val="Body Text 2"/>
    <w:basedOn w:val="Normal"/>
    <w:link w:val="BodyText2Char"/>
    <w:semiHidden/>
    <w:rsid w:val="00901D28"/>
    <w:pPr>
      <w:spacing w:after="120" w:line="480" w:lineRule="auto"/>
    </w:pPr>
    <w:rPr>
      <w:rFonts w:ascii="Times New Roman" w:eastAsia="SimSun" w:hAnsi="Times New Roman" w:cstheme="minorBidi"/>
      <w:sz w:val="24"/>
      <w:szCs w:val="24"/>
      <w:lang w:val="en-US" w:eastAsia="zh-CN"/>
    </w:rPr>
  </w:style>
  <w:style w:type="character" w:customStyle="1" w:styleId="BodyText2Char1">
    <w:name w:val="Body Text 2 Char1"/>
    <w:basedOn w:val="DefaultParagraphFont"/>
    <w:uiPriority w:val="99"/>
    <w:semiHidden/>
    <w:rsid w:val="00901D28"/>
  </w:style>
  <w:style w:type="paragraph" w:customStyle="1" w:styleId="Codes">
    <w:name w:val="Codes"/>
    <w:basedOn w:val="Normal"/>
    <w:rsid w:val="00901D28"/>
    <w:pPr>
      <w:numPr>
        <w:ilvl w:val="1"/>
        <w:numId w:val="4"/>
      </w:numPr>
      <w:tabs>
        <w:tab w:val="left" w:pos="6120"/>
      </w:tabs>
      <w:spacing w:after="0" w:line="240" w:lineRule="auto"/>
    </w:pPr>
    <w:rPr>
      <w:rFonts w:ascii="Arial" w:eastAsia="Times New Roman" w:hAnsi="Arial" w:cs="Arial"/>
      <w:sz w:val="18"/>
      <w:szCs w:val="20"/>
    </w:rPr>
  </w:style>
  <w:style w:type="character" w:styleId="PageNumber">
    <w:name w:val="page number"/>
    <w:basedOn w:val="DefaultParagraphFont"/>
    <w:rsid w:val="00901D28"/>
  </w:style>
  <w:style w:type="character" w:customStyle="1" w:styleId="CharChar13">
    <w:name w:val="Char Char13"/>
    <w:rsid w:val="00901D28"/>
    <w:rPr>
      <w:rFonts w:ascii="Cambria" w:eastAsia="Times New Roman" w:hAnsi="Cambria" w:cs="Times New Roman"/>
      <w:b/>
      <w:bCs/>
      <w:kern w:val="32"/>
      <w:sz w:val="32"/>
      <w:szCs w:val="32"/>
    </w:rPr>
  </w:style>
  <w:style w:type="paragraph" w:customStyle="1" w:styleId="CODEFRAME">
    <w:name w:val="CODE FRAME"/>
    <w:basedOn w:val="Normal"/>
    <w:rsid w:val="00901D28"/>
    <w:pPr>
      <w:numPr>
        <w:numId w:val="5"/>
      </w:numPr>
      <w:spacing w:after="0" w:line="240" w:lineRule="auto"/>
    </w:pPr>
    <w:rPr>
      <w:rFonts w:ascii="Arial" w:eastAsia="Times New Roman" w:hAnsi="Arial" w:cs="Arial"/>
      <w:sz w:val="20"/>
      <w:szCs w:val="20"/>
      <w:lang w:eastAsia="en-AU"/>
    </w:rPr>
  </w:style>
  <w:style w:type="character" w:customStyle="1" w:styleId="value2">
    <w:name w:val="value2"/>
    <w:rsid w:val="00901D28"/>
    <w:rPr>
      <w:color w:val="3F3F3F"/>
    </w:rPr>
  </w:style>
  <w:style w:type="paragraph" w:styleId="EndnoteText">
    <w:name w:val="endnote text"/>
    <w:basedOn w:val="Normal"/>
    <w:link w:val="EndnoteTextChar"/>
    <w:uiPriority w:val="99"/>
    <w:semiHidden/>
    <w:unhideWhenUsed/>
    <w:rsid w:val="00901D28"/>
    <w:pPr>
      <w:spacing w:after="80" w:line="360" w:lineRule="auto"/>
    </w:pPr>
    <w:rPr>
      <w:sz w:val="20"/>
      <w:szCs w:val="20"/>
    </w:rPr>
  </w:style>
  <w:style w:type="character" w:customStyle="1" w:styleId="EndnoteTextChar">
    <w:name w:val="Endnote Text Char"/>
    <w:link w:val="EndnoteText"/>
    <w:uiPriority w:val="99"/>
    <w:semiHidden/>
    <w:rsid w:val="00901D28"/>
    <w:rPr>
      <w:rFonts w:ascii="Calibri" w:eastAsia="Calibri" w:hAnsi="Calibri" w:cs="Times New Roman"/>
      <w:sz w:val="20"/>
      <w:szCs w:val="20"/>
    </w:rPr>
  </w:style>
  <w:style w:type="character" w:styleId="EndnoteReference">
    <w:name w:val="endnote reference"/>
    <w:uiPriority w:val="99"/>
    <w:semiHidden/>
    <w:unhideWhenUsed/>
    <w:rsid w:val="00901D28"/>
    <w:rPr>
      <w:vertAlign w:val="superscript"/>
    </w:rPr>
  </w:style>
  <w:style w:type="paragraph" w:customStyle="1" w:styleId="ExSumlevel2">
    <w:name w:val="Ex Sum level 2"/>
    <w:basedOn w:val="Normal"/>
    <w:link w:val="ExSumlevel2Char"/>
    <w:rsid w:val="00901D28"/>
    <w:pPr>
      <w:spacing w:after="80" w:line="240" w:lineRule="auto"/>
    </w:pPr>
    <w:rPr>
      <w:b/>
      <w:color w:val="E41B23"/>
      <w:sz w:val="32"/>
      <w:szCs w:val="32"/>
    </w:rPr>
  </w:style>
  <w:style w:type="character" w:customStyle="1" w:styleId="ExSumlevel2Char">
    <w:name w:val="Ex Sum level 2 Char"/>
    <w:link w:val="ExSumlevel2"/>
    <w:rsid w:val="00901D28"/>
    <w:rPr>
      <w:rFonts w:ascii="Calibri" w:eastAsia="Calibri" w:hAnsi="Calibri" w:cs="Times New Roman"/>
      <w:b/>
      <w:color w:val="E41B23"/>
      <w:sz w:val="32"/>
      <w:szCs w:val="32"/>
    </w:rPr>
  </w:style>
  <w:style w:type="paragraph" w:customStyle="1" w:styleId="Normal1">
    <w:name w:val="Normal1"/>
    <w:basedOn w:val="Normal"/>
    <w:link w:val="NormalChar"/>
    <w:qFormat/>
    <w:rsid w:val="00336F46"/>
    <w:rPr>
      <w:rFonts w:asciiTheme="minorHAnsi" w:hAnsiTheme="minorHAnsi"/>
      <w:szCs w:val="20"/>
    </w:rPr>
  </w:style>
  <w:style w:type="character" w:customStyle="1" w:styleId="NormalChar">
    <w:name w:val="Normal Char"/>
    <w:link w:val="Normal1"/>
    <w:rsid w:val="00336F46"/>
    <w:rPr>
      <w:rFonts w:eastAsia="Calibri" w:cs="Times New Roman"/>
      <w:szCs w:val="20"/>
    </w:rPr>
  </w:style>
  <w:style w:type="paragraph" w:customStyle="1" w:styleId="Executive">
    <w:name w:val="Executive"/>
    <w:basedOn w:val="Normal"/>
    <w:link w:val="ExecutiveChar"/>
    <w:rsid w:val="00901D28"/>
    <w:pPr>
      <w:spacing w:before="200" w:after="0"/>
    </w:pPr>
    <w:rPr>
      <w:b/>
      <w:color w:val="E41B23"/>
      <w:sz w:val="48"/>
      <w:szCs w:val="48"/>
    </w:rPr>
  </w:style>
  <w:style w:type="character" w:customStyle="1" w:styleId="apple-converted-space">
    <w:name w:val="apple-converted-space"/>
    <w:basedOn w:val="DefaultParagraphFont"/>
    <w:rsid w:val="00901D28"/>
  </w:style>
  <w:style w:type="character" w:customStyle="1" w:styleId="ExecutiveChar">
    <w:name w:val="Executive Char"/>
    <w:link w:val="Executive"/>
    <w:rsid w:val="00901D28"/>
    <w:rPr>
      <w:rFonts w:ascii="Calibri" w:eastAsia="Calibri" w:hAnsi="Calibri" w:cs="Times New Roman"/>
      <w:b/>
      <w:color w:val="E41B23"/>
      <w:sz w:val="48"/>
      <w:szCs w:val="48"/>
    </w:rPr>
  </w:style>
  <w:style w:type="character" w:customStyle="1" w:styleId="st">
    <w:name w:val="st"/>
    <w:basedOn w:val="DefaultParagraphFont"/>
    <w:rsid w:val="00901D28"/>
  </w:style>
  <w:style w:type="table" w:styleId="LightShading-Accent2">
    <w:name w:val="Light Shading Accent 2"/>
    <w:basedOn w:val="TableNormal"/>
    <w:uiPriority w:val="60"/>
    <w:rsid w:val="00901D28"/>
    <w:pPr>
      <w:spacing w:after="0"/>
      <w:ind w:left="0" w:firstLine="0"/>
      <w:jc w:val="left"/>
    </w:pPr>
    <w:rPr>
      <w:rFonts w:ascii="Calibri" w:eastAsia="Calibri" w:hAnsi="Calibri" w:cs="Times New Roman"/>
      <w:color w:val="943634"/>
      <w:sz w:val="20"/>
      <w:szCs w:val="20"/>
      <w:lang w:eastAsia="en-A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2">
    <w:name w:val="Medium Shading 1 Accent 2"/>
    <w:basedOn w:val="TableNormal"/>
    <w:uiPriority w:val="63"/>
    <w:rsid w:val="00901D28"/>
    <w:pPr>
      <w:spacing w:after="0"/>
      <w:ind w:left="0" w:firstLine="0"/>
      <w:jc w:val="left"/>
    </w:pPr>
    <w:rPr>
      <w:rFonts w:ascii="Calibri" w:eastAsia="Calibri" w:hAnsi="Calibri" w:cs="Times New Roman"/>
      <w:sz w:val="20"/>
      <w:szCs w:val="20"/>
      <w:lang w:eastAsia="en-AU"/>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customStyle="1" w:styleId="ExSumlevel3">
    <w:name w:val="Ex Sum level 3"/>
    <w:basedOn w:val="FAREH4"/>
    <w:link w:val="ExSumlevel3Char"/>
    <w:qFormat/>
    <w:rsid w:val="00901D28"/>
    <w:pPr>
      <w:numPr>
        <w:ilvl w:val="0"/>
        <w:numId w:val="0"/>
      </w:numPr>
    </w:pPr>
  </w:style>
  <w:style w:type="numbering" w:customStyle="1" w:styleId="Style2">
    <w:name w:val="Style2"/>
    <w:uiPriority w:val="99"/>
    <w:rsid w:val="00901D28"/>
    <w:pPr>
      <w:numPr>
        <w:numId w:val="6"/>
      </w:numPr>
    </w:pPr>
  </w:style>
  <w:style w:type="character" w:customStyle="1" w:styleId="ExSumlevel3Char">
    <w:name w:val="Ex Sum level 3 Char"/>
    <w:basedOn w:val="FAREH4Char"/>
    <w:link w:val="ExSumlevel3"/>
    <w:rsid w:val="00901D28"/>
    <w:rPr>
      <w:rFonts w:ascii="Calibri" w:eastAsia="Times New Roman" w:hAnsi="Calibri" w:cs="Times New Roman"/>
      <w:b/>
      <w:bCs/>
      <w:iCs/>
      <w:noProof/>
      <w:color w:val="E41B23"/>
      <w:kern w:val="32"/>
      <w:sz w:val="28"/>
      <w:szCs w:val="28"/>
      <w:lang w:val="en-US"/>
    </w:rPr>
  </w:style>
  <w:style w:type="paragraph" w:customStyle="1" w:styleId="HTOH3withnumber">
    <w:name w:val="HTO H3 with number"/>
    <w:basedOn w:val="FAREH2"/>
    <w:link w:val="HTOH3withnumberChar"/>
    <w:qFormat/>
    <w:rsid w:val="00901D28"/>
    <w:pPr>
      <w:numPr>
        <w:ilvl w:val="2"/>
        <w:numId w:val="7"/>
      </w:numPr>
    </w:pPr>
    <w:rPr>
      <w:sz w:val="32"/>
      <w:szCs w:val="32"/>
    </w:rPr>
  </w:style>
  <w:style w:type="paragraph" w:customStyle="1" w:styleId="FAREH2Nbr">
    <w:name w:val="FARE_H2 Nbr"/>
    <w:basedOn w:val="FAREH1"/>
    <w:link w:val="FAREH2NbrChar"/>
    <w:qFormat/>
    <w:rsid w:val="00173B16"/>
    <w:pPr>
      <w:numPr>
        <w:ilvl w:val="1"/>
        <w:numId w:val="9"/>
      </w:numPr>
      <w:spacing w:before="80" w:after="0"/>
      <w:ind w:hanging="993"/>
    </w:pPr>
    <w:rPr>
      <w:bCs/>
      <w:sz w:val="36"/>
      <w:szCs w:val="36"/>
    </w:rPr>
  </w:style>
  <w:style w:type="character" w:customStyle="1" w:styleId="HTOH3withnumberChar">
    <w:name w:val="HTO H3 with number Char"/>
    <w:link w:val="HTOH3withnumber"/>
    <w:rsid w:val="00901D28"/>
    <w:rPr>
      <w:rFonts w:ascii="Calibri" w:eastAsia="Times New Roman" w:hAnsi="Calibri" w:cs="Times New Roman"/>
      <w:b/>
      <w:bCs/>
      <w:iCs/>
      <w:noProof/>
      <w:kern w:val="32"/>
      <w:sz w:val="32"/>
      <w:szCs w:val="32"/>
      <w:lang w:val="en-US"/>
    </w:rPr>
  </w:style>
  <w:style w:type="character" w:styleId="FollowedHyperlink">
    <w:name w:val="FollowedHyperlink"/>
    <w:uiPriority w:val="99"/>
    <w:semiHidden/>
    <w:unhideWhenUsed/>
    <w:rsid w:val="00901D28"/>
    <w:rPr>
      <w:color w:val="800080"/>
      <w:u w:val="single"/>
    </w:rPr>
  </w:style>
  <w:style w:type="character" w:customStyle="1" w:styleId="FAREH2NbrChar">
    <w:name w:val="FARE_H2 Nbr Char"/>
    <w:link w:val="FAREH2Nbr"/>
    <w:rsid w:val="00173B16"/>
    <w:rPr>
      <w:rFonts w:ascii="Calibri" w:eastAsia="Times New Roman" w:hAnsi="Calibri" w:cs="Times New Roman"/>
      <w:b/>
      <w:bCs/>
      <w:noProof/>
      <w:kern w:val="32"/>
      <w:sz w:val="36"/>
      <w:szCs w:val="36"/>
      <w:lang w:val="en-US"/>
    </w:rPr>
  </w:style>
  <w:style w:type="paragraph" w:customStyle="1" w:styleId="FAREH4nonumber">
    <w:name w:val="FARE H4 no number"/>
    <w:basedOn w:val="FAREH4"/>
    <w:link w:val="FAREH4nonumberChar"/>
    <w:qFormat/>
    <w:rsid w:val="00901D28"/>
    <w:pPr>
      <w:numPr>
        <w:ilvl w:val="0"/>
        <w:numId w:val="0"/>
      </w:numPr>
      <w:ind w:left="567" w:hanging="567"/>
    </w:pPr>
    <w:rPr>
      <w:bCs w:val="0"/>
      <w:lang w:val="en-AU"/>
    </w:rPr>
  </w:style>
  <w:style w:type="character" w:customStyle="1" w:styleId="FAREH4nonumberChar">
    <w:name w:val="FARE H4 no number Char"/>
    <w:basedOn w:val="FAREH4Char"/>
    <w:link w:val="FAREH4nonumber"/>
    <w:rsid w:val="00901D28"/>
    <w:rPr>
      <w:rFonts w:ascii="Calibri" w:eastAsia="Times New Roman" w:hAnsi="Calibri" w:cs="Times New Roman"/>
      <w:b/>
      <w:bCs/>
      <w:iCs/>
      <w:noProof/>
      <w:color w:val="E41B23"/>
      <w:kern w:val="32"/>
      <w:sz w:val="28"/>
      <w:szCs w:val="28"/>
      <w:lang w:val="en-US"/>
    </w:rPr>
  </w:style>
  <w:style w:type="paragraph" w:customStyle="1" w:styleId="xfarenormaltext">
    <w:name w:val="x_farenormaltext"/>
    <w:basedOn w:val="Normal"/>
    <w:rsid w:val="00181C36"/>
    <w:pPr>
      <w:spacing w:before="100" w:beforeAutospacing="1" w:after="100" w:afterAutospacing="1" w:line="240" w:lineRule="auto"/>
    </w:pPr>
    <w:rPr>
      <w:rFonts w:ascii="Times New Roman" w:eastAsia="Times New Roman" w:hAnsi="Times New Roman"/>
      <w:sz w:val="24"/>
      <w:szCs w:val="24"/>
      <w:lang w:eastAsia="en-AU"/>
    </w:rPr>
  </w:style>
  <w:style w:type="paragraph" w:customStyle="1" w:styleId="xmsonormal">
    <w:name w:val="x_msonormal"/>
    <w:basedOn w:val="Normal"/>
    <w:rsid w:val="00181C36"/>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citation-publication-date">
    <w:name w:val="citation-publication-date"/>
    <w:basedOn w:val="DefaultParagraphFont"/>
    <w:rsid w:val="00704170"/>
  </w:style>
  <w:style w:type="paragraph" w:customStyle="1" w:styleId="FAREdotpoints">
    <w:name w:val="FARE dot points"/>
    <w:basedOn w:val="ListParagraph"/>
    <w:link w:val="FAREdotpointsChar"/>
    <w:qFormat/>
    <w:rsid w:val="00D3722B"/>
    <w:pPr>
      <w:numPr>
        <w:numId w:val="12"/>
      </w:numPr>
      <w:autoSpaceDE w:val="0"/>
      <w:autoSpaceDN w:val="0"/>
      <w:adjustRightInd w:val="0"/>
      <w:spacing w:before="0" w:after="120"/>
    </w:pPr>
    <w:rPr>
      <w:rFonts w:asciiTheme="minorHAnsi" w:hAnsiTheme="minorHAnsi"/>
      <w:color w:val="000000"/>
      <w:sz w:val="22"/>
    </w:rPr>
  </w:style>
  <w:style w:type="character" w:customStyle="1" w:styleId="ListParagraphChar">
    <w:name w:val="List Paragraph Char"/>
    <w:basedOn w:val="DefaultParagraphFont"/>
    <w:link w:val="ListParagraph"/>
    <w:uiPriority w:val="34"/>
    <w:rsid w:val="00D3722B"/>
    <w:rPr>
      <w:rFonts w:ascii="Times New Roman" w:eastAsia="Calibri" w:hAnsi="Times New Roman" w:cs="Times New Roman"/>
      <w:sz w:val="24"/>
    </w:rPr>
  </w:style>
  <w:style w:type="character" w:customStyle="1" w:styleId="FAREdotpointsChar">
    <w:name w:val="FARE dot points Char"/>
    <w:basedOn w:val="ListParagraphChar"/>
    <w:link w:val="FAREdotpoints"/>
    <w:rsid w:val="00D3722B"/>
    <w:rPr>
      <w:rFonts w:ascii="Times New Roman" w:eastAsia="Calibri" w:hAnsi="Times New Roman" w:cs="Times New Roman"/>
      <w:color w:val="000000"/>
      <w:sz w:val="24"/>
    </w:rPr>
  </w:style>
  <w:style w:type="paragraph" w:customStyle="1" w:styleId="Default">
    <w:name w:val="Default"/>
    <w:rsid w:val="00EB318C"/>
    <w:pPr>
      <w:autoSpaceDE w:val="0"/>
      <w:autoSpaceDN w:val="0"/>
      <w:adjustRightInd w:val="0"/>
      <w:spacing w:after="0"/>
      <w:ind w:left="0" w:firstLine="0"/>
      <w:jc w:val="left"/>
    </w:pPr>
    <w:rPr>
      <w:rFonts w:ascii="Times New Roman" w:hAnsi="Times New Roman" w:cs="Times New Roman"/>
      <w:color w:val="000000"/>
      <w:sz w:val="24"/>
      <w:szCs w:val="24"/>
    </w:rPr>
  </w:style>
  <w:style w:type="paragraph" w:customStyle="1" w:styleId="Body">
    <w:name w:val="Body"/>
    <w:basedOn w:val="Normal"/>
    <w:link w:val="BodyChar"/>
    <w:qFormat/>
    <w:rsid w:val="00CA7A60"/>
    <w:pPr>
      <w:widowControl w:val="0"/>
      <w:autoSpaceDE w:val="0"/>
      <w:autoSpaceDN w:val="0"/>
      <w:adjustRightInd w:val="0"/>
      <w:spacing w:after="0" w:line="480" w:lineRule="auto"/>
    </w:pPr>
    <w:rPr>
      <w:rFonts w:ascii="Times New Roman" w:eastAsia="Times New Roman" w:hAnsi="Times New Roman"/>
      <w:sz w:val="24"/>
      <w:szCs w:val="24"/>
      <w:lang w:eastAsia="en-AU"/>
    </w:rPr>
  </w:style>
  <w:style w:type="character" w:customStyle="1" w:styleId="BodyChar">
    <w:name w:val="Body Char"/>
    <w:link w:val="Body"/>
    <w:rsid w:val="00CA7A60"/>
    <w:rPr>
      <w:rFonts w:ascii="Times New Roman" w:eastAsia="Times New Roman" w:hAnsi="Times New Roman" w:cs="Times New Roman"/>
      <w:sz w:val="24"/>
      <w:szCs w:val="24"/>
      <w:lang w:eastAsia="en-AU"/>
    </w:rPr>
  </w:style>
  <w:style w:type="paragraph" w:customStyle="1" w:styleId="TableHeading">
    <w:name w:val="Table Heading"/>
    <w:basedOn w:val="Normal"/>
    <w:link w:val="TableHeadingChar"/>
    <w:qFormat/>
    <w:rsid w:val="00CA7A60"/>
    <w:pPr>
      <w:widowControl w:val="0"/>
      <w:autoSpaceDE w:val="0"/>
      <w:autoSpaceDN w:val="0"/>
      <w:adjustRightInd w:val="0"/>
      <w:spacing w:before="29" w:after="0" w:line="240" w:lineRule="auto"/>
      <w:ind w:left="225"/>
    </w:pPr>
    <w:rPr>
      <w:rFonts w:ascii="Times New Roman" w:eastAsia="Times New Roman" w:hAnsi="Times New Roman"/>
      <w:i/>
      <w:iCs/>
      <w:spacing w:val="1"/>
      <w:sz w:val="24"/>
      <w:szCs w:val="24"/>
      <w:lang w:eastAsia="en-AU"/>
    </w:rPr>
  </w:style>
  <w:style w:type="character" w:customStyle="1" w:styleId="TableHeadingChar">
    <w:name w:val="Table Heading Char"/>
    <w:link w:val="TableHeading"/>
    <w:rsid w:val="00CA7A60"/>
    <w:rPr>
      <w:rFonts w:ascii="Times New Roman" w:eastAsia="Times New Roman" w:hAnsi="Times New Roman" w:cs="Times New Roman"/>
      <w:i/>
      <w:iCs/>
      <w:spacing w:val="1"/>
      <w:sz w:val="24"/>
      <w:szCs w:val="24"/>
      <w:lang w:eastAsia="en-AU"/>
    </w:rPr>
  </w:style>
  <w:style w:type="paragraph" w:customStyle="1" w:styleId="Pathwayspara">
    <w:name w:val="Pathways para"/>
    <w:basedOn w:val="Normal"/>
    <w:link w:val="PathwaysparaChar"/>
    <w:qFormat/>
    <w:rsid w:val="00CA7A60"/>
    <w:pPr>
      <w:autoSpaceDE w:val="0"/>
      <w:autoSpaceDN w:val="0"/>
      <w:adjustRightInd w:val="0"/>
      <w:spacing w:before="240" w:after="240" w:line="320" w:lineRule="exact"/>
      <w:jc w:val="both"/>
    </w:pPr>
    <w:rPr>
      <w:rFonts w:asciiTheme="minorHAnsi" w:eastAsia="Times New Roman" w:hAnsiTheme="minorHAnsi"/>
      <w:sz w:val="24"/>
      <w:szCs w:val="24"/>
    </w:rPr>
  </w:style>
  <w:style w:type="character" w:customStyle="1" w:styleId="PathwaysparaChar">
    <w:name w:val="Pathways para Char"/>
    <w:basedOn w:val="DefaultParagraphFont"/>
    <w:link w:val="Pathwayspara"/>
    <w:rsid w:val="00CA7A60"/>
    <w:rPr>
      <w:rFonts w:eastAsia="Times New Roman" w:cs="Times New Roman"/>
      <w:sz w:val="24"/>
      <w:szCs w:val="24"/>
    </w:rPr>
  </w:style>
  <w:style w:type="paragraph" w:customStyle="1" w:styleId="TableC">
    <w:name w:val="Table_C"/>
    <w:basedOn w:val="Normal"/>
    <w:rsid w:val="00CA7A60"/>
    <w:pPr>
      <w:spacing w:after="0" w:line="240" w:lineRule="auto"/>
    </w:pPr>
    <w:rPr>
      <w:rFonts w:eastAsia="Times New Roman"/>
      <w:color w:val="000000"/>
      <w:lang w:eastAsia="en-AU"/>
    </w:rPr>
  </w:style>
  <w:style w:type="paragraph" w:customStyle="1" w:styleId="normal2">
    <w:name w:val="normal2"/>
    <w:basedOn w:val="Pathwayspara"/>
    <w:rsid w:val="00CA7A60"/>
    <w:pPr>
      <w:ind w:left="720"/>
    </w:pPr>
  </w:style>
  <w:style w:type="paragraph" w:customStyle="1" w:styleId="AAparagraph">
    <w:name w:val="AA_paragraph"/>
    <w:link w:val="AAparagraphChar"/>
    <w:rsid w:val="00883963"/>
    <w:pPr>
      <w:spacing w:before="80" w:line="312" w:lineRule="auto"/>
      <w:ind w:left="0" w:firstLine="0"/>
    </w:pPr>
    <w:rPr>
      <w:rFonts w:ascii="Arial" w:eastAsia="Cambria" w:hAnsi="Arial" w:cs="Times New Roman"/>
    </w:rPr>
  </w:style>
  <w:style w:type="character" w:customStyle="1" w:styleId="AAparagraphChar">
    <w:name w:val="AA_paragraph Char"/>
    <w:link w:val="AAparagraph"/>
    <w:locked/>
    <w:rsid w:val="00883963"/>
    <w:rPr>
      <w:rFonts w:ascii="Arial" w:eastAsia="Cambria" w:hAnsi="Arial" w:cs="Times New Roman"/>
    </w:rPr>
  </w:style>
  <w:style w:type="paragraph" w:customStyle="1" w:styleId="AATableHeadings">
    <w:name w:val="AA_Table Headings"/>
    <w:rsid w:val="00883963"/>
    <w:pPr>
      <w:numPr>
        <w:numId w:val="20"/>
      </w:numPr>
      <w:spacing w:before="120" w:after="240" w:line="280" w:lineRule="exact"/>
      <w:ind w:left="0" w:firstLine="0"/>
      <w:jc w:val="left"/>
    </w:pPr>
    <w:rPr>
      <w:rFonts w:ascii="Arial" w:eastAsia="Times New Roman" w:hAnsi="Arial" w:cs="Arial"/>
      <w:b/>
      <w:bCs/>
      <w:sz w:val="20"/>
      <w:szCs w:val="20"/>
    </w:rPr>
  </w:style>
  <w:style w:type="paragraph" w:customStyle="1" w:styleId="AAAuthor">
    <w:name w:val="AA_Author"/>
    <w:link w:val="AAAuthorChar"/>
    <w:rsid w:val="00883963"/>
    <w:pPr>
      <w:numPr>
        <w:ilvl w:val="1"/>
        <w:numId w:val="20"/>
      </w:numPr>
      <w:spacing w:after="0"/>
      <w:jc w:val="center"/>
    </w:pPr>
    <w:rPr>
      <w:rFonts w:ascii="Arial" w:eastAsia="Cambria" w:hAnsi="Arial" w:cs="Times New Roman"/>
      <w:lang w:eastAsia="en-AU"/>
    </w:rPr>
  </w:style>
  <w:style w:type="character" w:customStyle="1" w:styleId="AAAuthorChar">
    <w:name w:val="AA_Author Char"/>
    <w:link w:val="AAAuthor"/>
    <w:locked/>
    <w:rsid w:val="00883963"/>
    <w:rPr>
      <w:rFonts w:ascii="Arial" w:eastAsia="Cambria" w:hAnsi="Arial" w:cs="Times New Roman"/>
      <w:lang w:eastAsia="en-AU"/>
    </w:rPr>
  </w:style>
  <w:style w:type="paragraph" w:customStyle="1" w:styleId="heading3pp">
    <w:name w:val="heading 3 pp"/>
    <w:basedOn w:val="Normal"/>
    <w:link w:val="heading3ppChar"/>
    <w:qFormat/>
    <w:rsid w:val="007925F3"/>
    <w:pPr>
      <w:keepNext/>
      <w:keepLines/>
      <w:spacing w:before="120" w:after="120" w:line="240" w:lineRule="auto"/>
      <w:outlineLvl w:val="1"/>
    </w:pPr>
    <w:rPr>
      <w:rFonts w:ascii="Cambria" w:eastAsia="SimSun" w:hAnsi="Cambria"/>
      <w:bCs/>
      <w:i/>
      <w:sz w:val="24"/>
      <w:szCs w:val="24"/>
    </w:rPr>
  </w:style>
  <w:style w:type="character" w:customStyle="1" w:styleId="heading3ppChar">
    <w:name w:val="heading 3 pp Char"/>
    <w:basedOn w:val="DefaultParagraphFont"/>
    <w:link w:val="heading3pp"/>
    <w:rsid w:val="007925F3"/>
    <w:rPr>
      <w:rFonts w:ascii="Cambria" w:eastAsia="SimSun" w:hAnsi="Cambria" w:cs="Times New Roman"/>
      <w:bCs/>
      <w:i/>
      <w:sz w:val="24"/>
      <w:szCs w:val="24"/>
    </w:rPr>
  </w:style>
  <w:style w:type="paragraph" w:styleId="Title">
    <w:name w:val="Title"/>
    <w:basedOn w:val="Normal"/>
    <w:next w:val="Subtitle"/>
    <w:link w:val="TitleChar"/>
    <w:uiPriority w:val="10"/>
    <w:qFormat/>
    <w:rsid w:val="00AA605A"/>
    <w:pPr>
      <w:spacing w:after="300" w:line="192" w:lineRule="auto"/>
      <w:contextualSpacing/>
      <w:jc w:val="right"/>
    </w:pPr>
    <w:rPr>
      <w:rFonts w:asciiTheme="majorHAnsi" w:eastAsiaTheme="majorEastAsia" w:hAnsiTheme="majorHAnsi" w:cstheme="majorBidi"/>
      <w:b/>
      <w:bCs/>
      <w:caps/>
      <w:color w:val="FFFFFF" w:themeColor="background1"/>
      <w:spacing w:val="5"/>
      <w:kern w:val="28"/>
      <w:sz w:val="44"/>
      <w:szCs w:val="44"/>
      <w:lang w:val="en-US"/>
    </w:rPr>
  </w:style>
  <w:style w:type="character" w:customStyle="1" w:styleId="TitleChar">
    <w:name w:val="Title Char"/>
    <w:basedOn w:val="DefaultParagraphFont"/>
    <w:link w:val="Title"/>
    <w:uiPriority w:val="10"/>
    <w:rsid w:val="00AA605A"/>
    <w:rPr>
      <w:rFonts w:asciiTheme="majorHAnsi" w:eastAsiaTheme="majorEastAsia" w:hAnsiTheme="majorHAnsi" w:cstheme="majorBidi"/>
      <w:b/>
      <w:bCs/>
      <w:caps/>
      <w:color w:val="FFFFFF" w:themeColor="background1"/>
      <w:spacing w:val="5"/>
      <w:kern w:val="28"/>
      <w:sz w:val="44"/>
      <w:szCs w:val="44"/>
      <w:lang w:val="en-US"/>
    </w:rPr>
  </w:style>
  <w:style w:type="paragraph" w:customStyle="1" w:styleId="Covertextnormal">
    <w:name w:val="Cover text normal"/>
    <w:basedOn w:val="Normal"/>
    <w:qFormat/>
    <w:rsid w:val="00AA605A"/>
    <w:pPr>
      <w:spacing w:line="240" w:lineRule="auto"/>
      <w:jc w:val="right"/>
    </w:pPr>
    <w:rPr>
      <w:rFonts w:asciiTheme="majorHAnsi" w:eastAsiaTheme="minorHAnsi" w:hAnsiTheme="majorHAnsi" w:cstheme="minorBidi"/>
      <w:color w:val="FFFFFF" w:themeColor="background1"/>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51698">
      <w:bodyDiv w:val="1"/>
      <w:marLeft w:val="0"/>
      <w:marRight w:val="0"/>
      <w:marTop w:val="0"/>
      <w:marBottom w:val="0"/>
      <w:divBdr>
        <w:top w:val="none" w:sz="0" w:space="0" w:color="auto"/>
        <w:left w:val="none" w:sz="0" w:space="0" w:color="auto"/>
        <w:bottom w:val="none" w:sz="0" w:space="0" w:color="auto"/>
        <w:right w:val="none" w:sz="0" w:space="0" w:color="auto"/>
      </w:divBdr>
    </w:div>
    <w:div w:id="158811823">
      <w:bodyDiv w:val="1"/>
      <w:marLeft w:val="0"/>
      <w:marRight w:val="0"/>
      <w:marTop w:val="0"/>
      <w:marBottom w:val="0"/>
      <w:divBdr>
        <w:top w:val="none" w:sz="0" w:space="0" w:color="auto"/>
        <w:left w:val="none" w:sz="0" w:space="0" w:color="auto"/>
        <w:bottom w:val="none" w:sz="0" w:space="0" w:color="auto"/>
        <w:right w:val="none" w:sz="0" w:space="0" w:color="auto"/>
      </w:divBdr>
    </w:div>
    <w:div w:id="247037900">
      <w:bodyDiv w:val="1"/>
      <w:marLeft w:val="0"/>
      <w:marRight w:val="0"/>
      <w:marTop w:val="0"/>
      <w:marBottom w:val="0"/>
      <w:divBdr>
        <w:top w:val="none" w:sz="0" w:space="0" w:color="auto"/>
        <w:left w:val="none" w:sz="0" w:space="0" w:color="auto"/>
        <w:bottom w:val="none" w:sz="0" w:space="0" w:color="auto"/>
        <w:right w:val="none" w:sz="0" w:space="0" w:color="auto"/>
      </w:divBdr>
    </w:div>
    <w:div w:id="253829257">
      <w:bodyDiv w:val="1"/>
      <w:marLeft w:val="0"/>
      <w:marRight w:val="0"/>
      <w:marTop w:val="0"/>
      <w:marBottom w:val="0"/>
      <w:divBdr>
        <w:top w:val="none" w:sz="0" w:space="0" w:color="auto"/>
        <w:left w:val="none" w:sz="0" w:space="0" w:color="auto"/>
        <w:bottom w:val="none" w:sz="0" w:space="0" w:color="auto"/>
        <w:right w:val="none" w:sz="0" w:space="0" w:color="auto"/>
      </w:divBdr>
    </w:div>
    <w:div w:id="401370980">
      <w:bodyDiv w:val="1"/>
      <w:marLeft w:val="0"/>
      <w:marRight w:val="0"/>
      <w:marTop w:val="0"/>
      <w:marBottom w:val="0"/>
      <w:divBdr>
        <w:top w:val="none" w:sz="0" w:space="0" w:color="auto"/>
        <w:left w:val="none" w:sz="0" w:space="0" w:color="auto"/>
        <w:bottom w:val="none" w:sz="0" w:space="0" w:color="auto"/>
        <w:right w:val="none" w:sz="0" w:space="0" w:color="auto"/>
      </w:divBdr>
    </w:div>
    <w:div w:id="507335250">
      <w:bodyDiv w:val="1"/>
      <w:marLeft w:val="0"/>
      <w:marRight w:val="0"/>
      <w:marTop w:val="0"/>
      <w:marBottom w:val="0"/>
      <w:divBdr>
        <w:top w:val="none" w:sz="0" w:space="0" w:color="auto"/>
        <w:left w:val="none" w:sz="0" w:space="0" w:color="auto"/>
        <w:bottom w:val="none" w:sz="0" w:space="0" w:color="auto"/>
        <w:right w:val="none" w:sz="0" w:space="0" w:color="auto"/>
      </w:divBdr>
    </w:div>
    <w:div w:id="550001068">
      <w:bodyDiv w:val="1"/>
      <w:marLeft w:val="0"/>
      <w:marRight w:val="0"/>
      <w:marTop w:val="0"/>
      <w:marBottom w:val="0"/>
      <w:divBdr>
        <w:top w:val="none" w:sz="0" w:space="0" w:color="auto"/>
        <w:left w:val="none" w:sz="0" w:space="0" w:color="auto"/>
        <w:bottom w:val="none" w:sz="0" w:space="0" w:color="auto"/>
        <w:right w:val="none" w:sz="0" w:space="0" w:color="auto"/>
      </w:divBdr>
    </w:div>
    <w:div w:id="559828290">
      <w:bodyDiv w:val="1"/>
      <w:marLeft w:val="0"/>
      <w:marRight w:val="0"/>
      <w:marTop w:val="0"/>
      <w:marBottom w:val="0"/>
      <w:divBdr>
        <w:top w:val="none" w:sz="0" w:space="0" w:color="auto"/>
        <w:left w:val="none" w:sz="0" w:space="0" w:color="auto"/>
        <w:bottom w:val="none" w:sz="0" w:space="0" w:color="auto"/>
        <w:right w:val="none" w:sz="0" w:space="0" w:color="auto"/>
      </w:divBdr>
    </w:div>
    <w:div w:id="623578817">
      <w:bodyDiv w:val="1"/>
      <w:marLeft w:val="0"/>
      <w:marRight w:val="0"/>
      <w:marTop w:val="0"/>
      <w:marBottom w:val="0"/>
      <w:divBdr>
        <w:top w:val="none" w:sz="0" w:space="0" w:color="auto"/>
        <w:left w:val="none" w:sz="0" w:space="0" w:color="auto"/>
        <w:bottom w:val="none" w:sz="0" w:space="0" w:color="auto"/>
        <w:right w:val="none" w:sz="0" w:space="0" w:color="auto"/>
      </w:divBdr>
      <w:divsChild>
        <w:div w:id="876239242">
          <w:marLeft w:val="0"/>
          <w:marRight w:val="0"/>
          <w:marTop w:val="34"/>
          <w:marBottom w:val="34"/>
          <w:divBdr>
            <w:top w:val="none" w:sz="0" w:space="0" w:color="auto"/>
            <w:left w:val="none" w:sz="0" w:space="0" w:color="auto"/>
            <w:bottom w:val="none" w:sz="0" w:space="0" w:color="auto"/>
            <w:right w:val="none" w:sz="0" w:space="0" w:color="auto"/>
          </w:divBdr>
          <w:divsChild>
            <w:div w:id="1228613452">
              <w:marLeft w:val="0"/>
              <w:marRight w:val="0"/>
              <w:marTop w:val="0"/>
              <w:marBottom w:val="0"/>
              <w:divBdr>
                <w:top w:val="none" w:sz="0" w:space="0" w:color="auto"/>
                <w:left w:val="none" w:sz="0" w:space="0" w:color="auto"/>
                <w:bottom w:val="none" w:sz="0" w:space="0" w:color="auto"/>
                <w:right w:val="none" w:sz="0" w:space="0" w:color="auto"/>
              </w:divBdr>
            </w:div>
            <w:div w:id="194106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427741">
      <w:bodyDiv w:val="1"/>
      <w:marLeft w:val="0"/>
      <w:marRight w:val="0"/>
      <w:marTop w:val="0"/>
      <w:marBottom w:val="0"/>
      <w:divBdr>
        <w:top w:val="none" w:sz="0" w:space="0" w:color="auto"/>
        <w:left w:val="none" w:sz="0" w:space="0" w:color="auto"/>
        <w:bottom w:val="none" w:sz="0" w:space="0" w:color="auto"/>
        <w:right w:val="none" w:sz="0" w:space="0" w:color="auto"/>
      </w:divBdr>
    </w:div>
    <w:div w:id="704331014">
      <w:bodyDiv w:val="1"/>
      <w:marLeft w:val="0"/>
      <w:marRight w:val="0"/>
      <w:marTop w:val="0"/>
      <w:marBottom w:val="0"/>
      <w:divBdr>
        <w:top w:val="none" w:sz="0" w:space="0" w:color="auto"/>
        <w:left w:val="none" w:sz="0" w:space="0" w:color="auto"/>
        <w:bottom w:val="none" w:sz="0" w:space="0" w:color="auto"/>
        <w:right w:val="none" w:sz="0" w:space="0" w:color="auto"/>
      </w:divBdr>
    </w:div>
    <w:div w:id="946037479">
      <w:bodyDiv w:val="1"/>
      <w:marLeft w:val="0"/>
      <w:marRight w:val="0"/>
      <w:marTop w:val="0"/>
      <w:marBottom w:val="0"/>
      <w:divBdr>
        <w:top w:val="none" w:sz="0" w:space="0" w:color="auto"/>
        <w:left w:val="none" w:sz="0" w:space="0" w:color="auto"/>
        <w:bottom w:val="none" w:sz="0" w:space="0" w:color="auto"/>
        <w:right w:val="none" w:sz="0" w:space="0" w:color="auto"/>
      </w:divBdr>
    </w:div>
    <w:div w:id="971330138">
      <w:bodyDiv w:val="1"/>
      <w:marLeft w:val="0"/>
      <w:marRight w:val="0"/>
      <w:marTop w:val="0"/>
      <w:marBottom w:val="0"/>
      <w:divBdr>
        <w:top w:val="none" w:sz="0" w:space="0" w:color="auto"/>
        <w:left w:val="none" w:sz="0" w:space="0" w:color="auto"/>
        <w:bottom w:val="none" w:sz="0" w:space="0" w:color="auto"/>
        <w:right w:val="none" w:sz="0" w:space="0" w:color="auto"/>
      </w:divBdr>
    </w:div>
    <w:div w:id="979067353">
      <w:bodyDiv w:val="1"/>
      <w:marLeft w:val="0"/>
      <w:marRight w:val="0"/>
      <w:marTop w:val="0"/>
      <w:marBottom w:val="0"/>
      <w:divBdr>
        <w:top w:val="none" w:sz="0" w:space="0" w:color="auto"/>
        <w:left w:val="none" w:sz="0" w:space="0" w:color="auto"/>
        <w:bottom w:val="none" w:sz="0" w:space="0" w:color="auto"/>
        <w:right w:val="none" w:sz="0" w:space="0" w:color="auto"/>
      </w:divBdr>
    </w:div>
    <w:div w:id="989754220">
      <w:bodyDiv w:val="1"/>
      <w:marLeft w:val="0"/>
      <w:marRight w:val="0"/>
      <w:marTop w:val="0"/>
      <w:marBottom w:val="0"/>
      <w:divBdr>
        <w:top w:val="none" w:sz="0" w:space="0" w:color="auto"/>
        <w:left w:val="none" w:sz="0" w:space="0" w:color="auto"/>
        <w:bottom w:val="none" w:sz="0" w:space="0" w:color="auto"/>
        <w:right w:val="none" w:sz="0" w:space="0" w:color="auto"/>
      </w:divBdr>
    </w:div>
    <w:div w:id="1089885741">
      <w:bodyDiv w:val="1"/>
      <w:marLeft w:val="0"/>
      <w:marRight w:val="0"/>
      <w:marTop w:val="0"/>
      <w:marBottom w:val="0"/>
      <w:divBdr>
        <w:top w:val="none" w:sz="0" w:space="0" w:color="auto"/>
        <w:left w:val="none" w:sz="0" w:space="0" w:color="auto"/>
        <w:bottom w:val="none" w:sz="0" w:space="0" w:color="auto"/>
        <w:right w:val="none" w:sz="0" w:space="0" w:color="auto"/>
      </w:divBdr>
    </w:div>
    <w:div w:id="1191649739">
      <w:bodyDiv w:val="1"/>
      <w:marLeft w:val="0"/>
      <w:marRight w:val="0"/>
      <w:marTop w:val="0"/>
      <w:marBottom w:val="0"/>
      <w:divBdr>
        <w:top w:val="none" w:sz="0" w:space="0" w:color="auto"/>
        <w:left w:val="none" w:sz="0" w:space="0" w:color="auto"/>
        <w:bottom w:val="none" w:sz="0" w:space="0" w:color="auto"/>
        <w:right w:val="none" w:sz="0" w:space="0" w:color="auto"/>
      </w:divBdr>
    </w:div>
    <w:div w:id="1209490095">
      <w:bodyDiv w:val="1"/>
      <w:marLeft w:val="0"/>
      <w:marRight w:val="0"/>
      <w:marTop w:val="0"/>
      <w:marBottom w:val="0"/>
      <w:divBdr>
        <w:top w:val="none" w:sz="0" w:space="0" w:color="auto"/>
        <w:left w:val="none" w:sz="0" w:space="0" w:color="auto"/>
        <w:bottom w:val="none" w:sz="0" w:space="0" w:color="auto"/>
        <w:right w:val="none" w:sz="0" w:space="0" w:color="auto"/>
      </w:divBdr>
    </w:div>
    <w:div w:id="1237395921">
      <w:bodyDiv w:val="1"/>
      <w:marLeft w:val="0"/>
      <w:marRight w:val="0"/>
      <w:marTop w:val="0"/>
      <w:marBottom w:val="0"/>
      <w:divBdr>
        <w:top w:val="none" w:sz="0" w:space="0" w:color="auto"/>
        <w:left w:val="none" w:sz="0" w:space="0" w:color="auto"/>
        <w:bottom w:val="none" w:sz="0" w:space="0" w:color="auto"/>
        <w:right w:val="none" w:sz="0" w:space="0" w:color="auto"/>
      </w:divBdr>
    </w:div>
    <w:div w:id="1251696726">
      <w:bodyDiv w:val="1"/>
      <w:marLeft w:val="0"/>
      <w:marRight w:val="0"/>
      <w:marTop w:val="0"/>
      <w:marBottom w:val="0"/>
      <w:divBdr>
        <w:top w:val="none" w:sz="0" w:space="0" w:color="auto"/>
        <w:left w:val="none" w:sz="0" w:space="0" w:color="auto"/>
        <w:bottom w:val="none" w:sz="0" w:space="0" w:color="auto"/>
        <w:right w:val="none" w:sz="0" w:space="0" w:color="auto"/>
      </w:divBdr>
    </w:div>
    <w:div w:id="1336150666">
      <w:bodyDiv w:val="1"/>
      <w:marLeft w:val="0"/>
      <w:marRight w:val="0"/>
      <w:marTop w:val="0"/>
      <w:marBottom w:val="0"/>
      <w:divBdr>
        <w:top w:val="none" w:sz="0" w:space="0" w:color="auto"/>
        <w:left w:val="none" w:sz="0" w:space="0" w:color="auto"/>
        <w:bottom w:val="none" w:sz="0" w:space="0" w:color="auto"/>
        <w:right w:val="none" w:sz="0" w:space="0" w:color="auto"/>
      </w:divBdr>
    </w:div>
    <w:div w:id="1375698129">
      <w:bodyDiv w:val="1"/>
      <w:marLeft w:val="0"/>
      <w:marRight w:val="0"/>
      <w:marTop w:val="0"/>
      <w:marBottom w:val="0"/>
      <w:divBdr>
        <w:top w:val="none" w:sz="0" w:space="0" w:color="auto"/>
        <w:left w:val="none" w:sz="0" w:space="0" w:color="auto"/>
        <w:bottom w:val="none" w:sz="0" w:space="0" w:color="auto"/>
        <w:right w:val="none" w:sz="0" w:space="0" w:color="auto"/>
      </w:divBdr>
    </w:div>
    <w:div w:id="1469667494">
      <w:bodyDiv w:val="1"/>
      <w:marLeft w:val="0"/>
      <w:marRight w:val="0"/>
      <w:marTop w:val="0"/>
      <w:marBottom w:val="0"/>
      <w:divBdr>
        <w:top w:val="none" w:sz="0" w:space="0" w:color="auto"/>
        <w:left w:val="none" w:sz="0" w:space="0" w:color="auto"/>
        <w:bottom w:val="none" w:sz="0" w:space="0" w:color="auto"/>
        <w:right w:val="none" w:sz="0" w:space="0" w:color="auto"/>
      </w:divBdr>
    </w:div>
    <w:div w:id="1520700146">
      <w:bodyDiv w:val="1"/>
      <w:marLeft w:val="0"/>
      <w:marRight w:val="0"/>
      <w:marTop w:val="0"/>
      <w:marBottom w:val="0"/>
      <w:divBdr>
        <w:top w:val="none" w:sz="0" w:space="0" w:color="auto"/>
        <w:left w:val="none" w:sz="0" w:space="0" w:color="auto"/>
        <w:bottom w:val="none" w:sz="0" w:space="0" w:color="auto"/>
        <w:right w:val="none" w:sz="0" w:space="0" w:color="auto"/>
      </w:divBdr>
    </w:div>
    <w:div w:id="1528909228">
      <w:bodyDiv w:val="1"/>
      <w:marLeft w:val="0"/>
      <w:marRight w:val="0"/>
      <w:marTop w:val="0"/>
      <w:marBottom w:val="0"/>
      <w:divBdr>
        <w:top w:val="none" w:sz="0" w:space="0" w:color="auto"/>
        <w:left w:val="none" w:sz="0" w:space="0" w:color="auto"/>
        <w:bottom w:val="none" w:sz="0" w:space="0" w:color="auto"/>
        <w:right w:val="none" w:sz="0" w:space="0" w:color="auto"/>
      </w:divBdr>
    </w:div>
    <w:div w:id="1533957716">
      <w:bodyDiv w:val="1"/>
      <w:marLeft w:val="0"/>
      <w:marRight w:val="0"/>
      <w:marTop w:val="0"/>
      <w:marBottom w:val="0"/>
      <w:divBdr>
        <w:top w:val="none" w:sz="0" w:space="0" w:color="auto"/>
        <w:left w:val="none" w:sz="0" w:space="0" w:color="auto"/>
        <w:bottom w:val="none" w:sz="0" w:space="0" w:color="auto"/>
        <w:right w:val="none" w:sz="0" w:space="0" w:color="auto"/>
      </w:divBdr>
    </w:div>
    <w:div w:id="1653607338">
      <w:bodyDiv w:val="1"/>
      <w:marLeft w:val="0"/>
      <w:marRight w:val="0"/>
      <w:marTop w:val="0"/>
      <w:marBottom w:val="0"/>
      <w:divBdr>
        <w:top w:val="none" w:sz="0" w:space="0" w:color="auto"/>
        <w:left w:val="none" w:sz="0" w:space="0" w:color="auto"/>
        <w:bottom w:val="none" w:sz="0" w:space="0" w:color="auto"/>
        <w:right w:val="none" w:sz="0" w:space="0" w:color="auto"/>
      </w:divBdr>
    </w:div>
    <w:div w:id="1679967597">
      <w:bodyDiv w:val="1"/>
      <w:marLeft w:val="0"/>
      <w:marRight w:val="0"/>
      <w:marTop w:val="0"/>
      <w:marBottom w:val="0"/>
      <w:divBdr>
        <w:top w:val="none" w:sz="0" w:space="0" w:color="auto"/>
        <w:left w:val="none" w:sz="0" w:space="0" w:color="auto"/>
        <w:bottom w:val="none" w:sz="0" w:space="0" w:color="auto"/>
        <w:right w:val="none" w:sz="0" w:space="0" w:color="auto"/>
      </w:divBdr>
    </w:div>
    <w:div w:id="1709144444">
      <w:bodyDiv w:val="1"/>
      <w:marLeft w:val="0"/>
      <w:marRight w:val="0"/>
      <w:marTop w:val="0"/>
      <w:marBottom w:val="0"/>
      <w:divBdr>
        <w:top w:val="none" w:sz="0" w:space="0" w:color="auto"/>
        <w:left w:val="none" w:sz="0" w:space="0" w:color="auto"/>
        <w:bottom w:val="none" w:sz="0" w:space="0" w:color="auto"/>
        <w:right w:val="none" w:sz="0" w:space="0" w:color="auto"/>
      </w:divBdr>
    </w:div>
    <w:div w:id="1772967774">
      <w:bodyDiv w:val="1"/>
      <w:marLeft w:val="0"/>
      <w:marRight w:val="0"/>
      <w:marTop w:val="0"/>
      <w:marBottom w:val="0"/>
      <w:divBdr>
        <w:top w:val="none" w:sz="0" w:space="0" w:color="auto"/>
        <w:left w:val="none" w:sz="0" w:space="0" w:color="auto"/>
        <w:bottom w:val="none" w:sz="0" w:space="0" w:color="auto"/>
        <w:right w:val="none" w:sz="0" w:space="0" w:color="auto"/>
      </w:divBdr>
    </w:div>
    <w:div w:id="1783258953">
      <w:bodyDiv w:val="1"/>
      <w:marLeft w:val="0"/>
      <w:marRight w:val="0"/>
      <w:marTop w:val="0"/>
      <w:marBottom w:val="0"/>
      <w:divBdr>
        <w:top w:val="none" w:sz="0" w:space="0" w:color="auto"/>
        <w:left w:val="none" w:sz="0" w:space="0" w:color="auto"/>
        <w:bottom w:val="none" w:sz="0" w:space="0" w:color="auto"/>
        <w:right w:val="none" w:sz="0" w:space="0" w:color="auto"/>
      </w:divBdr>
    </w:div>
    <w:div w:id="1915046655">
      <w:bodyDiv w:val="1"/>
      <w:marLeft w:val="0"/>
      <w:marRight w:val="0"/>
      <w:marTop w:val="0"/>
      <w:marBottom w:val="0"/>
      <w:divBdr>
        <w:top w:val="none" w:sz="0" w:space="0" w:color="auto"/>
        <w:left w:val="none" w:sz="0" w:space="0" w:color="auto"/>
        <w:bottom w:val="none" w:sz="0" w:space="0" w:color="auto"/>
        <w:right w:val="none" w:sz="0" w:space="0" w:color="auto"/>
      </w:divBdr>
    </w:div>
    <w:div w:id="1951274069">
      <w:bodyDiv w:val="1"/>
      <w:marLeft w:val="0"/>
      <w:marRight w:val="0"/>
      <w:marTop w:val="0"/>
      <w:marBottom w:val="0"/>
      <w:divBdr>
        <w:top w:val="none" w:sz="0" w:space="0" w:color="auto"/>
        <w:left w:val="none" w:sz="0" w:space="0" w:color="auto"/>
        <w:bottom w:val="none" w:sz="0" w:space="0" w:color="auto"/>
        <w:right w:val="none" w:sz="0" w:space="0" w:color="auto"/>
      </w:divBdr>
    </w:div>
    <w:div w:id="1982810921">
      <w:bodyDiv w:val="1"/>
      <w:marLeft w:val="0"/>
      <w:marRight w:val="0"/>
      <w:marTop w:val="0"/>
      <w:marBottom w:val="0"/>
      <w:divBdr>
        <w:top w:val="none" w:sz="0" w:space="0" w:color="auto"/>
        <w:left w:val="none" w:sz="0" w:space="0" w:color="auto"/>
        <w:bottom w:val="none" w:sz="0" w:space="0" w:color="auto"/>
        <w:right w:val="none" w:sz="0" w:space="0" w:color="auto"/>
      </w:divBdr>
    </w:div>
    <w:div w:id="208760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7.png"/><Relationship Id="rId26"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chart" Target="charts/chart2.xml"/><Relationship Id="rId34" Type="http://schemas.openxmlformats.org/officeDocument/2006/relationships/hyperlink" Target="http://www.nationaldrugstrategy.gov.au/internet/drugstrategy/Publishing.nsf/content/nds2015" TargetMode="Externa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eader" Target="header2.xml"/><Relationship Id="rId25" Type="http://schemas.openxmlformats.org/officeDocument/2006/relationships/diagramColors" Target="diagrams/colors1.xml"/><Relationship Id="rId33" Type="http://schemas.openxmlformats.org/officeDocument/2006/relationships/footer" Target="footer3.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hart" Target="charts/chart1.xml"/><Relationship Id="rId29"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diagramQuickStyle" Target="diagrams/quickStyle1.xml"/><Relationship Id="rId32" Type="http://schemas.openxmlformats.org/officeDocument/2006/relationships/footer" Target="footer2.xml"/><Relationship Id="rId37"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diagramLayout" Target="diagrams/layout1.xml"/><Relationship Id="rId28" Type="http://schemas.openxmlformats.org/officeDocument/2006/relationships/chart" Target="charts/chart4.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8.png"/><Relationship Id="rId31" Type="http://schemas.openxmlformats.org/officeDocument/2006/relationships/chart" Target="charts/chart7.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diagramData" Target="diagrams/data1.xml"/><Relationship Id="rId27" Type="http://schemas.openxmlformats.org/officeDocument/2006/relationships/chart" Target="charts/chart3.xml"/><Relationship Id="rId30" Type="http://schemas.openxmlformats.org/officeDocument/2006/relationships/chart" Target="charts/chart6.xm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tpstore\LDRIVE\04%20PROJECTS%2010-11\1%20Patient%20pathways%20-%20M5033\Report%202014\Tables%20and%20graphs\PDOC%20outcome%20by%20PDOC.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tpstore\LDRIVE\04%20PROJECTS%2010-11\1%20Patient%20pathways%20-%20M5033\Report%202014\Tables%20and%20graphs\PDOC%20outcome%20by%20PDOC.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tpstore\LDRIVE\04%20PROJECTS%2010-11\1%20Patient%20pathways%20-%20M5033\Report%202014\Tables%20and%20graphs\Abstinence%20x%20PDOC%20and%20PIT.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tpstore\LDRIVE\04%20PROJECTS%2010-11\1%20Patient%20pathways%20-%20M5033\Report%202014\Tables%20and%20graphs\Abstinence%20x%20PDOC%20and%20PIT.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tpstore\LDRIVE\04%20PROJECTS%2010-11\1%20Patient%20pathways%20-%20M5033\Report%202014\Tables%20and%20graphs\baseline%20treatment%20goal%20graphs%20for%20result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tpstore\LDRIVE\04%20PROJECTS%2010-11\1%20Patient%20pathways%20-%20M5033\Report%202014\Tables%20and%20graphs\Graphs%20whoqol%20290414.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tpstore\LDRIVE\04%20PROJECTS%2010-11\1%20Patient%20pathways%20-%20M5033\Report%202014\Tables%20and%20graphs\optimal%20care%20pathwa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263531159167252"/>
          <c:y val="0.1881228649382175"/>
          <c:w val="0.86238030364880214"/>
          <c:h val="0.55993155521533289"/>
        </c:manualLayout>
      </c:layout>
      <c:barChart>
        <c:barDir val="col"/>
        <c:grouping val="clustered"/>
        <c:varyColors val="0"/>
        <c:ser>
          <c:idx val="0"/>
          <c:order val="0"/>
          <c:tx>
            <c:strRef>
              <c:f>Sheet1!$B$1</c:f>
              <c:strCache>
                <c:ptCount val="1"/>
                <c:pt idx="0">
                  <c:v>Outpatient</c:v>
                </c:pt>
              </c:strCache>
            </c:strRef>
          </c:tx>
          <c:invertIfNegative val="0"/>
          <c:cat>
            <c:strRef>
              <c:f>Sheet1!$A$2:$A$5</c:f>
              <c:strCache>
                <c:ptCount val="4"/>
                <c:pt idx="0">
                  <c:v>Stop alcohol altogether</c:v>
                </c:pt>
                <c:pt idx="1">
                  <c:v>Cut down or control drinking</c:v>
                </c:pt>
                <c:pt idx="2">
                  <c:v>Eliminate alcohol-related problems</c:v>
                </c:pt>
                <c:pt idx="3">
                  <c:v>No alcohol problem/N.A</c:v>
                </c:pt>
              </c:strCache>
            </c:strRef>
          </c:cat>
          <c:val>
            <c:numRef>
              <c:f>Sheet1!$B$2:$B$5</c:f>
              <c:numCache>
                <c:formatCode>0.00%</c:formatCode>
                <c:ptCount val="4"/>
                <c:pt idx="0">
                  <c:v>0.46790000000000015</c:v>
                </c:pt>
                <c:pt idx="1">
                  <c:v>0.39450000000000024</c:v>
                </c:pt>
                <c:pt idx="2">
                  <c:v>6.4199999999999993E-2</c:v>
                </c:pt>
                <c:pt idx="3">
                  <c:v>7.3400000000000021E-2</c:v>
                </c:pt>
              </c:numCache>
            </c:numRef>
          </c:val>
        </c:ser>
        <c:ser>
          <c:idx val="1"/>
          <c:order val="1"/>
          <c:tx>
            <c:strRef>
              <c:f>Sheet1!$C$1</c:f>
              <c:strCache>
                <c:ptCount val="1"/>
                <c:pt idx="0">
                  <c:v>Acute withdrawal</c:v>
                </c:pt>
              </c:strCache>
            </c:strRef>
          </c:tx>
          <c:invertIfNegative val="0"/>
          <c:cat>
            <c:strRef>
              <c:f>Sheet1!$A$2:$A$5</c:f>
              <c:strCache>
                <c:ptCount val="4"/>
                <c:pt idx="0">
                  <c:v>Stop alcohol altogether</c:v>
                </c:pt>
                <c:pt idx="1">
                  <c:v>Cut down or control drinking</c:v>
                </c:pt>
                <c:pt idx="2">
                  <c:v>Eliminate alcohol-related problems</c:v>
                </c:pt>
                <c:pt idx="3">
                  <c:v>No alcohol problem/N.A</c:v>
                </c:pt>
              </c:strCache>
            </c:strRef>
          </c:cat>
          <c:val>
            <c:numRef>
              <c:f>Sheet1!$C$2:$C$5</c:f>
              <c:numCache>
                <c:formatCode>0.00%</c:formatCode>
                <c:ptCount val="4"/>
                <c:pt idx="0">
                  <c:v>0.65160000000000051</c:v>
                </c:pt>
                <c:pt idx="1">
                  <c:v>0.28280000000000016</c:v>
                </c:pt>
                <c:pt idx="2">
                  <c:v>4.9200000000000021E-2</c:v>
                </c:pt>
                <c:pt idx="3">
                  <c:v>1.6400000000000001E-2</c:v>
                </c:pt>
              </c:numCache>
            </c:numRef>
          </c:val>
        </c:ser>
        <c:ser>
          <c:idx val="2"/>
          <c:order val="2"/>
          <c:tx>
            <c:strRef>
              <c:f>Sheet1!$D$1</c:f>
              <c:strCache>
                <c:ptCount val="1"/>
                <c:pt idx="0">
                  <c:v>Residential rehabilitation</c:v>
                </c:pt>
              </c:strCache>
            </c:strRef>
          </c:tx>
          <c:invertIfNegative val="0"/>
          <c:cat>
            <c:strRef>
              <c:f>Sheet1!$A$2:$A$5</c:f>
              <c:strCache>
                <c:ptCount val="4"/>
                <c:pt idx="0">
                  <c:v>Stop alcohol altogether</c:v>
                </c:pt>
                <c:pt idx="1">
                  <c:v>Cut down or control drinking</c:v>
                </c:pt>
                <c:pt idx="2">
                  <c:v>Eliminate alcohol-related problems</c:v>
                </c:pt>
                <c:pt idx="3">
                  <c:v>No alcohol problem/N.A</c:v>
                </c:pt>
              </c:strCache>
            </c:strRef>
          </c:cat>
          <c:val>
            <c:numRef>
              <c:f>Sheet1!$D$2:$D$5</c:f>
              <c:numCache>
                <c:formatCode>0.00%</c:formatCode>
                <c:ptCount val="4"/>
                <c:pt idx="0">
                  <c:v>0.65520000000000034</c:v>
                </c:pt>
                <c:pt idx="1">
                  <c:v>0.2276</c:v>
                </c:pt>
                <c:pt idx="2">
                  <c:v>4.8300000000000003E-2</c:v>
                </c:pt>
                <c:pt idx="3">
                  <c:v>6.9000000000000034E-2</c:v>
                </c:pt>
              </c:numCache>
            </c:numRef>
          </c:val>
        </c:ser>
        <c:dLbls>
          <c:showLegendKey val="0"/>
          <c:showVal val="0"/>
          <c:showCatName val="0"/>
          <c:showSerName val="0"/>
          <c:showPercent val="0"/>
          <c:showBubbleSize val="0"/>
        </c:dLbls>
        <c:gapWidth val="150"/>
        <c:axId val="134526848"/>
        <c:axId val="134528384"/>
      </c:barChart>
      <c:catAx>
        <c:axId val="134526848"/>
        <c:scaling>
          <c:orientation val="minMax"/>
        </c:scaling>
        <c:delete val="0"/>
        <c:axPos val="b"/>
        <c:numFmt formatCode="General" sourceLinked="0"/>
        <c:majorTickMark val="out"/>
        <c:minorTickMark val="none"/>
        <c:tickLblPos val="nextTo"/>
        <c:crossAx val="134528384"/>
        <c:crosses val="autoZero"/>
        <c:auto val="1"/>
        <c:lblAlgn val="ctr"/>
        <c:lblOffset val="100"/>
        <c:noMultiLvlLbl val="0"/>
      </c:catAx>
      <c:valAx>
        <c:axId val="134528384"/>
        <c:scaling>
          <c:orientation val="minMax"/>
        </c:scaling>
        <c:delete val="0"/>
        <c:axPos val="l"/>
        <c:numFmt formatCode="0%" sourceLinked="0"/>
        <c:majorTickMark val="out"/>
        <c:minorTickMark val="none"/>
        <c:tickLblPos val="nextTo"/>
        <c:crossAx val="134526848"/>
        <c:crosses val="autoZero"/>
        <c:crossBetween val="between"/>
      </c:valAx>
    </c:plotArea>
    <c:legend>
      <c:legendPos val="t"/>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Sheet2!$B$1</c:f>
              <c:strCache>
                <c:ptCount val="1"/>
                <c:pt idx="0">
                  <c:v>Outpatient</c:v>
                </c:pt>
              </c:strCache>
            </c:strRef>
          </c:tx>
          <c:invertIfNegative val="0"/>
          <c:cat>
            <c:strRef>
              <c:f>Sheet2!$A$2:$A$6</c:f>
              <c:strCache>
                <c:ptCount val="5"/>
                <c:pt idx="0">
                  <c:v>Stop drugs altogether</c:v>
                </c:pt>
                <c:pt idx="1">
                  <c:v>Cut down or control drug use</c:v>
                </c:pt>
                <c:pt idx="2">
                  <c:v>Eliminate drug-related problems</c:v>
                </c:pt>
                <c:pt idx="3">
                  <c:v>Get substitution pharmacotherapy</c:v>
                </c:pt>
                <c:pt idx="4">
                  <c:v>No drug problem/N.A</c:v>
                </c:pt>
              </c:strCache>
            </c:strRef>
          </c:cat>
          <c:val>
            <c:numRef>
              <c:f>Sheet2!$B$2:$B$6</c:f>
              <c:numCache>
                <c:formatCode>0.00%</c:formatCode>
                <c:ptCount val="5"/>
                <c:pt idx="0">
                  <c:v>0.62400000000000033</c:v>
                </c:pt>
                <c:pt idx="1">
                  <c:v>0.23600000000000004</c:v>
                </c:pt>
                <c:pt idx="2">
                  <c:v>6.4000000000000043E-2</c:v>
                </c:pt>
                <c:pt idx="3">
                  <c:v>6.0000000000000027E-3</c:v>
                </c:pt>
                <c:pt idx="4">
                  <c:v>7.0000000000000021E-2</c:v>
                </c:pt>
              </c:numCache>
            </c:numRef>
          </c:val>
        </c:ser>
        <c:ser>
          <c:idx val="1"/>
          <c:order val="1"/>
          <c:tx>
            <c:strRef>
              <c:f>Sheet2!$C$1</c:f>
              <c:strCache>
                <c:ptCount val="1"/>
                <c:pt idx="0">
                  <c:v>Acute withdrawal</c:v>
                </c:pt>
              </c:strCache>
            </c:strRef>
          </c:tx>
          <c:invertIfNegative val="0"/>
          <c:cat>
            <c:strRef>
              <c:f>Sheet2!$A$2:$A$6</c:f>
              <c:strCache>
                <c:ptCount val="5"/>
                <c:pt idx="0">
                  <c:v>Stop drugs altogether</c:v>
                </c:pt>
                <c:pt idx="1">
                  <c:v>Cut down or control drug use</c:v>
                </c:pt>
                <c:pt idx="2">
                  <c:v>Eliminate drug-related problems</c:v>
                </c:pt>
                <c:pt idx="3">
                  <c:v>Get substitution pharmacotherapy</c:v>
                </c:pt>
                <c:pt idx="4">
                  <c:v>No drug problem/N.A</c:v>
                </c:pt>
              </c:strCache>
            </c:strRef>
          </c:cat>
          <c:val>
            <c:numRef>
              <c:f>Sheet2!$C$2:$C$6</c:f>
              <c:numCache>
                <c:formatCode>0.00%</c:formatCode>
                <c:ptCount val="5"/>
                <c:pt idx="0">
                  <c:v>0.75600000000000034</c:v>
                </c:pt>
                <c:pt idx="1">
                  <c:v>0.16900000000000001</c:v>
                </c:pt>
                <c:pt idx="2">
                  <c:v>3.3000000000000002E-2</c:v>
                </c:pt>
                <c:pt idx="3">
                  <c:v>1.900000000000001E-2</c:v>
                </c:pt>
                <c:pt idx="4">
                  <c:v>2.3E-2</c:v>
                </c:pt>
              </c:numCache>
            </c:numRef>
          </c:val>
        </c:ser>
        <c:ser>
          <c:idx val="2"/>
          <c:order val="2"/>
          <c:tx>
            <c:strRef>
              <c:f>Sheet2!$D$1</c:f>
              <c:strCache>
                <c:ptCount val="1"/>
                <c:pt idx="0">
                  <c:v>Residential rehabilitation</c:v>
                </c:pt>
              </c:strCache>
            </c:strRef>
          </c:tx>
          <c:invertIfNegative val="0"/>
          <c:cat>
            <c:strRef>
              <c:f>Sheet2!$A$2:$A$6</c:f>
              <c:strCache>
                <c:ptCount val="5"/>
                <c:pt idx="0">
                  <c:v>Stop drugs altogether</c:v>
                </c:pt>
                <c:pt idx="1">
                  <c:v>Cut down or control drug use</c:v>
                </c:pt>
                <c:pt idx="2">
                  <c:v>Eliminate drug-related problems</c:v>
                </c:pt>
                <c:pt idx="3">
                  <c:v>Get substitution pharmacotherapy</c:v>
                </c:pt>
                <c:pt idx="4">
                  <c:v>No drug problem/N.A</c:v>
                </c:pt>
              </c:strCache>
            </c:strRef>
          </c:cat>
          <c:val>
            <c:numRef>
              <c:f>Sheet2!$D$2:$D$6</c:f>
              <c:numCache>
                <c:formatCode>0.00%</c:formatCode>
                <c:ptCount val="5"/>
                <c:pt idx="0">
                  <c:v>0.89800000000000002</c:v>
                </c:pt>
                <c:pt idx="1">
                  <c:v>7.9000000000000042E-2</c:v>
                </c:pt>
                <c:pt idx="2">
                  <c:v>1.0999999999999998E-2</c:v>
                </c:pt>
                <c:pt idx="3" formatCode="General">
                  <c:v>0</c:v>
                </c:pt>
                <c:pt idx="4">
                  <c:v>1.0999999999999998E-2</c:v>
                </c:pt>
              </c:numCache>
            </c:numRef>
          </c:val>
        </c:ser>
        <c:dLbls>
          <c:showLegendKey val="0"/>
          <c:showVal val="0"/>
          <c:showCatName val="0"/>
          <c:showSerName val="0"/>
          <c:showPercent val="0"/>
          <c:showBubbleSize val="0"/>
        </c:dLbls>
        <c:gapWidth val="150"/>
        <c:axId val="134763264"/>
        <c:axId val="134764800"/>
      </c:barChart>
      <c:catAx>
        <c:axId val="134763264"/>
        <c:scaling>
          <c:orientation val="minMax"/>
        </c:scaling>
        <c:delete val="0"/>
        <c:axPos val="b"/>
        <c:numFmt formatCode="General" sourceLinked="0"/>
        <c:majorTickMark val="out"/>
        <c:minorTickMark val="none"/>
        <c:tickLblPos val="nextTo"/>
        <c:crossAx val="134764800"/>
        <c:crosses val="autoZero"/>
        <c:auto val="1"/>
        <c:lblAlgn val="ctr"/>
        <c:lblOffset val="100"/>
        <c:noMultiLvlLbl val="0"/>
      </c:catAx>
      <c:valAx>
        <c:axId val="134764800"/>
        <c:scaling>
          <c:orientation val="minMax"/>
        </c:scaling>
        <c:delete val="0"/>
        <c:axPos val="l"/>
        <c:numFmt formatCode="0%" sourceLinked="0"/>
        <c:majorTickMark val="out"/>
        <c:minorTickMark val="none"/>
        <c:tickLblPos val="nextTo"/>
        <c:crossAx val="134763264"/>
        <c:crosses val="autoZero"/>
        <c:crossBetween val="between"/>
      </c:valAx>
    </c:plotArea>
    <c:legend>
      <c:legendPos val="t"/>
      <c:overlay val="0"/>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44114029287221"/>
          <c:y val="5.6286291169245321E-2"/>
          <c:w val="0.84715179769380211"/>
          <c:h val="0.69826584795891233"/>
        </c:manualLayout>
      </c:layout>
      <c:barChart>
        <c:barDir val="col"/>
        <c:grouping val="clustered"/>
        <c:varyColors val="0"/>
        <c:ser>
          <c:idx val="0"/>
          <c:order val="0"/>
          <c:tx>
            <c:strRef>
              <c:f>'Abstinence by PDOC and tx'!$C$24</c:f>
              <c:strCache>
                <c:ptCount val="1"/>
                <c:pt idx="0">
                  <c:v>PDOC only</c:v>
                </c:pt>
              </c:strCache>
            </c:strRef>
          </c:tx>
          <c:invertIfNegative val="0"/>
          <c:dLbls>
            <c:spPr>
              <a:noFill/>
              <a:ln>
                <a:noFill/>
              </a:ln>
              <a:effectLst/>
            </c:spPr>
            <c:txPr>
              <a:bodyPr/>
              <a:lstStyle/>
              <a:p>
                <a:pPr>
                  <a:defRPr sz="9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'Abstinence by PDOC and tx'!$D$23:$I$23</c:f>
              <c:strCache>
                <c:ptCount val="6"/>
                <c:pt idx="0">
                  <c:v>Alcohol</c:v>
                </c:pt>
                <c:pt idx="1">
                  <c:v>Cannabis</c:v>
                </c:pt>
                <c:pt idx="2">
                  <c:v>Opioids</c:v>
                </c:pt>
                <c:pt idx="3">
                  <c:v>Meth/amphet</c:v>
                </c:pt>
                <c:pt idx="4">
                  <c:v>Other</c:v>
                </c:pt>
                <c:pt idx="5">
                  <c:v>Total</c:v>
                </c:pt>
              </c:strCache>
            </c:strRef>
          </c:cat>
          <c:val>
            <c:numRef>
              <c:f>'Abstinence by PDOC and tx'!$D$24:$I$24</c:f>
              <c:numCache>
                <c:formatCode>General</c:formatCode>
                <c:ptCount val="6"/>
                <c:pt idx="0">
                  <c:v>28.1</c:v>
                </c:pt>
                <c:pt idx="1">
                  <c:v>34.1</c:v>
                </c:pt>
                <c:pt idx="2">
                  <c:v>45.5</c:v>
                </c:pt>
                <c:pt idx="3">
                  <c:v>60.9</c:v>
                </c:pt>
                <c:pt idx="4">
                  <c:v>40</c:v>
                </c:pt>
                <c:pt idx="5">
                  <c:v>37.5</c:v>
                </c:pt>
              </c:numCache>
            </c:numRef>
          </c:val>
        </c:ser>
        <c:ser>
          <c:idx val="1"/>
          <c:order val="1"/>
          <c:tx>
            <c:strRef>
              <c:f>'Abstinence by PDOC and tx'!$C$25</c:f>
              <c:strCache>
                <c:ptCount val="1"/>
                <c:pt idx="0">
                  <c:v>All DOCs</c:v>
                </c:pt>
              </c:strCache>
            </c:strRef>
          </c:tx>
          <c:invertIfNegative val="0"/>
          <c:dLbls>
            <c:spPr>
              <a:noFill/>
              <a:ln>
                <a:noFill/>
              </a:ln>
              <a:effectLst/>
            </c:spPr>
            <c:txPr>
              <a:bodyPr/>
              <a:lstStyle/>
              <a:p>
                <a:pPr>
                  <a:defRPr sz="9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'Abstinence by PDOC and tx'!$D$23:$I$23</c:f>
              <c:strCache>
                <c:ptCount val="6"/>
                <c:pt idx="0">
                  <c:v>Alcohol</c:v>
                </c:pt>
                <c:pt idx="1">
                  <c:v>Cannabis</c:v>
                </c:pt>
                <c:pt idx="2">
                  <c:v>Opioids</c:v>
                </c:pt>
                <c:pt idx="3">
                  <c:v>Meth/amphet</c:v>
                </c:pt>
                <c:pt idx="4">
                  <c:v>Other</c:v>
                </c:pt>
                <c:pt idx="5">
                  <c:v>Total</c:v>
                </c:pt>
              </c:strCache>
            </c:strRef>
          </c:cat>
          <c:val>
            <c:numRef>
              <c:f>'Abstinence by PDOC and tx'!$D$25:$I$25</c:f>
              <c:numCache>
                <c:formatCode>General</c:formatCode>
                <c:ptCount val="6"/>
                <c:pt idx="0">
                  <c:v>26.7</c:v>
                </c:pt>
                <c:pt idx="1">
                  <c:v>25.9</c:v>
                </c:pt>
                <c:pt idx="2">
                  <c:v>33</c:v>
                </c:pt>
                <c:pt idx="3">
                  <c:v>43.5</c:v>
                </c:pt>
                <c:pt idx="4">
                  <c:v>31.2</c:v>
                </c:pt>
                <c:pt idx="5">
                  <c:v>30.5</c:v>
                </c:pt>
              </c:numCache>
            </c:numRef>
          </c:val>
        </c:ser>
        <c:dLbls>
          <c:showLegendKey val="0"/>
          <c:showVal val="0"/>
          <c:showCatName val="0"/>
          <c:showSerName val="0"/>
          <c:showPercent val="0"/>
          <c:showBubbleSize val="0"/>
        </c:dLbls>
        <c:gapWidth val="150"/>
        <c:axId val="150753664"/>
        <c:axId val="150755584"/>
      </c:barChart>
      <c:catAx>
        <c:axId val="150753664"/>
        <c:scaling>
          <c:orientation val="minMax"/>
        </c:scaling>
        <c:delete val="0"/>
        <c:axPos val="b"/>
        <c:title>
          <c:tx>
            <c:rich>
              <a:bodyPr/>
              <a:lstStyle/>
              <a:p>
                <a:pPr>
                  <a:defRPr/>
                </a:pPr>
                <a:r>
                  <a:rPr lang="en-AU"/>
                  <a:t>Primary</a:t>
                </a:r>
                <a:r>
                  <a:rPr lang="en-AU" baseline="0"/>
                  <a:t> Drug of Concern</a:t>
                </a:r>
                <a:endParaRPr lang="en-AU"/>
              </a:p>
            </c:rich>
          </c:tx>
          <c:overlay val="0"/>
        </c:title>
        <c:numFmt formatCode="General" sourceLinked="0"/>
        <c:majorTickMark val="none"/>
        <c:minorTickMark val="none"/>
        <c:tickLblPos val="nextTo"/>
        <c:crossAx val="150755584"/>
        <c:crosses val="autoZero"/>
        <c:auto val="1"/>
        <c:lblAlgn val="ctr"/>
        <c:lblOffset val="100"/>
        <c:noMultiLvlLbl val="0"/>
      </c:catAx>
      <c:valAx>
        <c:axId val="150755584"/>
        <c:scaling>
          <c:orientation val="minMax"/>
        </c:scaling>
        <c:delete val="0"/>
        <c:axPos val="l"/>
        <c:title>
          <c:tx>
            <c:rich>
              <a:bodyPr/>
              <a:lstStyle/>
              <a:p>
                <a:pPr>
                  <a:defRPr/>
                </a:pPr>
                <a:r>
                  <a:rPr lang="en-AU"/>
                  <a:t>percentage</a:t>
                </a:r>
                <a:r>
                  <a:rPr lang="en-AU" baseline="0"/>
                  <a:t> of clients</a:t>
                </a:r>
                <a:endParaRPr lang="en-AU"/>
              </a:p>
            </c:rich>
          </c:tx>
          <c:overlay val="0"/>
        </c:title>
        <c:numFmt formatCode="General" sourceLinked="1"/>
        <c:majorTickMark val="out"/>
        <c:minorTickMark val="none"/>
        <c:tickLblPos val="nextTo"/>
        <c:crossAx val="150753664"/>
        <c:crosses val="autoZero"/>
        <c:crossBetween val="between"/>
      </c:valAx>
    </c:plotArea>
    <c:legend>
      <c:legendPos val="r"/>
      <c:layout>
        <c:manualLayout>
          <c:xMode val="edge"/>
          <c:yMode val="edge"/>
          <c:x val="0.73662856734089333"/>
          <c:y val="2.8098835728593754E-2"/>
          <c:w val="0.24121322304244444"/>
          <c:h val="0.13265253168953073"/>
        </c:manualLayout>
      </c:layout>
      <c:overlay val="0"/>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89129483814499"/>
          <c:y val="5.1400554097404495E-2"/>
          <c:w val="0.69727624671916"/>
          <c:h val="0.73444808982210497"/>
        </c:manualLayout>
      </c:layout>
      <c:barChart>
        <c:barDir val="col"/>
        <c:grouping val="clustered"/>
        <c:varyColors val="0"/>
        <c:ser>
          <c:idx val="0"/>
          <c:order val="0"/>
          <c:tx>
            <c:strRef>
              <c:f>'Abstinence by PDOC and tx'!$C$5</c:f>
              <c:strCache>
                <c:ptCount val="1"/>
                <c:pt idx="0">
                  <c:v>PDOC only</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'Abstinence by PDOC and tx'!$D$4:$G$4</c:f>
              <c:strCache>
                <c:ptCount val="4"/>
                <c:pt idx="0">
                  <c:v>Outpatient</c:v>
                </c:pt>
                <c:pt idx="1">
                  <c:v>Acute withdrawal </c:v>
                </c:pt>
                <c:pt idx="2">
                  <c:v>Residential rehabilitation </c:v>
                </c:pt>
                <c:pt idx="3">
                  <c:v>Total</c:v>
                </c:pt>
              </c:strCache>
            </c:strRef>
          </c:cat>
          <c:val>
            <c:numRef>
              <c:f>'Abstinence by PDOC and tx'!$D$5:$G$5</c:f>
              <c:numCache>
                <c:formatCode>General</c:formatCode>
                <c:ptCount val="4"/>
                <c:pt idx="0" formatCode="0.0">
                  <c:v>33</c:v>
                </c:pt>
                <c:pt idx="1">
                  <c:v>30.4</c:v>
                </c:pt>
                <c:pt idx="2">
                  <c:v>55.8</c:v>
                </c:pt>
                <c:pt idx="3">
                  <c:v>37.5</c:v>
                </c:pt>
              </c:numCache>
            </c:numRef>
          </c:val>
        </c:ser>
        <c:ser>
          <c:idx val="1"/>
          <c:order val="1"/>
          <c:tx>
            <c:strRef>
              <c:f>'Abstinence by PDOC and tx'!$C$6</c:f>
              <c:strCache>
                <c:ptCount val="1"/>
                <c:pt idx="0">
                  <c:v>All DOCs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'Abstinence by PDOC and tx'!$D$4:$G$4</c:f>
              <c:strCache>
                <c:ptCount val="4"/>
                <c:pt idx="0">
                  <c:v>Outpatient</c:v>
                </c:pt>
                <c:pt idx="1">
                  <c:v>Acute withdrawal </c:v>
                </c:pt>
                <c:pt idx="2">
                  <c:v>Residential rehabilitation </c:v>
                </c:pt>
                <c:pt idx="3">
                  <c:v>Total</c:v>
                </c:pt>
              </c:strCache>
            </c:strRef>
          </c:cat>
          <c:val>
            <c:numRef>
              <c:f>'Abstinence by PDOC and tx'!$D$6:$G$6</c:f>
              <c:numCache>
                <c:formatCode>General</c:formatCode>
                <c:ptCount val="4"/>
                <c:pt idx="0">
                  <c:v>26.7</c:v>
                </c:pt>
                <c:pt idx="1">
                  <c:v>25.3</c:v>
                </c:pt>
                <c:pt idx="2">
                  <c:v>44.5</c:v>
                </c:pt>
                <c:pt idx="3">
                  <c:v>30.5</c:v>
                </c:pt>
              </c:numCache>
            </c:numRef>
          </c:val>
        </c:ser>
        <c:dLbls>
          <c:showLegendKey val="0"/>
          <c:showVal val="0"/>
          <c:showCatName val="0"/>
          <c:showSerName val="0"/>
          <c:showPercent val="0"/>
          <c:showBubbleSize val="0"/>
        </c:dLbls>
        <c:gapWidth val="150"/>
        <c:axId val="150794240"/>
        <c:axId val="150796160"/>
      </c:barChart>
      <c:catAx>
        <c:axId val="150794240"/>
        <c:scaling>
          <c:orientation val="minMax"/>
        </c:scaling>
        <c:delete val="0"/>
        <c:axPos val="b"/>
        <c:title>
          <c:tx>
            <c:rich>
              <a:bodyPr/>
              <a:lstStyle/>
              <a:p>
                <a:pPr>
                  <a:defRPr/>
                </a:pPr>
                <a:r>
                  <a:rPr lang="en-AU"/>
                  <a:t>Treatment type</a:t>
                </a:r>
              </a:p>
            </c:rich>
          </c:tx>
          <c:overlay val="0"/>
        </c:title>
        <c:numFmt formatCode="General" sourceLinked="0"/>
        <c:majorTickMark val="none"/>
        <c:minorTickMark val="none"/>
        <c:tickLblPos val="nextTo"/>
        <c:crossAx val="150796160"/>
        <c:crosses val="autoZero"/>
        <c:auto val="1"/>
        <c:lblAlgn val="ctr"/>
        <c:lblOffset val="100"/>
        <c:noMultiLvlLbl val="0"/>
      </c:catAx>
      <c:valAx>
        <c:axId val="150796160"/>
        <c:scaling>
          <c:orientation val="minMax"/>
        </c:scaling>
        <c:delete val="0"/>
        <c:axPos val="l"/>
        <c:title>
          <c:tx>
            <c:rich>
              <a:bodyPr/>
              <a:lstStyle/>
              <a:p>
                <a:pPr>
                  <a:defRPr/>
                </a:pPr>
                <a:r>
                  <a:rPr lang="en-AU"/>
                  <a:t>Percentage</a:t>
                </a:r>
                <a:r>
                  <a:rPr lang="en-AU" baseline="0"/>
                  <a:t> of participants</a:t>
                </a:r>
                <a:endParaRPr lang="en-AU"/>
              </a:p>
            </c:rich>
          </c:tx>
          <c:overlay val="0"/>
        </c:title>
        <c:numFmt formatCode="0.0" sourceLinked="1"/>
        <c:majorTickMark val="out"/>
        <c:minorTickMark val="none"/>
        <c:tickLblPos val="nextTo"/>
        <c:crossAx val="150794240"/>
        <c:crosses val="autoZero"/>
        <c:crossBetween val="between"/>
      </c:valAx>
    </c:plotArea>
    <c:legend>
      <c:legendPos val="r"/>
      <c:layout>
        <c:manualLayout>
          <c:xMode val="edge"/>
          <c:yMode val="edge"/>
          <c:x val="0.8170564304461978"/>
          <c:y val="0.14776428988043241"/>
          <c:w val="0.16627690288713917"/>
          <c:h val="0.190582531350248"/>
        </c:manualLayout>
      </c:layout>
      <c:overlay val="0"/>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5232863283203888E-2"/>
          <c:y val="0.14372490632414653"/>
          <c:w val="0.89973943963756631"/>
          <c:h val="0.67922708236992391"/>
        </c:manualLayout>
      </c:layout>
      <c:barChart>
        <c:barDir val="col"/>
        <c:grouping val="clustered"/>
        <c:varyColors val="0"/>
        <c:ser>
          <c:idx val="0"/>
          <c:order val="0"/>
          <c:tx>
            <c:strRef>
              <c:f>Sheet1!$B$1</c:f>
              <c:strCache>
                <c:ptCount val="1"/>
                <c:pt idx="0">
                  <c:v>Abstinent</c:v>
                </c:pt>
              </c:strCache>
            </c:strRef>
          </c:tx>
          <c:invertIfNegative val="0"/>
          <c:cat>
            <c:strRef>
              <c:f>Sheet1!$A$2:$A$5</c:f>
              <c:strCache>
                <c:ptCount val="4"/>
                <c:pt idx="0">
                  <c:v>Outpatient</c:v>
                </c:pt>
                <c:pt idx="1">
                  <c:v>Acute withdrawal</c:v>
                </c:pt>
                <c:pt idx="2">
                  <c:v>Residential rehabilitation </c:v>
                </c:pt>
                <c:pt idx="3">
                  <c:v>Total</c:v>
                </c:pt>
              </c:strCache>
            </c:strRef>
          </c:cat>
          <c:val>
            <c:numRef>
              <c:f>Sheet1!$B$2:$B$5</c:f>
              <c:numCache>
                <c:formatCode>0.00</c:formatCode>
                <c:ptCount val="4"/>
                <c:pt idx="0">
                  <c:v>0.33300000000000007</c:v>
                </c:pt>
                <c:pt idx="1">
                  <c:v>0.3040000000000001</c:v>
                </c:pt>
                <c:pt idx="2">
                  <c:v>0.55500000000000005</c:v>
                </c:pt>
                <c:pt idx="3">
                  <c:v>0.37500000000000006</c:v>
                </c:pt>
              </c:numCache>
            </c:numRef>
          </c:val>
        </c:ser>
        <c:ser>
          <c:idx val="1"/>
          <c:order val="1"/>
          <c:tx>
            <c:strRef>
              <c:f>Sheet1!$C$1</c:f>
              <c:strCache>
                <c:ptCount val="1"/>
                <c:pt idx="0">
                  <c:v>Reduced 50%</c:v>
                </c:pt>
              </c:strCache>
            </c:strRef>
          </c:tx>
          <c:invertIfNegative val="0"/>
          <c:cat>
            <c:strRef>
              <c:f>Sheet1!$A$2:$A$5</c:f>
              <c:strCache>
                <c:ptCount val="4"/>
                <c:pt idx="0">
                  <c:v>Outpatient</c:v>
                </c:pt>
                <c:pt idx="1">
                  <c:v>Acute withdrawal</c:v>
                </c:pt>
                <c:pt idx="2">
                  <c:v>Residential rehabilitation </c:v>
                </c:pt>
                <c:pt idx="3">
                  <c:v>Total</c:v>
                </c:pt>
              </c:strCache>
            </c:strRef>
          </c:cat>
          <c:val>
            <c:numRef>
              <c:f>Sheet1!$C$2:$C$5</c:f>
              <c:numCache>
                <c:formatCode>0.00</c:formatCode>
                <c:ptCount val="4"/>
                <c:pt idx="0">
                  <c:v>0.17500000000000002</c:v>
                </c:pt>
                <c:pt idx="1">
                  <c:v>0.2</c:v>
                </c:pt>
                <c:pt idx="2">
                  <c:v>5.8000000000000003E-2</c:v>
                </c:pt>
                <c:pt idx="3">
                  <c:v>0.15700000000000003</c:v>
                </c:pt>
              </c:numCache>
            </c:numRef>
          </c:val>
        </c:ser>
        <c:ser>
          <c:idx val="2"/>
          <c:order val="2"/>
          <c:tx>
            <c:strRef>
              <c:f>Sheet1!$D$1</c:f>
              <c:strCache>
                <c:ptCount val="1"/>
                <c:pt idx="0">
                  <c:v>Did not reduce 50%</c:v>
                </c:pt>
              </c:strCache>
            </c:strRef>
          </c:tx>
          <c:invertIfNegative val="0"/>
          <c:cat>
            <c:strRef>
              <c:f>Sheet1!$A$2:$A$5</c:f>
              <c:strCache>
                <c:ptCount val="4"/>
                <c:pt idx="0">
                  <c:v>Outpatient</c:v>
                </c:pt>
                <c:pt idx="1">
                  <c:v>Acute withdrawal</c:v>
                </c:pt>
                <c:pt idx="2">
                  <c:v>Residential rehabilitation </c:v>
                </c:pt>
                <c:pt idx="3">
                  <c:v>Total</c:v>
                </c:pt>
              </c:strCache>
            </c:strRef>
          </c:cat>
          <c:val>
            <c:numRef>
              <c:f>Sheet1!$D$2:$D$5</c:f>
              <c:numCache>
                <c:formatCode>0.00</c:formatCode>
                <c:ptCount val="4"/>
                <c:pt idx="0">
                  <c:v>0.46300000000000002</c:v>
                </c:pt>
                <c:pt idx="1">
                  <c:v>0.47900000000000004</c:v>
                </c:pt>
                <c:pt idx="2">
                  <c:v>0.38000000000000006</c:v>
                </c:pt>
                <c:pt idx="3">
                  <c:v>0.44900000000000001</c:v>
                </c:pt>
              </c:numCache>
            </c:numRef>
          </c:val>
        </c:ser>
        <c:dLbls>
          <c:showLegendKey val="0"/>
          <c:showVal val="0"/>
          <c:showCatName val="0"/>
          <c:showSerName val="0"/>
          <c:showPercent val="0"/>
          <c:showBubbleSize val="0"/>
        </c:dLbls>
        <c:gapWidth val="150"/>
        <c:axId val="153448448"/>
        <c:axId val="153449984"/>
      </c:barChart>
      <c:catAx>
        <c:axId val="153448448"/>
        <c:scaling>
          <c:orientation val="minMax"/>
        </c:scaling>
        <c:delete val="0"/>
        <c:axPos val="b"/>
        <c:numFmt formatCode="General" sourceLinked="0"/>
        <c:majorTickMark val="out"/>
        <c:minorTickMark val="none"/>
        <c:tickLblPos val="nextTo"/>
        <c:crossAx val="153449984"/>
        <c:crosses val="autoZero"/>
        <c:auto val="1"/>
        <c:lblAlgn val="ctr"/>
        <c:lblOffset val="100"/>
        <c:noMultiLvlLbl val="0"/>
      </c:catAx>
      <c:valAx>
        <c:axId val="153449984"/>
        <c:scaling>
          <c:orientation val="minMax"/>
        </c:scaling>
        <c:delete val="0"/>
        <c:axPos val="l"/>
        <c:numFmt formatCode="0%" sourceLinked="0"/>
        <c:majorTickMark val="out"/>
        <c:minorTickMark val="none"/>
        <c:tickLblPos val="nextTo"/>
        <c:crossAx val="153448448"/>
        <c:crosses val="autoZero"/>
        <c:crossBetween val="between"/>
      </c:valAx>
    </c:plotArea>
    <c:legend>
      <c:legendPos val="t"/>
      <c:overlay val="0"/>
    </c:legend>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Sheet1!$C$112</c:f>
              <c:strCache>
                <c:ptCount val="1"/>
                <c:pt idx="0">
                  <c:v>Deteriorated</c:v>
                </c:pt>
              </c:strCache>
            </c:strRef>
          </c:tx>
          <c:invertIfNegative val="0"/>
          <c:cat>
            <c:strRef>
              <c:f>Sheet1!$D$111:$G$111</c:f>
              <c:strCache>
                <c:ptCount val="4"/>
                <c:pt idx="0">
                  <c:v>Physical change</c:v>
                </c:pt>
                <c:pt idx="1">
                  <c:v>Psychological change </c:v>
                </c:pt>
                <c:pt idx="2">
                  <c:v>Social change </c:v>
                </c:pt>
                <c:pt idx="3">
                  <c:v>Environmental change </c:v>
                </c:pt>
              </c:strCache>
            </c:strRef>
          </c:cat>
          <c:val>
            <c:numRef>
              <c:f>Sheet1!$D$112:$G$112</c:f>
              <c:numCache>
                <c:formatCode>0.0%</c:formatCode>
                <c:ptCount val="4"/>
                <c:pt idx="0">
                  <c:v>0.10500000000000002</c:v>
                </c:pt>
                <c:pt idx="1">
                  <c:v>0.14500000000000007</c:v>
                </c:pt>
                <c:pt idx="2">
                  <c:v>0.112</c:v>
                </c:pt>
                <c:pt idx="3">
                  <c:v>0.13900000000000001</c:v>
                </c:pt>
              </c:numCache>
            </c:numRef>
          </c:val>
        </c:ser>
        <c:ser>
          <c:idx val="1"/>
          <c:order val="1"/>
          <c:tx>
            <c:strRef>
              <c:f>Sheet1!$C$113</c:f>
              <c:strCache>
                <c:ptCount val="1"/>
                <c:pt idx="0">
                  <c:v>No change</c:v>
                </c:pt>
              </c:strCache>
            </c:strRef>
          </c:tx>
          <c:invertIfNegative val="0"/>
          <c:cat>
            <c:strRef>
              <c:f>Sheet1!$D$111:$G$111</c:f>
              <c:strCache>
                <c:ptCount val="4"/>
                <c:pt idx="0">
                  <c:v>Physical change</c:v>
                </c:pt>
                <c:pt idx="1">
                  <c:v>Psychological change </c:v>
                </c:pt>
                <c:pt idx="2">
                  <c:v>Social change </c:v>
                </c:pt>
                <c:pt idx="3">
                  <c:v>Environmental change </c:v>
                </c:pt>
              </c:strCache>
            </c:strRef>
          </c:cat>
          <c:val>
            <c:numRef>
              <c:f>Sheet1!$D$113:$G$113</c:f>
              <c:numCache>
                <c:formatCode>0.0%</c:formatCode>
                <c:ptCount val="4"/>
                <c:pt idx="0">
                  <c:v>0.61700000000000033</c:v>
                </c:pt>
                <c:pt idx="1">
                  <c:v>0.48300000000000015</c:v>
                </c:pt>
                <c:pt idx="2">
                  <c:v>0.53500000000000003</c:v>
                </c:pt>
                <c:pt idx="3">
                  <c:v>0.53300000000000003</c:v>
                </c:pt>
              </c:numCache>
            </c:numRef>
          </c:val>
        </c:ser>
        <c:ser>
          <c:idx val="2"/>
          <c:order val="2"/>
          <c:tx>
            <c:strRef>
              <c:f>Sheet1!$C$114</c:f>
              <c:strCache>
                <c:ptCount val="1"/>
                <c:pt idx="0">
                  <c:v>Improved</c:v>
                </c:pt>
              </c:strCache>
            </c:strRef>
          </c:tx>
          <c:invertIfNegative val="0"/>
          <c:cat>
            <c:strRef>
              <c:f>Sheet1!$D$111:$G$111</c:f>
              <c:strCache>
                <c:ptCount val="4"/>
                <c:pt idx="0">
                  <c:v>Physical change</c:v>
                </c:pt>
                <c:pt idx="1">
                  <c:v>Psychological change </c:v>
                </c:pt>
                <c:pt idx="2">
                  <c:v>Social change </c:v>
                </c:pt>
                <c:pt idx="3">
                  <c:v>Environmental change </c:v>
                </c:pt>
              </c:strCache>
            </c:strRef>
          </c:cat>
          <c:val>
            <c:numRef>
              <c:f>Sheet1!$D$114:$G$114</c:f>
              <c:numCache>
                <c:formatCode>0.0%</c:formatCode>
                <c:ptCount val="4"/>
                <c:pt idx="0">
                  <c:v>0.27800000000000002</c:v>
                </c:pt>
                <c:pt idx="1">
                  <c:v>0.37300000000000016</c:v>
                </c:pt>
                <c:pt idx="2">
                  <c:v>0.35500000000000015</c:v>
                </c:pt>
                <c:pt idx="3">
                  <c:v>0.32800000000000018</c:v>
                </c:pt>
              </c:numCache>
            </c:numRef>
          </c:val>
        </c:ser>
        <c:dLbls>
          <c:showLegendKey val="0"/>
          <c:showVal val="0"/>
          <c:showCatName val="0"/>
          <c:showSerName val="0"/>
          <c:showPercent val="0"/>
          <c:showBubbleSize val="0"/>
        </c:dLbls>
        <c:gapWidth val="150"/>
        <c:axId val="153581824"/>
        <c:axId val="153588096"/>
      </c:barChart>
      <c:catAx>
        <c:axId val="153581824"/>
        <c:scaling>
          <c:orientation val="minMax"/>
        </c:scaling>
        <c:delete val="0"/>
        <c:axPos val="b"/>
        <c:title>
          <c:tx>
            <c:rich>
              <a:bodyPr/>
              <a:lstStyle/>
              <a:p>
                <a:pPr>
                  <a:defRPr/>
                </a:pPr>
                <a:r>
                  <a:rPr lang="en-AU"/>
                  <a:t>Domains</a:t>
                </a:r>
              </a:p>
            </c:rich>
          </c:tx>
          <c:overlay val="0"/>
        </c:title>
        <c:numFmt formatCode="General" sourceLinked="0"/>
        <c:majorTickMark val="out"/>
        <c:minorTickMark val="none"/>
        <c:tickLblPos val="nextTo"/>
        <c:crossAx val="153588096"/>
        <c:crosses val="autoZero"/>
        <c:auto val="1"/>
        <c:lblAlgn val="ctr"/>
        <c:lblOffset val="100"/>
        <c:noMultiLvlLbl val="0"/>
      </c:catAx>
      <c:valAx>
        <c:axId val="153588096"/>
        <c:scaling>
          <c:orientation val="minMax"/>
        </c:scaling>
        <c:delete val="0"/>
        <c:axPos val="l"/>
        <c:numFmt formatCode="0.0%" sourceLinked="1"/>
        <c:majorTickMark val="out"/>
        <c:minorTickMark val="none"/>
        <c:tickLblPos val="nextTo"/>
        <c:crossAx val="153581824"/>
        <c:crosses val="autoZero"/>
        <c:crossBetween val="between"/>
      </c:valAx>
    </c:plotArea>
    <c:legend>
      <c:legendPos val="r"/>
      <c:overlay val="0"/>
    </c:legend>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Sheet1!$B$3:$H$3</c:f>
              <c:strCache>
                <c:ptCount val="7"/>
                <c:pt idx="0">
                  <c:v>-1</c:v>
                </c:pt>
                <c:pt idx="1">
                  <c:v>0</c:v>
                </c:pt>
                <c:pt idx="2">
                  <c:v>1</c:v>
                </c:pt>
                <c:pt idx="3">
                  <c:v>2</c:v>
                </c:pt>
                <c:pt idx="4">
                  <c:v>3</c:v>
                </c:pt>
                <c:pt idx="5">
                  <c:v>4</c:v>
                </c:pt>
                <c:pt idx="6">
                  <c:v>5</c:v>
                </c:pt>
              </c:strCache>
            </c:strRef>
          </c:cat>
          <c:val>
            <c:numRef>
              <c:f>Sheet1!$B$4:$H$4</c:f>
              <c:numCache>
                <c:formatCode>General</c:formatCode>
                <c:ptCount val="7"/>
                <c:pt idx="0">
                  <c:v>1.3</c:v>
                </c:pt>
                <c:pt idx="1">
                  <c:v>9.5</c:v>
                </c:pt>
                <c:pt idx="2">
                  <c:v>16.3</c:v>
                </c:pt>
                <c:pt idx="3">
                  <c:v>24.8</c:v>
                </c:pt>
                <c:pt idx="4">
                  <c:v>28.1</c:v>
                </c:pt>
                <c:pt idx="5">
                  <c:v>15.8</c:v>
                </c:pt>
                <c:pt idx="6">
                  <c:v>4.2</c:v>
                </c:pt>
              </c:numCache>
            </c:numRef>
          </c:val>
        </c:ser>
        <c:dLbls>
          <c:showLegendKey val="0"/>
          <c:showVal val="0"/>
          <c:showCatName val="0"/>
          <c:showSerName val="0"/>
          <c:showPercent val="0"/>
          <c:showBubbleSize val="0"/>
        </c:dLbls>
        <c:gapWidth val="150"/>
        <c:axId val="154141056"/>
        <c:axId val="154142976"/>
      </c:barChart>
      <c:catAx>
        <c:axId val="154141056"/>
        <c:scaling>
          <c:orientation val="minMax"/>
        </c:scaling>
        <c:delete val="0"/>
        <c:axPos val="b"/>
        <c:title>
          <c:tx>
            <c:rich>
              <a:bodyPr/>
              <a:lstStyle/>
              <a:p>
                <a:pPr>
                  <a:defRPr/>
                </a:pPr>
                <a:r>
                  <a:rPr lang="en-US"/>
                  <a:t>Optimal care pathway score</a:t>
                </a:r>
              </a:p>
            </c:rich>
          </c:tx>
          <c:overlay val="0"/>
        </c:title>
        <c:numFmt formatCode="General" sourceLinked="0"/>
        <c:majorTickMark val="out"/>
        <c:minorTickMark val="none"/>
        <c:tickLblPos val="nextTo"/>
        <c:crossAx val="154142976"/>
        <c:crossesAt val="0"/>
        <c:auto val="1"/>
        <c:lblAlgn val="ctr"/>
        <c:lblOffset val="100"/>
        <c:noMultiLvlLbl val="0"/>
      </c:catAx>
      <c:valAx>
        <c:axId val="154142976"/>
        <c:scaling>
          <c:orientation val="minMax"/>
          <c:min val="0"/>
        </c:scaling>
        <c:delete val="0"/>
        <c:axPos val="l"/>
        <c:numFmt formatCode="General" sourceLinked="1"/>
        <c:majorTickMark val="out"/>
        <c:minorTickMark val="none"/>
        <c:tickLblPos val="nextTo"/>
        <c:crossAx val="154141056"/>
        <c:crosses val="autoZero"/>
        <c:crossBetween val="between"/>
      </c:valAx>
      <c:spPr>
        <a:noFill/>
      </c:spPr>
    </c:plotArea>
    <c:plotVisOnly val="1"/>
    <c:dispBlanksAs val="gap"/>
    <c:showDLblsOverMax val="0"/>
  </c:chart>
  <c:spPr>
    <a:ln>
      <a:noFill/>
    </a:ln>
  </c:sp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A81A355-A08B-4A5D-A681-1B373CDA24CF}" type="doc">
      <dgm:prSet loTypeId="urn:microsoft.com/office/officeart/2005/8/layout/hierarchy5" loCatId="hierarchy" qsTypeId="urn:microsoft.com/office/officeart/2005/8/quickstyle/simple1" qsCatId="simple" csTypeId="urn:microsoft.com/office/officeart/2005/8/colors/accent1_2" csCatId="accent1" phldr="1"/>
      <dgm:spPr/>
      <dgm:t>
        <a:bodyPr/>
        <a:lstStyle/>
        <a:p>
          <a:endParaRPr lang="en-AU"/>
        </a:p>
      </dgm:t>
    </dgm:pt>
    <dgm:pt modelId="{08BED413-EF5B-4AF1-809D-45A2FA2D0E93}">
      <dgm:prSet phldrT="[Text]" custT="1"/>
      <dgm:spPr/>
      <dgm:t>
        <a:bodyPr/>
        <a:lstStyle/>
        <a:p>
          <a:r>
            <a:rPr lang="en-AU" sz="800" b="1"/>
            <a:t>1054</a:t>
          </a:r>
        </a:p>
        <a:p>
          <a:r>
            <a:rPr lang="en-AU" sz="800" b="1"/>
            <a:t>Referred for screening</a:t>
          </a:r>
        </a:p>
      </dgm:t>
    </dgm:pt>
    <dgm:pt modelId="{58E288F7-002E-4A29-B8D2-41FF714D9FA3}" type="parTrans" cxnId="{BAD8B89B-287A-4125-95E3-8E0FD35A44C1}">
      <dgm:prSet/>
      <dgm:spPr/>
      <dgm:t>
        <a:bodyPr/>
        <a:lstStyle/>
        <a:p>
          <a:endParaRPr lang="en-AU" b="1"/>
        </a:p>
      </dgm:t>
    </dgm:pt>
    <dgm:pt modelId="{992DA58F-CD90-40F5-9492-ACA8863EA224}" type="sibTrans" cxnId="{BAD8B89B-287A-4125-95E3-8E0FD35A44C1}">
      <dgm:prSet/>
      <dgm:spPr/>
      <dgm:t>
        <a:bodyPr/>
        <a:lstStyle/>
        <a:p>
          <a:endParaRPr lang="en-AU" b="1"/>
        </a:p>
      </dgm:t>
    </dgm:pt>
    <dgm:pt modelId="{B9493623-8865-4501-BF3B-D7C9D69EFFF1}">
      <dgm:prSet phldrT="[Text]" custT="1"/>
      <dgm:spPr/>
      <dgm:t>
        <a:bodyPr/>
        <a:lstStyle/>
        <a:p>
          <a:r>
            <a:rPr lang="en-AU" sz="800" b="1"/>
            <a:t>796</a:t>
          </a:r>
        </a:p>
        <a:p>
          <a:r>
            <a:rPr lang="en-AU" sz="800" b="1"/>
            <a:t>Completed</a:t>
          </a:r>
        </a:p>
      </dgm:t>
    </dgm:pt>
    <dgm:pt modelId="{A512E62B-C9B4-4604-B76A-E18C8B2F31FD}" type="parTrans" cxnId="{A4F0A5C8-C1C0-4246-91DB-B24F7176497E}">
      <dgm:prSet custT="1"/>
      <dgm:spPr/>
      <dgm:t>
        <a:bodyPr/>
        <a:lstStyle/>
        <a:p>
          <a:endParaRPr lang="en-AU" sz="700" b="1"/>
        </a:p>
      </dgm:t>
    </dgm:pt>
    <dgm:pt modelId="{1A192F9E-3115-4B7B-835A-B09929EBAB02}" type="sibTrans" cxnId="{A4F0A5C8-C1C0-4246-91DB-B24F7176497E}">
      <dgm:prSet/>
      <dgm:spPr/>
      <dgm:t>
        <a:bodyPr/>
        <a:lstStyle/>
        <a:p>
          <a:endParaRPr lang="en-AU" b="1"/>
        </a:p>
      </dgm:t>
    </dgm:pt>
    <dgm:pt modelId="{7EE0B7FB-9E28-4FFC-B998-175F45EE2739}">
      <dgm:prSet phldrT="[Text]" custT="1"/>
      <dgm:spPr/>
      <dgm:t>
        <a:bodyPr/>
        <a:lstStyle/>
        <a:p>
          <a:r>
            <a:rPr lang="en-AU" sz="800" b="1"/>
            <a:t>214 </a:t>
          </a:r>
        </a:p>
        <a:p>
          <a:r>
            <a:rPr lang="en-AU" sz="800" b="1"/>
            <a:t>Outpatient</a:t>
          </a:r>
        </a:p>
      </dgm:t>
    </dgm:pt>
    <dgm:pt modelId="{10EBB0B6-A97E-4573-A118-FC9B4CAB750B}" type="parTrans" cxnId="{BDE36E0D-638D-4987-900D-914B9A8FD4EC}">
      <dgm:prSet custT="1"/>
      <dgm:spPr/>
      <dgm:t>
        <a:bodyPr/>
        <a:lstStyle/>
        <a:p>
          <a:endParaRPr lang="en-AU" sz="700" b="1"/>
        </a:p>
      </dgm:t>
    </dgm:pt>
    <dgm:pt modelId="{C77033B9-E0BD-4B6E-B308-6D4F856C2CF0}" type="sibTrans" cxnId="{BDE36E0D-638D-4987-900D-914B9A8FD4EC}">
      <dgm:prSet/>
      <dgm:spPr/>
      <dgm:t>
        <a:bodyPr/>
        <a:lstStyle/>
        <a:p>
          <a:endParaRPr lang="en-AU" b="1"/>
        </a:p>
      </dgm:t>
    </dgm:pt>
    <dgm:pt modelId="{B73A4D79-D610-4619-9822-7F17FEDEC1EF}">
      <dgm:prSet phldrT="[Text]" custT="1"/>
      <dgm:spPr/>
      <dgm:t>
        <a:bodyPr/>
        <a:lstStyle/>
        <a:p>
          <a:r>
            <a:rPr lang="en-AU" sz="800" b="1"/>
            <a:t>350 </a:t>
          </a:r>
        </a:p>
        <a:p>
          <a:r>
            <a:rPr lang="en-AU" sz="800" b="1"/>
            <a:t>Inpatient Detox</a:t>
          </a:r>
        </a:p>
      </dgm:t>
    </dgm:pt>
    <dgm:pt modelId="{4918478F-D7A3-4126-A858-ED4AD724A19C}" type="parTrans" cxnId="{5EF8F71E-549A-48D7-A0E1-8B783A72D593}">
      <dgm:prSet custT="1"/>
      <dgm:spPr/>
      <dgm:t>
        <a:bodyPr/>
        <a:lstStyle/>
        <a:p>
          <a:endParaRPr lang="en-AU" sz="700" b="1"/>
        </a:p>
      </dgm:t>
    </dgm:pt>
    <dgm:pt modelId="{56FF8BFF-D891-484D-A160-2B5F9E807D8F}" type="sibTrans" cxnId="{5EF8F71E-549A-48D7-A0E1-8B783A72D593}">
      <dgm:prSet/>
      <dgm:spPr/>
      <dgm:t>
        <a:bodyPr/>
        <a:lstStyle/>
        <a:p>
          <a:endParaRPr lang="en-AU" b="1"/>
        </a:p>
      </dgm:t>
    </dgm:pt>
    <dgm:pt modelId="{DA57D6B7-48E7-47BA-9520-413E26BE1F86}">
      <dgm:prSet phldrT="[Text]" custT="1"/>
      <dgm:spPr/>
      <dgm:t>
        <a:bodyPr/>
        <a:lstStyle/>
        <a:p>
          <a:r>
            <a:rPr lang="en-AU" sz="800" b="1"/>
            <a:t>258 </a:t>
          </a:r>
        </a:p>
        <a:p>
          <a:r>
            <a:rPr lang="en-AU" sz="800" b="1"/>
            <a:t>Failed to complete screen</a:t>
          </a:r>
        </a:p>
      </dgm:t>
    </dgm:pt>
    <dgm:pt modelId="{2C7E14AC-789E-400B-BE5D-F3D6F2B748E0}" type="parTrans" cxnId="{4CA8B333-806B-4C4E-AE0E-A706BA4939F2}">
      <dgm:prSet custT="1"/>
      <dgm:spPr/>
      <dgm:t>
        <a:bodyPr/>
        <a:lstStyle/>
        <a:p>
          <a:endParaRPr lang="en-AU" sz="700" b="1"/>
        </a:p>
      </dgm:t>
    </dgm:pt>
    <dgm:pt modelId="{D6C904C8-DCFD-4270-8C6B-7E0451639AF4}" type="sibTrans" cxnId="{4CA8B333-806B-4C4E-AE0E-A706BA4939F2}">
      <dgm:prSet/>
      <dgm:spPr/>
      <dgm:t>
        <a:bodyPr/>
        <a:lstStyle/>
        <a:p>
          <a:endParaRPr lang="en-AU" b="1"/>
        </a:p>
      </dgm:t>
    </dgm:pt>
    <dgm:pt modelId="{8B2CB265-D489-4A9D-AAD4-887538F3D5E5}">
      <dgm:prSet phldrT="[Text]" custT="1"/>
      <dgm:spPr/>
      <dgm:t>
        <a:bodyPr/>
        <a:lstStyle/>
        <a:p>
          <a:r>
            <a:rPr lang="en-AU" sz="800" b="1"/>
            <a:t>81 </a:t>
          </a:r>
        </a:p>
        <a:p>
          <a:r>
            <a:rPr lang="en-AU" sz="800" b="1"/>
            <a:t>Ineligable</a:t>
          </a:r>
        </a:p>
      </dgm:t>
    </dgm:pt>
    <dgm:pt modelId="{8DFD033E-1C7D-4BEB-8E9C-ABF30DD87A95}" type="parTrans" cxnId="{786F4EAA-E018-420E-A240-22B2F1C936D8}">
      <dgm:prSet custT="1"/>
      <dgm:spPr/>
      <dgm:t>
        <a:bodyPr/>
        <a:lstStyle/>
        <a:p>
          <a:endParaRPr lang="en-AU" sz="700" b="1"/>
        </a:p>
      </dgm:t>
    </dgm:pt>
    <dgm:pt modelId="{2FEA5AB6-6D9F-4B3A-9C59-DD1CB7578D54}" type="sibTrans" cxnId="{786F4EAA-E018-420E-A240-22B2F1C936D8}">
      <dgm:prSet/>
      <dgm:spPr/>
      <dgm:t>
        <a:bodyPr/>
        <a:lstStyle/>
        <a:p>
          <a:endParaRPr lang="en-AU" b="1"/>
        </a:p>
      </dgm:t>
    </dgm:pt>
    <dgm:pt modelId="{7A09D59D-B023-41A2-A387-93CCCCEDCC04}">
      <dgm:prSet custT="1"/>
      <dgm:spPr/>
      <dgm:t>
        <a:bodyPr/>
        <a:lstStyle/>
        <a:p>
          <a:r>
            <a:rPr lang="en-AU" sz="800" b="1"/>
            <a:t>232</a:t>
          </a:r>
        </a:p>
        <a:p>
          <a:r>
            <a:rPr lang="en-AU" sz="800" b="1"/>
            <a:t>Residential Rehab</a:t>
          </a:r>
        </a:p>
      </dgm:t>
    </dgm:pt>
    <dgm:pt modelId="{1BCBE8EF-4B94-488A-8B2D-57B628E2EAE8}" type="parTrans" cxnId="{6A7071A4-A6BF-45DD-85A1-162E7A97072E}">
      <dgm:prSet custT="1"/>
      <dgm:spPr/>
      <dgm:t>
        <a:bodyPr/>
        <a:lstStyle/>
        <a:p>
          <a:endParaRPr lang="en-AU" sz="700" b="1"/>
        </a:p>
      </dgm:t>
    </dgm:pt>
    <dgm:pt modelId="{D0118036-618F-4238-A64E-B32B593E2198}" type="sibTrans" cxnId="{6A7071A4-A6BF-45DD-85A1-162E7A97072E}">
      <dgm:prSet/>
      <dgm:spPr/>
      <dgm:t>
        <a:bodyPr/>
        <a:lstStyle/>
        <a:p>
          <a:endParaRPr lang="en-AU" b="1"/>
        </a:p>
      </dgm:t>
    </dgm:pt>
    <dgm:pt modelId="{24F120E7-5E65-4233-9A7A-C96277AFE254}">
      <dgm:prSet custT="1"/>
      <dgm:spPr/>
      <dgm:t>
        <a:bodyPr/>
        <a:lstStyle/>
        <a:p>
          <a:r>
            <a:rPr lang="en-AU" sz="800" b="1"/>
            <a:t>26 </a:t>
          </a:r>
        </a:p>
        <a:p>
          <a:r>
            <a:rPr lang="en-AU" sz="800" b="1"/>
            <a:t>Declined</a:t>
          </a:r>
        </a:p>
      </dgm:t>
    </dgm:pt>
    <dgm:pt modelId="{C8C52333-8A90-4C5C-BF84-C9AA4906FA1B}" type="parTrans" cxnId="{FA50EF65-F3ED-4A0B-959C-FDAC7FAC4223}">
      <dgm:prSet custT="1"/>
      <dgm:spPr/>
      <dgm:t>
        <a:bodyPr/>
        <a:lstStyle/>
        <a:p>
          <a:endParaRPr lang="en-AU" sz="700" b="1"/>
        </a:p>
      </dgm:t>
    </dgm:pt>
    <dgm:pt modelId="{6DB09DEE-2AB0-494E-83E7-4BD9247B21B6}" type="sibTrans" cxnId="{FA50EF65-F3ED-4A0B-959C-FDAC7FAC4223}">
      <dgm:prSet/>
      <dgm:spPr/>
      <dgm:t>
        <a:bodyPr/>
        <a:lstStyle/>
        <a:p>
          <a:endParaRPr lang="en-AU" b="1"/>
        </a:p>
      </dgm:t>
    </dgm:pt>
    <dgm:pt modelId="{D451A345-2BF2-43D3-96CD-4F449503705C}">
      <dgm:prSet custT="1"/>
      <dgm:spPr/>
      <dgm:t>
        <a:bodyPr/>
        <a:lstStyle/>
        <a:p>
          <a:r>
            <a:rPr lang="en-AU" sz="800" b="1"/>
            <a:t>151</a:t>
          </a:r>
        </a:p>
        <a:p>
          <a:r>
            <a:rPr lang="en-AU" sz="800" b="1"/>
            <a:t>Non-contactable</a:t>
          </a:r>
        </a:p>
      </dgm:t>
    </dgm:pt>
    <dgm:pt modelId="{E6ACBB0C-7088-4618-B896-C801C516AA30}" type="parTrans" cxnId="{73F42F9E-8319-481F-8AFA-D32F13A5CCEA}">
      <dgm:prSet custT="1"/>
      <dgm:spPr/>
      <dgm:t>
        <a:bodyPr/>
        <a:lstStyle/>
        <a:p>
          <a:endParaRPr lang="en-AU" sz="700" b="1"/>
        </a:p>
      </dgm:t>
    </dgm:pt>
    <dgm:pt modelId="{3301055E-AB15-4D0F-95F8-0CBBE3A1D552}" type="sibTrans" cxnId="{73F42F9E-8319-481F-8AFA-D32F13A5CCEA}">
      <dgm:prSet/>
      <dgm:spPr/>
      <dgm:t>
        <a:bodyPr/>
        <a:lstStyle/>
        <a:p>
          <a:endParaRPr lang="en-AU" b="1"/>
        </a:p>
      </dgm:t>
    </dgm:pt>
    <dgm:pt modelId="{181CE218-FDE5-45D6-9BF9-3828F3482521}">
      <dgm:prSet custT="1"/>
      <dgm:spPr/>
      <dgm:t>
        <a:bodyPr/>
        <a:lstStyle/>
        <a:p>
          <a:r>
            <a:rPr lang="en-AU" sz="800" b="1"/>
            <a:t>176</a:t>
          </a:r>
        </a:p>
        <a:p>
          <a:r>
            <a:rPr lang="en-AU" sz="800" b="1"/>
            <a:t>Followed up</a:t>
          </a:r>
        </a:p>
      </dgm:t>
    </dgm:pt>
    <dgm:pt modelId="{33FDD9D5-166F-4AC8-9EFE-103FDEC48392}" type="parTrans" cxnId="{151F7443-3E62-4503-8FAD-5EFC25D9D647}">
      <dgm:prSet custT="1"/>
      <dgm:spPr/>
      <dgm:t>
        <a:bodyPr/>
        <a:lstStyle/>
        <a:p>
          <a:endParaRPr lang="en-AU" sz="700" b="1"/>
        </a:p>
      </dgm:t>
    </dgm:pt>
    <dgm:pt modelId="{323A573D-94FD-4F91-A53E-D2EE8361AFBF}" type="sibTrans" cxnId="{151F7443-3E62-4503-8FAD-5EFC25D9D647}">
      <dgm:prSet/>
      <dgm:spPr/>
      <dgm:t>
        <a:bodyPr/>
        <a:lstStyle/>
        <a:p>
          <a:endParaRPr lang="en-AU" b="1"/>
        </a:p>
      </dgm:t>
    </dgm:pt>
    <dgm:pt modelId="{6A96F143-D10F-40F7-A2F6-C388265788A1}">
      <dgm:prSet custT="1"/>
      <dgm:spPr/>
      <dgm:t>
        <a:bodyPr/>
        <a:lstStyle/>
        <a:p>
          <a:r>
            <a:rPr lang="en-AU" sz="800" b="1"/>
            <a:t>38</a:t>
          </a:r>
        </a:p>
        <a:p>
          <a:r>
            <a:rPr lang="en-AU" sz="800" b="1"/>
            <a:t>Lost</a:t>
          </a:r>
        </a:p>
      </dgm:t>
    </dgm:pt>
    <dgm:pt modelId="{B78CE4DF-F17D-44C9-8630-6EFC322266CA}" type="parTrans" cxnId="{0DB102C6-5F10-45A3-B7D3-4D7445E4A998}">
      <dgm:prSet custT="1"/>
      <dgm:spPr/>
      <dgm:t>
        <a:bodyPr/>
        <a:lstStyle/>
        <a:p>
          <a:endParaRPr lang="en-AU" sz="700" b="1"/>
        </a:p>
      </dgm:t>
    </dgm:pt>
    <dgm:pt modelId="{CF363263-B9B3-4DFA-A477-DBCA8638F3B1}" type="sibTrans" cxnId="{0DB102C6-5F10-45A3-B7D3-4D7445E4A998}">
      <dgm:prSet/>
      <dgm:spPr/>
      <dgm:t>
        <a:bodyPr/>
        <a:lstStyle/>
        <a:p>
          <a:endParaRPr lang="en-AU" b="1"/>
        </a:p>
      </dgm:t>
    </dgm:pt>
    <dgm:pt modelId="{EC82A317-8FE7-4AE3-A1BA-65DA906F756D}">
      <dgm:prSet custT="1"/>
      <dgm:spPr/>
      <dgm:t>
        <a:bodyPr/>
        <a:lstStyle/>
        <a:p>
          <a:r>
            <a:rPr lang="en-AU" sz="800" b="1"/>
            <a:t>241</a:t>
          </a:r>
        </a:p>
        <a:p>
          <a:r>
            <a:rPr lang="en-AU" sz="800" b="1"/>
            <a:t>Followed up</a:t>
          </a:r>
        </a:p>
      </dgm:t>
    </dgm:pt>
    <dgm:pt modelId="{BC5DEE5B-9777-4C47-AA0C-D03402F7C89D}" type="parTrans" cxnId="{79E0E77E-83E9-4A80-A4E3-5A9EC7E69C0C}">
      <dgm:prSet custT="1"/>
      <dgm:spPr/>
      <dgm:t>
        <a:bodyPr/>
        <a:lstStyle/>
        <a:p>
          <a:endParaRPr lang="en-AU" sz="700" b="1"/>
        </a:p>
      </dgm:t>
    </dgm:pt>
    <dgm:pt modelId="{62AF0A97-AED4-4333-801A-029D5FFB46E6}" type="sibTrans" cxnId="{79E0E77E-83E9-4A80-A4E3-5A9EC7E69C0C}">
      <dgm:prSet/>
      <dgm:spPr/>
      <dgm:t>
        <a:bodyPr/>
        <a:lstStyle/>
        <a:p>
          <a:endParaRPr lang="en-AU" b="1"/>
        </a:p>
      </dgm:t>
    </dgm:pt>
    <dgm:pt modelId="{B2296AC5-921C-4018-B953-888EED88508F}">
      <dgm:prSet custT="1"/>
      <dgm:spPr/>
      <dgm:t>
        <a:bodyPr/>
        <a:lstStyle/>
        <a:p>
          <a:r>
            <a:rPr lang="en-AU" sz="800" b="1"/>
            <a:t>109</a:t>
          </a:r>
        </a:p>
        <a:p>
          <a:r>
            <a:rPr lang="en-AU" sz="800" b="1"/>
            <a:t>Lost</a:t>
          </a:r>
        </a:p>
      </dgm:t>
    </dgm:pt>
    <dgm:pt modelId="{87C70866-91FC-4B07-A2E1-7F003996A31D}" type="parTrans" cxnId="{3D6A8920-B32B-4F1B-8BBA-D1052AA05E6E}">
      <dgm:prSet custT="1"/>
      <dgm:spPr/>
      <dgm:t>
        <a:bodyPr/>
        <a:lstStyle/>
        <a:p>
          <a:endParaRPr lang="en-AU" sz="700" b="1"/>
        </a:p>
      </dgm:t>
    </dgm:pt>
    <dgm:pt modelId="{69D7F6E6-5952-4A3D-8C3A-50934297BD9C}" type="sibTrans" cxnId="{3D6A8920-B32B-4F1B-8BBA-D1052AA05E6E}">
      <dgm:prSet/>
      <dgm:spPr/>
      <dgm:t>
        <a:bodyPr/>
        <a:lstStyle/>
        <a:p>
          <a:endParaRPr lang="en-AU" b="1"/>
        </a:p>
      </dgm:t>
    </dgm:pt>
    <dgm:pt modelId="{9FBFFDEB-F4D5-422A-A9B4-B3673B2DBA6E}">
      <dgm:prSet custT="1"/>
      <dgm:spPr/>
      <dgm:t>
        <a:bodyPr/>
        <a:lstStyle/>
        <a:p>
          <a:r>
            <a:rPr lang="en-AU" sz="800" b="1"/>
            <a:t>138</a:t>
          </a:r>
        </a:p>
        <a:p>
          <a:r>
            <a:rPr lang="en-AU" sz="800" b="1"/>
            <a:t>Followed up</a:t>
          </a:r>
        </a:p>
      </dgm:t>
    </dgm:pt>
    <dgm:pt modelId="{27C0F39B-42DD-4A98-A74F-AEC5E6192A57}" type="parTrans" cxnId="{C8BE1D44-133D-4E96-9C34-F9DC29C31D42}">
      <dgm:prSet custT="1"/>
      <dgm:spPr/>
      <dgm:t>
        <a:bodyPr/>
        <a:lstStyle/>
        <a:p>
          <a:endParaRPr lang="en-AU" sz="700" b="1"/>
        </a:p>
      </dgm:t>
    </dgm:pt>
    <dgm:pt modelId="{EBED2320-7C92-4161-B54F-8D9D46DD5847}" type="sibTrans" cxnId="{C8BE1D44-133D-4E96-9C34-F9DC29C31D42}">
      <dgm:prSet/>
      <dgm:spPr/>
      <dgm:t>
        <a:bodyPr/>
        <a:lstStyle/>
        <a:p>
          <a:endParaRPr lang="en-AU" b="1"/>
        </a:p>
      </dgm:t>
    </dgm:pt>
    <dgm:pt modelId="{81AFA1AD-634F-43B2-AD6C-6AF0C3EC2E9D}">
      <dgm:prSet custT="1"/>
      <dgm:spPr/>
      <dgm:t>
        <a:bodyPr/>
        <a:lstStyle/>
        <a:p>
          <a:r>
            <a:rPr lang="en-AU" sz="800" b="1"/>
            <a:t>94</a:t>
          </a:r>
        </a:p>
        <a:p>
          <a:r>
            <a:rPr lang="en-AU" sz="800" b="1"/>
            <a:t>Lost</a:t>
          </a:r>
        </a:p>
      </dgm:t>
    </dgm:pt>
    <dgm:pt modelId="{BB331EF2-F5AF-4E45-A298-905DC42AD62A}" type="parTrans" cxnId="{28EB061B-B2B9-4191-807B-05EB7BAC6D30}">
      <dgm:prSet custT="1"/>
      <dgm:spPr/>
      <dgm:t>
        <a:bodyPr/>
        <a:lstStyle/>
        <a:p>
          <a:endParaRPr lang="en-AU" sz="700" b="1"/>
        </a:p>
      </dgm:t>
    </dgm:pt>
    <dgm:pt modelId="{4452A863-9F47-40F9-81A1-B34D103372AE}" type="sibTrans" cxnId="{28EB061B-B2B9-4191-807B-05EB7BAC6D30}">
      <dgm:prSet/>
      <dgm:spPr/>
      <dgm:t>
        <a:bodyPr/>
        <a:lstStyle/>
        <a:p>
          <a:endParaRPr lang="en-AU" b="1"/>
        </a:p>
      </dgm:t>
    </dgm:pt>
    <dgm:pt modelId="{ED41A430-3E9D-414D-B8FA-E525E671AFB2}">
      <dgm:prSet custT="1"/>
      <dgm:spPr/>
      <dgm:t>
        <a:bodyPr/>
        <a:lstStyle/>
        <a:p>
          <a:r>
            <a:rPr lang="en-AU" sz="800" b="1"/>
            <a:t>84</a:t>
          </a:r>
        </a:p>
        <a:p>
          <a:r>
            <a:rPr lang="en-AU" sz="800" b="1"/>
            <a:t>Sucessful</a:t>
          </a:r>
        </a:p>
      </dgm:t>
    </dgm:pt>
    <dgm:pt modelId="{A2AF0CC2-CE4A-44CE-A00B-F624CCCA61FE}" type="parTrans" cxnId="{1C70C292-9D7B-4A72-B6FD-472D0B919506}">
      <dgm:prSet custT="1"/>
      <dgm:spPr/>
      <dgm:t>
        <a:bodyPr/>
        <a:lstStyle/>
        <a:p>
          <a:endParaRPr lang="en-AU" sz="700" b="1"/>
        </a:p>
      </dgm:t>
    </dgm:pt>
    <dgm:pt modelId="{840C07F2-115B-4870-BF6C-4732B8CAD334}" type="sibTrans" cxnId="{1C70C292-9D7B-4A72-B6FD-472D0B919506}">
      <dgm:prSet/>
      <dgm:spPr/>
      <dgm:t>
        <a:bodyPr/>
        <a:lstStyle/>
        <a:p>
          <a:endParaRPr lang="en-AU" b="1"/>
        </a:p>
      </dgm:t>
    </dgm:pt>
    <dgm:pt modelId="{9ECC1C47-AFB2-42EC-9125-D4AF6B038B19}">
      <dgm:prSet custT="1"/>
      <dgm:spPr/>
      <dgm:t>
        <a:bodyPr/>
        <a:lstStyle/>
        <a:p>
          <a:endParaRPr lang="en-AU" sz="800" b="1"/>
        </a:p>
        <a:p>
          <a:r>
            <a:rPr lang="en-AU" sz="800" b="1"/>
            <a:t>83</a:t>
          </a:r>
        </a:p>
        <a:p>
          <a:r>
            <a:rPr lang="en-AU" sz="800" b="1"/>
            <a:t>Unsuccessful</a:t>
          </a:r>
        </a:p>
        <a:p>
          <a:endParaRPr lang="en-AU" sz="800" b="1"/>
        </a:p>
      </dgm:t>
    </dgm:pt>
    <dgm:pt modelId="{5F0A52B8-E0C8-470C-8A70-777EDBE69F50}" type="parTrans" cxnId="{6A871F89-02BF-4B79-AD3C-88E5946FC63A}">
      <dgm:prSet custT="1"/>
      <dgm:spPr/>
      <dgm:t>
        <a:bodyPr/>
        <a:lstStyle/>
        <a:p>
          <a:endParaRPr lang="en-AU" sz="700" b="1"/>
        </a:p>
      </dgm:t>
    </dgm:pt>
    <dgm:pt modelId="{8D983F15-1592-4455-8A55-38799B7B2469}" type="sibTrans" cxnId="{6A871F89-02BF-4B79-AD3C-88E5946FC63A}">
      <dgm:prSet/>
      <dgm:spPr/>
      <dgm:t>
        <a:bodyPr/>
        <a:lstStyle/>
        <a:p>
          <a:endParaRPr lang="en-AU" b="1"/>
        </a:p>
      </dgm:t>
    </dgm:pt>
    <dgm:pt modelId="{6B4FC7AB-B8F5-4A05-A87A-14B282C351A1}">
      <dgm:prSet custT="1"/>
      <dgm:spPr/>
      <dgm:t>
        <a:bodyPr/>
        <a:lstStyle/>
        <a:p>
          <a:r>
            <a:rPr lang="en-AU" sz="800" b="1"/>
            <a:t>9</a:t>
          </a:r>
        </a:p>
        <a:p>
          <a:r>
            <a:rPr lang="en-AU" sz="800" b="1"/>
            <a:t>Missing</a:t>
          </a:r>
        </a:p>
      </dgm:t>
    </dgm:pt>
    <dgm:pt modelId="{DCF57280-F9FD-492B-941A-19FA2C2C8138}" type="parTrans" cxnId="{711B4CE8-EF57-4D68-9A3F-D99690023DDB}">
      <dgm:prSet custT="1"/>
      <dgm:spPr/>
      <dgm:t>
        <a:bodyPr/>
        <a:lstStyle/>
        <a:p>
          <a:endParaRPr lang="en-AU" sz="700" b="1"/>
        </a:p>
      </dgm:t>
    </dgm:pt>
    <dgm:pt modelId="{0C73183D-2238-4C82-BC88-ABCA2D31F8CE}" type="sibTrans" cxnId="{711B4CE8-EF57-4D68-9A3F-D99690023DDB}">
      <dgm:prSet/>
      <dgm:spPr/>
      <dgm:t>
        <a:bodyPr/>
        <a:lstStyle/>
        <a:p>
          <a:endParaRPr lang="en-AU" b="1"/>
        </a:p>
      </dgm:t>
    </dgm:pt>
    <dgm:pt modelId="{DF5ABDAF-E91B-4EAD-ADF1-7133E583DC92}">
      <dgm:prSet custT="1"/>
      <dgm:spPr/>
      <dgm:t>
        <a:bodyPr/>
        <a:lstStyle/>
        <a:p>
          <a:r>
            <a:rPr lang="en-AU" sz="800" b="1"/>
            <a:t>118</a:t>
          </a:r>
        </a:p>
        <a:p>
          <a:r>
            <a:rPr lang="en-AU" sz="800" b="1"/>
            <a:t>Successful</a:t>
          </a:r>
        </a:p>
      </dgm:t>
    </dgm:pt>
    <dgm:pt modelId="{1DD64CBB-4A50-41DC-96EA-EB70AFCE00AF}" type="parTrans" cxnId="{E81B67CF-EC6A-4463-9B7C-291EE5AFDF7B}">
      <dgm:prSet custT="1"/>
      <dgm:spPr/>
      <dgm:t>
        <a:bodyPr/>
        <a:lstStyle/>
        <a:p>
          <a:endParaRPr lang="en-AU" sz="700" b="1"/>
        </a:p>
      </dgm:t>
    </dgm:pt>
    <dgm:pt modelId="{4ECA505D-4782-434A-8E60-067E2172AB36}" type="sibTrans" cxnId="{E81B67CF-EC6A-4463-9B7C-291EE5AFDF7B}">
      <dgm:prSet/>
      <dgm:spPr/>
      <dgm:t>
        <a:bodyPr/>
        <a:lstStyle/>
        <a:p>
          <a:endParaRPr lang="en-AU" b="1"/>
        </a:p>
      </dgm:t>
    </dgm:pt>
    <dgm:pt modelId="{72351A3B-CA4F-46AD-A067-32BAE2663FAE}">
      <dgm:prSet custT="1"/>
      <dgm:spPr/>
      <dgm:t>
        <a:bodyPr/>
        <a:lstStyle/>
        <a:p>
          <a:r>
            <a:rPr lang="en-AU" sz="800" b="1"/>
            <a:t>116</a:t>
          </a:r>
        </a:p>
        <a:p>
          <a:r>
            <a:rPr lang="en-AU" sz="800" b="1"/>
            <a:t>Unsuccessful</a:t>
          </a:r>
        </a:p>
      </dgm:t>
    </dgm:pt>
    <dgm:pt modelId="{77EF115C-9796-473A-A8F7-BC04566CF088}" type="parTrans" cxnId="{C1582766-3B1F-466F-9CA6-9D064CFF8386}">
      <dgm:prSet custT="1"/>
      <dgm:spPr/>
      <dgm:t>
        <a:bodyPr/>
        <a:lstStyle/>
        <a:p>
          <a:endParaRPr lang="en-AU" sz="700" b="1"/>
        </a:p>
      </dgm:t>
    </dgm:pt>
    <dgm:pt modelId="{9D02BA86-3126-4934-A823-2D7FC82F55E7}" type="sibTrans" cxnId="{C1582766-3B1F-466F-9CA6-9D064CFF8386}">
      <dgm:prSet/>
      <dgm:spPr/>
      <dgm:t>
        <a:bodyPr/>
        <a:lstStyle/>
        <a:p>
          <a:endParaRPr lang="en-AU" b="1"/>
        </a:p>
      </dgm:t>
    </dgm:pt>
    <dgm:pt modelId="{42A70311-54DD-422E-ADBD-C4FAB3AF00D4}">
      <dgm:prSet custT="1"/>
      <dgm:spPr/>
      <dgm:t>
        <a:bodyPr/>
        <a:lstStyle/>
        <a:p>
          <a:r>
            <a:rPr lang="en-AU" sz="800" b="1"/>
            <a:t>7</a:t>
          </a:r>
        </a:p>
        <a:p>
          <a:r>
            <a:rPr lang="en-AU" sz="800" b="1"/>
            <a:t>Missing</a:t>
          </a:r>
        </a:p>
      </dgm:t>
    </dgm:pt>
    <dgm:pt modelId="{8C4F6588-E22C-40EC-B619-ACA17967C22D}" type="parTrans" cxnId="{6C4A7BB1-CF78-43ED-AF9F-77CC4D8C9C79}">
      <dgm:prSet custT="1"/>
      <dgm:spPr/>
      <dgm:t>
        <a:bodyPr/>
        <a:lstStyle/>
        <a:p>
          <a:endParaRPr lang="en-AU" sz="700" b="1"/>
        </a:p>
      </dgm:t>
    </dgm:pt>
    <dgm:pt modelId="{CB701ABE-FA04-46DC-8700-3BADDCF57595}" type="sibTrans" cxnId="{6C4A7BB1-CF78-43ED-AF9F-77CC4D8C9C79}">
      <dgm:prSet/>
      <dgm:spPr/>
      <dgm:t>
        <a:bodyPr/>
        <a:lstStyle/>
        <a:p>
          <a:endParaRPr lang="en-AU" b="1"/>
        </a:p>
      </dgm:t>
    </dgm:pt>
    <dgm:pt modelId="{875B664A-794F-4C94-AEB7-EA4976C00961}">
      <dgm:prSet custT="1"/>
      <dgm:spPr/>
      <dgm:t>
        <a:bodyPr/>
        <a:lstStyle/>
        <a:p>
          <a:r>
            <a:rPr lang="en-AU" sz="800" b="1"/>
            <a:t>85</a:t>
          </a:r>
        </a:p>
        <a:p>
          <a:r>
            <a:rPr lang="en-AU" sz="800" b="1"/>
            <a:t>Sucessful</a:t>
          </a:r>
        </a:p>
      </dgm:t>
    </dgm:pt>
    <dgm:pt modelId="{0FEACB3B-A947-40A3-97AA-728B24ECD229}" type="parTrans" cxnId="{2FCDFAC1-6E20-4072-AF0F-39637282FC31}">
      <dgm:prSet custT="1"/>
      <dgm:spPr/>
      <dgm:t>
        <a:bodyPr/>
        <a:lstStyle/>
        <a:p>
          <a:endParaRPr lang="en-AU" sz="700" b="1"/>
        </a:p>
      </dgm:t>
    </dgm:pt>
    <dgm:pt modelId="{BAF79C6A-9C1B-4927-85C1-16001BABD034}" type="sibTrans" cxnId="{2FCDFAC1-6E20-4072-AF0F-39637282FC31}">
      <dgm:prSet/>
      <dgm:spPr/>
      <dgm:t>
        <a:bodyPr/>
        <a:lstStyle/>
        <a:p>
          <a:endParaRPr lang="en-AU" b="1"/>
        </a:p>
      </dgm:t>
    </dgm:pt>
    <dgm:pt modelId="{60146B18-7146-4880-AC62-5B408E87CBA3}">
      <dgm:prSet custT="1"/>
      <dgm:spPr/>
      <dgm:t>
        <a:bodyPr/>
        <a:lstStyle/>
        <a:p>
          <a:r>
            <a:rPr lang="en-AU" sz="800" b="1"/>
            <a:t>52</a:t>
          </a:r>
        </a:p>
        <a:p>
          <a:r>
            <a:rPr lang="en-AU" sz="800" b="1"/>
            <a:t>Unsucessful</a:t>
          </a:r>
        </a:p>
      </dgm:t>
    </dgm:pt>
    <dgm:pt modelId="{332FDED6-CD9E-49CC-AACD-C1BAE00B9156}" type="parTrans" cxnId="{5DA355A5-AD1F-4D87-834C-04A7CED5887A}">
      <dgm:prSet custT="1"/>
      <dgm:spPr/>
      <dgm:t>
        <a:bodyPr/>
        <a:lstStyle/>
        <a:p>
          <a:endParaRPr lang="en-AU" sz="700" b="1"/>
        </a:p>
      </dgm:t>
    </dgm:pt>
    <dgm:pt modelId="{E620B434-3486-4E23-BC49-561D7C0FEEBE}" type="sibTrans" cxnId="{5DA355A5-AD1F-4D87-834C-04A7CED5887A}">
      <dgm:prSet/>
      <dgm:spPr/>
      <dgm:t>
        <a:bodyPr/>
        <a:lstStyle/>
        <a:p>
          <a:endParaRPr lang="en-AU" b="1"/>
        </a:p>
      </dgm:t>
    </dgm:pt>
    <dgm:pt modelId="{3108EA56-0438-4A8E-8C66-EFA7BD63CD56}">
      <dgm:prSet custT="1"/>
      <dgm:spPr/>
      <dgm:t>
        <a:bodyPr/>
        <a:lstStyle/>
        <a:p>
          <a:r>
            <a:rPr lang="en-AU" sz="800" b="1"/>
            <a:t>1</a:t>
          </a:r>
        </a:p>
        <a:p>
          <a:r>
            <a:rPr lang="en-AU" sz="800" b="1"/>
            <a:t>Missing</a:t>
          </a:r>
        </a:p>
      </dgm:t>
    </dgm:pt>
    <dgm:pt modelId="{8F765444-7FB8-448F-81C4-AC2DEC01A0AF}" type="parTrans" cxnId="{F6FAE9DC-15F5-456A-B545-65EB65796DB0}">
      <dgm:prSet custT="1"/>
      <dgm:spPr/>
      <dgm:t>
        <a:bodyPr/>
        <a:lstStyle/>
        <a:p>
          <a:endParaRPr lang="en-AU" sz="700" b="1"/>
        </a:p>
      </dgm:t>
    </dgm:pt>
    <dgm:pt modelId="{FAB99569-CE09-4B5B-A18A-ED14613DA47B}" type="sibTrans" cxnId="{F6FAE9DC-15F5-456A-B545-65EB65796DB0}">
      <dgm:prSet/>
      <dgm:spPr/>
      <dgm:t>
        <a:bodyPr/>
        <a:lstStyle/>
        <a:p>
          <a:endParaRPr lang="en-AU" b="1"/>
        </a:p>
      </dgm:t>
    </dgm:pt>
    <dgm:pt modelId="{1FFC9314-E0D1-4D26-AD5A-A7F310219F32}" type="pres">
      <dgm:prSet presAssocID="{1A81A355-A08B-4A5D-A681-1B373CDA24CF}" presName="mainComposite" presStyleCnt="0">
        <dgm:presLayoutVars>
          <dgm:chPref val="1"/>
          <dgm:dir/>
          <dgm:animOne val="branch"/>
          <dgm:animLvl val="lvl"/>
          <dgm:resizeHandles val="exact"/>
        </dgm:presLayoutVars>
      </dgm:prSet>
      <dgm:spPr/>
      <dgm:t>
        <a:bodyPr/>
        <a:lstStyle/>
        <a:p>
          <a:endParaRPr lang="en-AU"/>
        </a:p>
      </dgm:t>
    </dgm:pt>
    <dgm:pt modelId="{687143A1-7BB4-470B-9227-00A1FEC197A6}" type="pres">
      <dgm:prSet presAssocID="{1A81A355-A08B-4A5D-A681-1B373CDA24CF}" presName="hierFlow" presStyleCnt="0"/>
      <dgm:spPr/>
      <dgm:t>
        <a:bodyPr/>
        <a:lstStyle/>
        <a:p>
          <a:endParaRPr lang="en-AU"/>
        </a:p>
      </dgm:t>
    </dgm:pt>
    <dgm:pt modelId="{37E12A99-D969-4669-B803-7F281906B6FD}" type="pres">
      <dgm:prSet presAssocID="{1A81A355-A08B-4A5D-A681-1B373CDA24CF}" presName="hierChild1" presStyleCnt="0">
        <dgm:presLayoutVars>
          <dgm:chPref val="1"/>
          <dgm:animOne val="branch"/>
          <dgm:animLvl val="lvl"/>
        </dgm:presLayoutVars>
      </dgm:prSet>
      <dgm:spPr/>
      <dgm:t>
        <a:bodyPr/>
        <a:lstStyle/>
        <a:p>
          <a:endParaRPr lang="en-AU"/>
        </a:p>
      </dgm:t>
    </dgm:pt>
    <dgm:pt modelId="{D6BC240F-E7B8-4498-92D8-021288744B5B}" type="pres">
      <dgm:prSet presAssocID="{08BED413-EF5B-4AF1-809D-45A2FA2D0E93}" presName="Name17" presStyleCnt="0"/>
      <dgm:spPr/>
      <dgm:t>
        <a:bodyPr/>
        <a:lstStyle/>
        <a:p>
          <a:endParaRPr lang="en-AU"/>
        </a:p>
      </dgm:t>
    </dgm:pt>
    <dgm:pt modelId="{BA5B2336-AC11-4855-A94E-5AF90CF28641}" type="pres">
      <dgm:prSet presAssocID="{08BED413-EF5B-4AF1-809D-45A2FA2D0E93}" presName="level1Shape" presStyleLbl="node0" presStyleIdx="0" presStyleCnt="1">
        <dgm:presLayoutVars>
          <dgm:chPref val="3"/>
        </dgm:presLayoutVars>
      </dgm:prSet>
      <dgm:spPr/>
      <dgm:t>
        <a:bodyPr/>
        <a:lstStyle/>
        <a:p>
          <a:endParaRPr lang="en-AU"/>
        </a:p>
      </dgm:t>
    </dgm:pt>
    <dgm:pt modelId="{57E84DD7-489B-4024-B17C-0BFF5644CF2D}" type="pres">
      <dgm:prSet presAssocID="{08BED413-EF5B-4AF1-809D-45A2FA2D0E93}" presName="hierChild2" presStyleCnt="0"/>
      <dgm:spPr/>
      <dgm:t>
        <a:bodyPr/>
        <a:lstStyle/>
        <a:p>
          <a:endParaRPr lang="en-AU"/>
        </a:p>
      </dgm:t>
    </dgm:pt>
    <dgm:pt modelId="{B44AFB69-4BDF-47F6-80A1-234DAB0752F2}" type="pres">
      <dgm:prSet presAssocID="{A512E62B-C9B4-4604-B76A-E18C8B2F31FD}" presName="Name25" presStyleLbl="parChTrans1D2" presStyleIdx="0" presStyleCnt="2"/>
      <dgm:spPr/>
      <dgm:t>
        <a:bodyPr/>
        <a:lstStyle/>
        <a:p>
          <a:endParaRPr lang="en-AU"/>
        </a:p>
      </dgm:t>
    </dgm:pt>
    <dgm:pt modelId="{BE2B20F7-4DC4-4B7E-AAEB-9B28C3E1E3A4}" type="pres">
      <dgm:prSet presAssocID="{A512E62B-C9B4-4604-B76A-E18C8B2F31FD}" presName="connTx" presStyleLbl="parChTrans1D2" presStyleIdx="0" presStyleCnt="2"/>
      <dgm:spPr/>
      <dgm:t>
        <a:bodyPr/>
        <a:lstStyle/>
        <a:p>
          <a:endParaRPr lang="en-AU"/>
        </a:p>
      </dgm:t>
    </dgm:pt>
    <dgm:pt modelId="{1F58DC2B-6DFB-4CE8-B977-CB62F590BBF1}" type="pres">
      <dgm:prSet presAssocID="{B9493623-8865-4501-BF3B-D7C9D69EFFF1}" presName="Name30" presStyleCnt="0"/>
      <dgm:spPr/>
      <dgm:t>
        <a:bodyPr/>
        <a:lstStyle/>
        <a:p>
          <a:endParaRPr lang="en-AU"/>
        </a:p>
      </dgm:t>
    </dgm:pt>
    <dgm:pt modelId="{10542345-F55A-45FA-9557-183EEC17BBA2}" type="pres">
      <dgm:prSet presAssocID="{B9493623-8865-4501-BF3B-D7C9D69EFFF1}" presName="level2Shape" presStyleLbl="node2" presStyleIdx="0" presStyleCnt="2"/>
      <dgm:spPr/>
      <dgm:t>
        <a:bodyPr/>
        <a:lstStyle/>
        <a:p>
          <a:endParaRPr lang="en-AU"/>
        </a:p>
      </dgm:t>
    </dgm:pt>
    <dgm:pt modelId="{0CDA59B7-EE96-4773-86FF-F072D9D6E2B6}" type="pres">
      <dgm:prSet presAssocID="{B9493623-8865-4501-BF3B-D7C9D69EFFF1}" presName="hierChild3" presStyleCnt="0"/>
      <dgm:spPr/>
      <dgm:t>
        <a:bodyPr/>
        <a:lstStyle/>
        <a:p>
          <a:endParaRPr lang="en-AU"/>
        </a:p>
      </dgm:t>
    </dgm:pt>
    <dgm:pt modelId="{D8928978-CA07-4C05-ADBC-DF6F58DB52C3}" type="pres">
      <dgm:prSet presAssocID="{10EBB0B6-A97E-4573-A118-FC9B4CAB750B}" presName="Name25" presStyleLbl="parChTrans1D3" presStyleIdx="0" presStyleCnt="6"/>
      <dgm:spPr/>
      <dgm:t>
        <a:bodyPr/>
        <a:lstStyle/>
        <a:p>
          <a:endParaRPr lang="en-AU"/>
        </a:p>
      </dgm:t>
    </dgm:pt>
    <dgm:pt modelId="{C3E8BA35-D965-4113-A4A8-A974DDF4F570}" type="pres">
      <dgm:prSet presAssocID="{10EBB0B6-A97E-4573-A118-FC9B4CAB750B}" presName="connTx" presStyleLbl="parChTrans1D3" presStyleIdx="0" presStyleCnt="6"/>
      <dgm:spPr/>
      <dgm:t>
        <a:bodyPr/>
        <a:lstStyle/>
        <a:p>
          <a:endParaRPr lang="en-AU"/>
        </a:p>
      </dgm:t>
    </dgm:pt>
    <dgm:pt modelId="{3584C342-11E3-4EC8-BCDA-662EE1D1CB79}" type="pres">
      <dgm:prSet presAssocID="{7EE0B7FB-9E28-4FFC-B998-175F45EE2739}" presName="Name30" presStyleCnt="0"/>
      <dgm:spPr/>
      <dgm:t>
        <a:bodyPr/>
        <a:lstStyle/>
        <a:p>
          <a:endParaRPr lang="en-AU"/>
        </a:p>
      </dgm:t>
    </dgm:pt>
    <dgm:pt modelId="{02AB7DDD-D2FE-41E5-A94D-2D75FE68EF1E}" type="pres">
      <dgm:prSet presAssocID="{7EE0B7FB-9E28-4FFC-B998-175F45EE2739}" presName="level2Shape" presStyleLbl="node3" presStyleIdx="0" presStyleCnt="6"/>
      <dgm:spPr/>
      <dgm:t>
        <a:bodyPr/>
        <a:lstStyle/>
        <a:p>
          <a:endParaRPr lang="en-AU"/>
        </a:p>
      </dgm:t>
    </dgm:pt>
    <dgm:pt modelId="{1B360FC1-C7AC-4565-854F-386E495A9161}" type="pres">
      <dgm:prSet presAssocID="{7EE0B7FB-9E28-4FFC-B998-175F45EE2739}" presName="hierChild3" presStyleCnt="0"/>
      <dgm:spPr/>
      <dgm:t>
        <a:bodyPr/>
        <a:lstStyle/>
        <a:p>
          <a:endParaRPr lang="en-AU"/>
        </a:p>
      </dgm:t>
    </dgm:pt>
    <dgm:pt modelId="{FECD328B-D947-4370-A8CB-7CCA71CE1D5C}" type="pres">
      <dgm:prSet presAssocID="{33FDD9D5-166F-4AC8-9EFE-103FDEC48392}" presName="Name25" presStyleLbl="parChTrans1D4" presStyleIdx="0" presStyleCnt="15"/>
      <dgm:spPr/>
      <dgm:t>
        <a:bodyPr/>
        <a:lstStyle/>
        <a:p>
          <a:endParaRPr lang="en-AU"/>
        </a:p>
      </dgm:t>
    </dgm:pt>
    <dgm:pt modelId="{D9BB9416-5BFF-4C75-BF81-C806944E6D6E}" type="pres">
      <dgm:prSet presAssocID="{33FDD9D5-166F-4AC8-9EFE-103FDEC48392}" presName="connTx" presStyleLbl="parChTrans1D4" presStyleIdx="0" presStyleCnt="15"/>
      <dgm:spPr/>
      <dgm:t>
        <a:bodyPr/>
        <a:lstStyle/>
        <a:p>
          <a:endParaRPr lang="en-AU"/>
        </a:p>
      </dgm:t>
    </dgm:pt>
    <dgm:pt modelId="{CDB7DC47-82F5-4BDF-BDBF-E75868C5B00E}" type="pres">
      <dgm:prSet presAssocID="{181CE218-FDE5-45D6-9BF9-3828F3482521}" presName="Name30" presStyleCnt="0"/>
      <dgm:spPr/>
      <dgm:t>
        <a:bodyPr/>
        <a:lstStyle/>
        <a:p>
          <a:endParaRPr lang="en-AU"/>
        </a:p>
      </dgm:t>
    </dgm:pt>
    <dgm:pt modelId="{34069703-A687-4A3A-9882-288D568F4C3A}" type="pres">
      <dgm:prSet presAssocID="{181CE218-FDE5-45D6-9BF9-3828F3482521}" presName="level2Shape" presStyleLbl="node4" presStyleIdx="0" presStyleCnt="15"/>
      <dgm:spPr/>
      <dgm:t>
        <a:bodyPr/>
        <a:lstStyle/>
        <a:p>
          <a:endParaRPr lang="en-AU"/>
        </a:p>
      </dgm:t>
    </dgm:pt>
    <dgm:pt modelId="{8C34EB5E-2248-43BA-B426-87744C44F85B}" type="pres">
      <dgm:prSet presAssocID="{181CE218-FDE5-45D6-9BF9-3828F3482521}" presName="hierChild3" presStyleCnt="0"/>
      <dgm:spPr/>
      <dgm:t>
        <a:bodyPr/>
        <a:lstStyle/>
        <a:p>
          <a:endParaRPr lang="en-AU"/>
        </a:p>
      </dgm:t>
    </dgm:pt>
    <dgm:pt modelId="{29452E0A-DEA1-444D-8B10-7DE21E58F3AA}" type="pres">
      <dgm:prSet presAssocID="{A2AF0CC2-CE4A-44CE-A00B-F624CCCA61FE}" presName="Name25" presStyleLbl="parChTrans1D4" presStyleIdx="1" presStyleCnt="15"/>
      <dgm:spPr/>
      <dgm:t>
        <a:bodyPr/>
        <a:lstStyle/>
        <a:p>
          <a:endParaRPr lang="en-AU"/>
        </a:p>
      </dgm:t>
    </dgm:pt>
    <dgm:pt modelId="{CAB301BD-ADCD-43E6-B274-D441FBE12953}" type="pres">
      <dgm:prSet presAssocID="{A2AF0CC2-CE4A-44CE-A00B-F624CCCA61FE}" presName="connTx" presStyleLbl="parChTrans1D4" presStyleIdx="1" presStyleCnt="15"/>
      <dgm:spPr/>
      <dgm:t>
        <a:bodyPr/>
        <a:lstStyle/>
        <a:p>
          <a:endParaRPr lang="en-AU"/>
        </a:p>
      </dgm:t>
    </dgm:pt>
    <dgm:pt modelId="{2C3580EE-5E8A-4066-87B0-41E91886E07C}" type="pres">
      <dgm:prSet presAssocID="{ED41A430-3E9D-414D-B8FA-E525E671AFB2}" presName="Name30" presStyleCnt="0"/>
      <dgm:spPr/>
      <dgm:t>
        <a:bodyPr/>
        <a:lstStyle/>
        <a:p>
          <a:endParaRPr lang="en-AU"/>
        </a:p>
      </dgm:t>
    </dgm:pt>
    <dgm:pt modelId="{09BD0F80-B05E-4575-B744-037A126F0939}" type="pres">
      <dgm:prSet presAssocID="{ED41A430-3E9D-414D-B8FA-E525E671AFB2}" presName="level2Shape" presStyleLbl="node4" presStyleIdx="1" presStyleCnt="15"/>
      <dgm:spPr/>
      <dgm:t>
        <a:bodyPr/>
        <a:lstStyle/>
        <a:p>
          <a:endParaRPr lang="en-AU"/>
        </a:p>
      </dgm:t>
    </dgm:pt>
    <dgm:pt modelId="{301517C0-3504-4409-842C-C882CE41623A}" type="pres">
      <dgm:prSet presAssocID="{ED41A430-3E9D-414D-B8FA-E525E671AFB2}" presName="hierChild3" presStyleCnt="0"/>
      <dgm:spPr/>
      <dgm:t>
        <a:bodyPr/>
        <a:lstStyle/>
        <a:p>
          <a:endParaRPr lang="en-AU"/>
        </a:p>
      </dgm:t>
    </dgm:pt>
    <dgm:pt modelId="{812774F8-F848-4EC0-8DB8-26BCBFA53B28}" type="pres">
      <dgm:prSet presAssocID="{5F0A52B8-E0C8-470C-8A70-777EDBE69F50}" presName="Name25" presStyleLbl="parChTrans1D4" presStyleIdx="2" presStyleCnt="15"/>
      <dgm:spPr/>
      <dgm:t>
        <a:bodyPr/>
        <a:lstStyle/>
        <a:p>
          <a:endParaRPr lang="en-AU"/>
        </a:p>
      </dgm:t>
    </dgm:pt>
    <dgm:pt modelId="{6A8DC63F-8F25-43C5-95BC-A1FFB72D1D85}" type="pres">
      <dgm:prSet presAssocID="{5F0A52B8-E0C8-470C-8A70-777EDBE69F50}" presName="connTx" presStyleLbl="parChTrans1D4" presStyleIdx="2" presStyleCnt="15"/>
      <dgm:spPr/>
      <dgm:t>
        <a:bodyPr/>
        <a:lstStyle/>
        <a:p>
          <a:endParaRPr lang="en-AU"/>
        </a:p>
      </dgm:t>
    </dgm:pt>
    <dgm:pt modelId="{2AA59832-7871-426D-BA5D-DB44EA26FADC}" type="pres">
      <dgm:prSet presAssocID="{9ECC1C47-AFB2-42EC-9125-D4AF6B038B19}" presName="Name30" presStyleCnt="0"/>
      <dgm:spPr/>
      <dgm:t>
        <a:bodyPr/>
        <a:lstStyle/>
        <a:p>
          <a:endParaRPr lang="en-AU"/>
        </a:p>
      </dgm:t>
    </dgm:pt>
    <dgm:pt modelId="{801117D0-30FC-4B1C-8441-CDB82E1D2310}" type="pres">
      <dgm:prSet presAssocID="{9ECC1C47-AFB2-42EC-9125-D4AF6B038B19}" presName="level2Shape" presStyleLbl="node4" presStyleIdx="2" presStyleCnt="15"/>
      <dgm:spPr/>
      <dgm:t>
        <a:bodyPr/>
        <a:lstStyle/>
        <a:p>
          <a:endParaRPr lang="en-AU"/>
        </a:p>
      </dgm:t>
    </dgm:pt>
    <dgm:pt modelId="{790F1D6C-ACFE-4DD7-8AEE-1BD9171E45DB}" type="pres">
      <dgm:prSet presAssocID="{9ECC1C47-AFB2-42EC-9125-D4AF6B038B19}" presName="hierChild3" presStyleCnt="0"/>
      <dgm:spPr/>
      <dgm:t>
        <a:bodyPr/>
        <a:lstStyle/>
        <a:p>
          <a:endParaRPr lang="en-AU"/>
        </a:p>
      </dgm:t>
    </dgm:pt>
    <dgm:pt modelId="{DE9564A2-42EE-4EBD-86F2-51FDA32BB63A}" type="pres">
      <dgm:prSet presAssocID="{DCF57280-F9FD-492B-941A-19FA2C2C8138}" presName="Name25" presStyleLbl="parChTrans1D4" presStyleIdx="3" presStyleCnt="15"/>
      <dgm:spPr/>
      <dgm:t>
        <a:bodyPr/>
        <a:lstStyle/>
        <a:p>
          <a:endParaRPr lang="en-AU"/>
        </a:p>
      </dgm:t>
    </dgm:pt>
    <dgm:pt modelId="{AC1B941B-11EE-4914-B924-7882A9EC33A7}" type="pres">
      <dgm:prSet presAssocID="{DCF57280-F9FD-492B-941A-19FA2C2C8138}" presName="connTx" presStyleLbl="parChTrans1D4" presStyleIdx="3" presStyleCnt="15"/>
      <dgm:spPr/>
      <dgm:t>
        <a:bodyPr/>
        <a:lstStyle/>
        <a:p>
          <a:endParaRPr lang="en-AU"/>
        </a:p>
      </dgm:t>
    </dgm:pt>
    <dgm:pt modelId="{AA34BD37-D70A-4130-A0C9-D1A666925CCC}" type="pres">
      <dgm:prSet presAssocID="{6B4FC7AB-B8F5-4A05-A87A-14B282C351A1}" presName="Name30" presStyleCnt="0"/>
      <dgm:spPr/>
      <dgm:t>
        <a:bodyPr/>
        <a:lstStyle/>
        <a:p>
          <a:endParaRPr lang="en-AU"/>
        </a:p>
      </dgm:t>
    </dgm:pt>
    <dgm:pt modelId="{2949A10B-E99A-455E-834B-5A1797423AD3}" type="pres">
      <dgm:prSet presAssocID="{6B4FC7AB-B8F5-4A05-A87A-14B282C351A1}" presName="level2Shape" presStyleLbl="node4" presStyleIdx="3" presStyleCnt="15"/>
      <dgm:spPr/>
      <dgm:t>
        <a:bodyPr/>
        <a:lstStyle/>
        <a:p>
          <a:endParaRPr lang="en-AU"/>
        </a:p>
      </dgm:t>
    </dgm:pt>
    <dgm:pt modelId="{A28C3209-0154-41AA-8825-BFBBFBE44B83}" type="pres">
      <dgm:prSet presAssocID="{6B4FC7AB-B8F5-4A05-A87A-14B282C351A1}" presName="hierChild3" presStyleCnt="0"/>
      <dgm:spPr/>
      <dgm:t>
        <a:bodyPr/>
        <a:lstStyle/>
        <a:p>
          <a:endParaRPr lang="en-AU"/>
        </a:p>
      </dgm:t>
    </dgm:pt>
    <dgm:pt modelId="{66F4DD1F-EEBE-4791-9ACF-62647BE52F1F}" type="pres">
      <dgm:prSet presAssocID="{B78CE4DF-F17D-44C9-8630-6EFC322266CA}" presName="Name25" presStyleLbl="parChTrans1D4" presStyleIdx="4" presStyleCnt="15"/>
      <dgm:spPr/>
      <dgm:t>
        <a:bodyPr/>
        <a:lstStyle/>
        <a:p>
          <a:endParaRPr lang="en-AU"/>
        </a:p>
      </dgm:t>
    </dgm:pt>
    <dgm:pt modelId="{648F6D1A-92CC-4E5D-812E-6477BE777E8E}" type="pres">
      <dgm:prSet presAssocID="{B78CE4DF-F17D-44C9-8630-6EFC322266CA}" presName="connTx" presStyleLbl="parChTrans1D4" presStyleIdx="4" presStyleCnt="15"/>
      <dgm:spPr/>
      <dgm:t>
        <a:bodyPr/>
        <a:lstStyle/>
        <a:p>
          <a:endParaRPr lang="en-AU"/>
        </a:p>
      </dgm:t>
    </dgm:pt>
    <dgm:pt modelId="{D49C4C43-C7EB-4A20-8B3A-DF747B535FED}" type="pres">
      <dgm:prSet presAssocID="{6A96F143-D10F-40F7-A2F6-C388265788A1}" presName="Name30" presStyleCnt="0"/>
      <dgm:spPr/>
      <dgm:t>
        <a:bodyPr/>
        <a:lstStyle/>
        <a:p>
          <a:endParaRPr lang="en-AU"/>
        </a:p>
      </dgm:t>
    </dgm:pt>
    <dgm:pt modelId="{99326077-B656-4B7A-AB0A-0C5C38597939}" type="pres">
      <dgm:prSet presAssocID="{6A96F143-D10F-40F7-A2F6-C388265788A1}" presName="level2Shape" presStyleLbl="node4" presStyleIdx="4" presStyleCnt="15"/>
      <dgm:spPr/>
      <dgm:t>
        <a:bodyPr/>
        <a:lstStyle/>
        <a:p>
          <a:endParaRPr lang="en-AU"/>
        </a:p>
      </dgm:t>
    </dgm:pt>
    <dgm:pt modelId="{F9F9BA09-E361-4414-B7FF-2E148B9E50AE}" type="pres">
      <dgm:prSet presAssocID="{6A96F143-D10F-40F7-A2F6-C388265788A1}" presName="hierChild3" presStyleCnt="0"/>
      <dgm:spPr/>
      <dgm:t>
        <a:bodyPr/>
        <a:lstStyle/>
        <a:p>
          <a:endParaRPr lang="en-AU"/>
        </a:p>
      </dgm:t>
    </dgm:pt>
    <dgm:pt modelId="{ABE86191-48DC-4857-B8C1-FE4B1B2573E3}" type="pres">
      <dgm:prSet presAssocID="{4918478F-D7A3-4126-A858-ED4AD724A19C}" presName="Name25" presStyleLbl="parChTrans1D3" presStyleIdx="1" presStyleCnt="6"/>
      <dgm:spPr/>
      <dgm:t>
        <a:bodyPr/>
        <a:lstStyle/>
        <a:p>
          <a:endParaRPr lang="en-AU"/>
        </a:p>
      </dgm:t>
    </dgm:pt>
    <dgm:pt modelId="{BB516A11-B309-46E5-8662-525CF7CF8766}" type="pres">
      <dgm:prSet presAssocID="{4918478F-D7A3-4126-A858-ED4AD724A19C}" presName="connTx" presStyleLbl="parChTrans1D3" presStyleIdx="1" presStyleCnt="6"/>
      <dgm:spPr/>
      <dgm:t>
        <a:bodyPr/>
        <a:lstStyle/>
        <a:p>
          <a:endParaRPr lang="en-AU"/>
        </a:p>
      </dgm:t>
    </dgm:pt>
    <dgm:pt modelId="{8F5E04EC-D139-477E-A50E-831369B915EE}" type="pres">
      <dgm:prSet presAssocID="{B73A4D79-D610-4619-9822-7F17FEDEC1EF}" presName="Name30" presStyleCnt="0"/>
      <dgm:spPr/>
      <dgm:t>
        <a:bodyPr/>
        <a:lstStyle/>
        <a:p>
          <a:endParaRPr lang="en-AU"/>
        </a:p>
      </dgm:t>
    </dgm:pt>
    <dgm:pt modelId="{2D111339-D58B-4D31-918A-504F61F82AD6}" type="pres">
      <dgm:prSet presAssocID="{B73A4D79-D610-4619-9822-7F17FEDEC1EF}" presName="level2Shape" presStyleLbl="node3" presStyleIdx="1" presStyleCnt="6"/>
      <dgm:spPr/>
      <dgm:t>
        <a:bodyPr/>
        <a:lstStyle/>
        <a:p>
          <a:endParaRPr lang="en-AU"/>
        </a:p>
      </dgm:t>
    </dgm:pt>
    <dgm:pt modelId="{AA14474E-F7ED-4DC0-A278-1220C2758AE6}" type="pres">
      <dgm:prSet presAssocID="{B73A4D79-D610-4619-9822-7F17FEDEC1EF}" presName="hierChild3" presStyleCnt="0"/>
      <dgm:spPr/>
      <dgm:t>
        <a:bodyPr/>
        <a:lstStyle/>
        <a:p>
          <a:endParaRPr lang="en-AU"/>
        </a:p>
      </dgm:t>
    </dgm:pt>
    <dgm:pt modelId="{80346E09-0D6C-4238-A57F-233AE34EFF56}" type="pres">
      <dgm:prSet presAssocID="{BC5DEE5B-9777-4C47-AA0C-D03402F7C89D}" presName="Name25" presStyleLbl="parChTrans1D4" presStyleIdx="5" presStyleCnt="15"/>
      <dgm:spPr/>
      <dgm:t>
        <a:bodyPr/>
        <a:lstStyle/>
        <a:p>
          <a:endParaRPr lang="en-AU"/>
        </a:p>
      </dgm:t>
    </dgm:pt>
    <dgm:pt modelId="{979EF651-D924-40CF-8968-67A002B195D7}" type="pres">
      <dgm:prSet presAssocID="{BC5DEE5B-9777-4C47-AA0C-D03402F7C89D}" presName="connTx" presStyleLbl="parChTrans1D4" presStyleIdx="5" presStyleCnt="15"/>
      <dgm:spPr/>
      <dgm:t>
        <a:bodyPr/>
        <a:lstStyle/>
        <a:p>
          <a:endParaRPr lang="en-AU"/>
        </a:p>
      </dgm:t>
    </dgm:pt>
    <dgm:pt modelId="{DECB7C98-7D4E-41E0-B049-36B08CF8C032}" type="pres">
      <dgm:prSet presAssocID="{EC82A317-8FE7-4AE3-A1BA-65DA906F756D}" presName="Name30" presStyleCnt="0"/>
      <dgm:spPr/>
      <dgm:t>
        <a:bodyPr/>
        <a:lstStyle/>
        <a:p>
          <a:endParaRPr lang="en-AU"/>
        </a:p>
      </dgm:t>
    </dgm:pt>
    <dgm:pt modelId="{A587465A-920E-4954-A298-8146F065C754}" type="pres">
      <dgm:prSet presAssocID="{EC82A317-8FE7-4AE3-A1BA-65DA906F756D}" presName="level2Shape" presStyleLbl="node4" presStyleIdx="5" presStyleCnt="15"/>
      <dgm:spPr/>
      <dgm:t>
        <a:bodyPr/>
        <a:lstStyle/>
        <a:p>
          <a:endParaRPr lang="en-AU"/>
        </a:p>
      </dgm:t>
    </dgm:pt>
    <dgm:pt modelId="{8E1F29B2-1D8E-466D-A610-E588FE199CB8}" type="pres">
      <dgm:prSet presAssocID="{EC82A317-8FE7-4AE3-A1BA-65DA906F756D}" presName="hierChild3" presStyleCnt="0"/>
      <dgm:spPr/>
      <dgm:t>
        <a:bodyPr/>
        <a:lstStyle/>
        <a:p>
          <a:endParaRPr lang="en-AU"/>
        </a:p>
      </dgm:t>
    </dgm:pt>
    <dgm:pt modelId="{8D7C31E9-C3E0-41EE-B20E-2A88ECA12124}" type="pres">
      <dgm:prSet presAssocID="{1DD64CBB-4A50-41DC-96EA-EB70AFCE00AF}" presName="Name25" presStyleLbl="parChTrans1D4" presStyleIdx="6" presStyleCnt="15"/>
      <dgm:spPr/>
      <dgm:t>
        <a:bodyPr/>
        <a:lstStyle/>
        <a:p>
          <a:endParaRPr lang="en-AU"/>
        </a:p>
      </dgm:t>
    </dgm:pt>
    <dgm:pt modelId="{33FDB367-029F-4BE0-A96E-058E8A137316}" type="pres">
      <dgm:prSet presAssocID="{1DD64CBB-4A50-41DC-96EA-EB70AFCE00AF}" presName="connTx" presStyleLbl="parChTrans1D4" presStyleIdx="6" presStyleCnt="15"/>
      <dgm:spPr/>
      <dgm:t>
        <a:bodyPr/>
        <a:lstStyle/>
        <a:p>
          <a:endParaRPr lang="en-AU"/>
        </a:p>
      </dgm:t>
    </dgm:pt>
    <dgm:pt modelId="{8571F01C-C251-4CCC-8D81-5C647C69FC94}" type="pres">
      <dgm:prSet presAssocID="{DF5ABDAF-E91B-4EAD-ADF1-7133E583DC92}" presName="Name30" presStyleCnt="0"/>
      <dgm:spPr/>
      <dgm:t>
        <a:bodyPr/>
        <a:lstStyle/>
        <a:p>
          <a:endParaRPr lang="en-AU"/>
        </a:p>
      </dgm:t>
    </dgm:pt>
    <dgm:pt modelId="{EC1DD8FD-688C-4E93-89FF-F3B27C362A4B}" type="pres">
      <dgm:prSet presAssocID="{DF5ABDAF-E91B-4EAD-ADF1-7133E583DC92}" presName="level2Shape" presStyleLbl="node4" presStyleIdx="6" presStyleCnt="15"/>
      <dgm:spPr/>
      <dgm:t>
        <a:bodyPr/>
        <a:lstStyle/>
        <a:p>
          <a:endParaRPr lang="en-AU"/>
        </a:p>
      </dgm:t>
    </dgm:pt>
    <dgm:pt modelId="{FE5F6AC6-E1D1-4658-98CE-06240C9B7D1F}" type="pres">
      <dgm:prSet presAssocID="{DF5ABDAF-E91B-4EAD-ADF1-7133E583DC92}" presName="hierChild3" presStyleCnt="0"/>
      <dgm:spPr/>
      <dgm:t>
        <a:bodyPr/>
        <a:lstStyle/>
        <a:p>
          <a:endParaRPr lang="en-AU"/>
        </a:p>
      </dgm:t>
    </dgm:pt>
    <dgm:pt modelId="{DA3862F4-2803-44FB-8362-FB70B8B3540E}" type="pres">
      <dgm:prSet presAssocID="{77EF115C-9796-473A-A8F7-BC04566CF088}" presName="Name25" presStyleLbl="parChTrans1D4" presStyleIdx="7" presStyleCnt="15"/>
      <dgm:spPr/>
      <dgm:t>
        <a:bodyPr/>
        <a:lstStyle/>
        <a:p>
          <a:endParaRPr lang="en-AU"/>
        </a:p>
      </dgm:t>
    </dgm:pt>
    <dgm:pt modelId="{9B377034-C2E3-4FB2-BF26-BAE55B85375D}" type="pres">
      <dgm:prSet presAssocID="{77EF115C-9796-473A-A8F7-BC04566CF088}" presName="connTx" presStyleLbl="parChTrans1D4" presStyleIdx="7" presStyleCnt="15"/>
      <dgm:spPr/>
      <dgm:t>
        <a:bodyPr/>
        <a:lstStyle/>
        <a:p>
          <a:endParaRPr lang="en-AU"/>
        </a:p>
      </dgm:t>
    </dgm:pt>
    <dgm:pt modelId="{F5DD80D8-0CE9-4DE7-AF61-5B5CEECFB6C2}" type="pres">
      <dgm:prSet presAssocID="{72351A3B-CA4F-46AD-A067-32BAE2663FAE}" presName="Name30" presStyleCnt="0"/>
      <dgm:spPr/>
      <dgm:t>
        <a:bodyPr/>
        <a:lstStyle/>
        <a:p>
          <a:endParaRPr lang="en-AU"/>
        </a:p>
      </dgm:t>
    </dgm:pt>
    <dgm:pt modelId="{B371E648-3135-4746-899D-54A9997E45A7}" type="pres">
      <dgm:prSet presAssocID="{72351A3B-CA4F-46AD-A067-32BAE2663FAE}" presName="level2Shape" presStyleLbl="node4" presStyleIdx="7" presStyleCnt="15"/>
      <dgm:spPr/>
      <dgm:t>
        <a:bodyPr/>
        <a:lstStyle/>
        <a:p>
          <a:endParaRPr lang="en-AU"/>
        </a:p>
      </dgm:t>
    </dgm:pt>
    <dgm:pt modelId="{1427B5F4-692B-46A0-846D-269D9231D810}" type="pres">
      <dgm:prSet presAssocID="{72351A3B-CA4F-46AD-A067-32BAE2663FAE}" presName="hierChild3" presStyleCnt="0"/>
      <dgm:spPr/>
      <dgm:t>
        <a:bodyPr/>
        <a:lstStyle/>
        <a:p>
          <a:endParaRPr lang="en-AU"/>
        </a:p>
      </dgm:t>
    </dgm:pt>
    <dgm:pt modelId="{7815704F-21B9-4D20-8109-94191230A9CB}" type="pres">
      <dgm:prSet presAssocID="{8C4F6588-E22C-40EC-B619-ACA17967C22D}" presName="Name25" presStyleLbl="parChTrans1D4" presStyleIdx="8" presStyleCnt="15"/>
      <dgm:spPr/>
      <dgm:t>
        <a:bodyPr/>
        <a:lstStyle/>
        <a:p>
          <a:endParaRPr lang="en-AU"/>
        </a:p>
      </dgm:t>
    </dgm:pt>
    <dgm:pt modelId="{78008BB3-7250-4CD1-BABC-7C8406C636A6}" type="pres">
      <dgm:prSet presAssocID="{8C4F6588-E22C-40EC-B619-ACA17967C22D}" presName="connTx" presStyleLbl="parChTrans1D4" presStyleIdx="8" presStyleCnt="15"/>
      <dgm:spPr/>
      <dgm:t>
        <a:bodyPr/>
        <a:lstStyle/>
        <a:p>
          <a:endParaRPr lang="en-AU"/>
        </a:p>
      </dgm:t>
    </dgm:pt>
    <dgm:pt modelId="{AAE9C2E5-12D5-4D72-8264-435F89C893FA}" type="pres">
      <dgm:prSet presAssocID="{42A70311-54DD-422E-ADBD-C4FAB3AF00D4}" presName="Name30" presStyleCnt="0"/>
      <dgm:spPr/>
      <dgm:t>
        <a:bodyPr/>
        <a:lstStyle/>
        <a:p>
          <a:endParaRPr lang="en-AU"/>
        </a:p>
      </dgm:t>
    </dgm:pt>
    <dgm:pt modelId="{417CE763-226E-421A-A2ED-B13648A6F9B6}" type="pres">
      <dgm:prSet presAssocID="{42A70311-54DD-422E-ADBD-C4FAB3AF00D4}" presName="level2Shape" presStyleLbl="node4" presStyleIdx="8" presStyleCnt="15"/>
      <dgm:spPr/>
      <dgm:t>
        <a:bodyPr/>
        <a:lstStyle/>
        <a:p>
          <a:endParaRPr lang="en-AU"/>
        </a:p>
      </dgm:t>
    </dgm:pt>
    <dgm:pt modelId="{D42F8746-2C29-4E34-B49B-D093FB5FDCAA}" type="pres">
      <dgm:prSet presAssocID="{42A70311-54DD-422E-ADBD-C4FAB3AF00D4}" presName="hierChild3" presStyleCnt="0"/>
      <dgm:spPr/>
      <dgm:t>
        <a:bodyPr/>
        <a:lstStyle/>
        <a:p>
          <a:endParaRPr lang="en-AU"/>
        </a:p>
      </dgm:t>
    </dgm:pt>
    <dgm:pt modelId="{2B8BEE0C-CE19-4AB9-8BF1-7D734699FF1E}" type="pres">
      <dgm:prSet presAssocID="{87C70866-91FC-4B07-A2E1-7F003996A31D}" presName="Name25" presStyleLbl="parChTrans1D4" presStyleIdx="9" presStyleCnt="15"/>
      <dgm:spPr/>
      <dgm:t>
        <a:bodyPr/>
        <a:lstStyle/>
        <a:p>
          <a:endParaRPr lang="en-AU"/>
        </a:p>
      </dgm:t>
    </dgm:pt>
    <dgm:pt modelId="{C56A27BC-B4EC-49E2-BC67-551992123AFB}" type="pres">
      <dgm:prSet presAssocID="{87C70866-91FC-4B07-A2E1-7F003996A31D}" presName="connTx" presStyleLbl="parChTrans1D4" presStyleIdx="9" presStyleCnt="15"/>
      <dgm:spPr/>
      <dgm:t>
        <a:bodyPr/>
        <a:lstStyle/>
        <a:p>
          <a:endParaRPr lang="en-AU"/>
        </a:p>
      </dgm:t>
    </dgm:pt>
    <dgm:pt modelId="{92B02756-01CC-4F19-B72C-2B1533FCF8EE}" type="pres">
      <dgm:prSet presAssocID="{B2296AC5-921C-4018-B953-888EED88508F}" presName="Name30" presStyleCnt="0"/>
      <dgm:spPr/>
      <dgm:t>
        <a:bodyPr/>
        <a:lstStyle/>
        <a:p>
          <a:endParaRPr lang="en-AU"/>
        </a:p>
      </dgm:t>
    </dgm:pt>
    <dgm:pt modelId="{EDABB4A0-2E25-4E08-B9B7-9EAFD7F19330}" type="pres">
      <dgm:prSet presAssocID="{B2296AC5-921C-4018-B953-888EED88508F}" presName="level2Shape" presStyleLbl="node4" presStyleIdx="9" presStyleCnt="15"/>
      <dgm:spPr/>
      <dgm:t>
        <a:bodyPr/>
        <a:lstStyle/>
        <a:p>
          <a:endParaRPr lang="en-AU"/>
        </a:p>
      </dgm:t>
    </dgm:pt>
    <dgm:pt modelId="{F3E9A30E-AC98-443E-876B-A5EA7D5890C0}" type="pres">
      <dgm:prSet presAssocID="{B2296AC5-921C-4018-B953-888EED88508F}" presName="hierChild3" presStyleCnt="0"/>
      <dgm:spPr/>
      <dgm:t>
        <a:bodyPr/>
        <a:lstStyle/>
        <a:p>
          <a:endParaRPr lang="en-AU"/>
        </a:p>
      </dgm:t>
    </dgm:pt>
    <dgm:pt modelId="{6EAEEBAD-278B-48E1-A749-7550CE7F5737}" type="pres">
      <dgm:prSet presAssocID="{1BCBE8EF-4B94-488A-8B2D-57B628E2EAE8}" presName="Name25" presStyleLbl="parChTrans1D3" presStyleIdx="2" presStyleCnt="6"/>
      <dgm:spPr/>
      <dgm:t>
        <a:bodyPr/>
        <a:lstStyle/>
        <a:p>
          <a:endParaRPr lang="en-AU"/>
        </a:p>
      </dgm:t>
    </dgm:pt>
    <dgm:pt modelId="{50138C9B-0159-44C9-B8DB-1A259CDD7DF9}" type="pres">
      <dgm:prSet presAssocID="{1BCBE8EF-4B94-488A-8B2D-57B628E2EAE8}" presName="connTx" presStyleLbl="parChTrans1D3" presStyleIdx="2" presStyleCnt="6"/>
      <dgm:spPr/>
      <dgm:t>
        <a:bodyPr/>
        <a:lstStyle/>
        <a:p>
          <a:endParaRPr lang="en-AU"/>
        </a:p>
      </dgm:t>
    </dgm:pt>
    <dgm:pt modelId="{2CA589F4-1765-45CB-84C5-35CC65B03ACB}" type="pres">
      <dgm:prSet presAssocID="{7A09D59D-B023-41A2-A387-93CCCCEDCC04}" presName="Name30" presStyleCnt="0"/>
      <dgm:spPr/>
      <dgm:t>
        <a:bodyPr/>
        <a:lstStyle/>
        <a:p>
          <a:endParaRPr lang="en-AU"/>
        </a:p>
      </dgm:t>
    </dgm:pt>
    <dgm:pt modelId="{D290BF90-4F32-4016-8A8F-E313C05CE7AC}" type="pres">
      <dgm:prSet presAssocID="{7A09D59D-B023-41A2-A387-93CCCCEDCC04}" presName="level2Shape" presStyleLbl="node3" presStyleIdx="2" presStyleCnt="6"/>
      <dgm:spPr/>
      <dgm:t>
        <a:bodyPr/>
        <a:lstStyle/>
        <a:p>
          <a:endParaRPr lang="en-AU"/>
        </a:p>
      </dgm:t>
    </dgm:pt>
    <dgm:pt modelId="{8ECA93E4-32BC-45DC-A77D-AD25C011EC7A}" type="pres">
      <dgm:prSet presAssocID="{7A09D59D-B023-41A2-A387-93CCCCEDCC04}" presName="hierChild3" presStyleCnt="0"/>
      <dgm:spPr/>
      <dgm:t>
        <a:bodyPr/>
        <a:lstStyle/>
        <a:p>
          <a:endParaRPr lang="en-AU"/>
        </a:p>
      </dgm:t>
    </dgm:pt>
    <dgm:pt modelId="{90DFE0E2-23E1-4CBF-A0A3-1F890F447F7D}" type="pres">
      <dgm:prSet presAssocID="{27C0F39B-42DD-4A98-A74F-AEC5E6192A57}" presName="Name25" presStyleLbl="parChTrans1D4" presStyleIdx="10" presStyleCnt="15"/>
      <dgm:spPr/>
      <dgm:t>
        <a:bodyPr/>
        <a:lstStyle/>
        <a:p>
          <a:endParaRPr lang="en-AU"/>
        </a:p>
      </dgm:t>
    </dgm:pt>
    <dgm:pt modelId="{3C1C5B49-E5A0-4109-87E1-DB1C0665B98C}" type="pres">
      <dgm:prSet presAssocID="{27C0F39B-42DD-4A98-A74F-AEC5E6192A57}" presName="connTx" presStyleLbl="parChTrans1D4" presStyleIdx="10" presStyleCnt="15"/>
      <dgm:spPr/>
      <dgm:t>
        <a:bodyPr/>
        <a:lstStyle/>
        <a:p>
          <a:endParaRPr lang="en-AU"/>
        </a:p>
      </dgm:t>
    </dgm:pt>
    <dgm:pt modelId="{1FD27FE1-A79C-4574-B0A0-EC7F918719E0}" type="pres">
      <dgm:prSet presAssocID="{9FBFFDEB-F4D5-422A-A9B4-B3673B2DBA6E}" presName="Name30" presStyleCnt="0"/>
      <dgm:spPr/>
      <dgm:t>
        <a:bodyPr/>
        <a:lstStyle/>
        <a:p>
          <a:endParaRPr lang="en-AU"/>
        </a:p>
      </dgm:t>
    </dgm:pt>
    <dgm:pt modelId="{C1508B2E-F1E2-4A0D-B325-6FF8E68F662F}" type="pres">
      <dgm:prSet presAssocID="{9FBFFDEB-F4D5-422A-A9B4-B3673B2DBA6E}" presName="level2Shape" presStyleLbl="node4" presStyleIdx="10" presStyleCnt="15"/>
      <dgm:spPr/>
      <dgm:t>
        <a:bodyPr/>
        <a:lstStyle/>
        <a:p>
          <a:endParaRPr lang="en-AU"/>
        </a:p>
      </dgm:t>
    </dgm:pt>
    <dgm:pt modelId="{575276E7-515B-4C1C-ABEA-7BF6A9B64C56}" type="pres">
      <dgm:prSet presAssocID="{9FBFFDEB-F4D5-422A-A9B4-B3673B2DBA6E}" presName="hierChild3" presStyleCnt="0"/>
      <dgm:spPr/>
      <dgm:t>
        <a:bodyPr/>
        <a:lstStyle/>
        <a:p>
          <a:endParaRPr lang="en-AU"/>
        </a:p>
      </dgm:t>
    </dgm:pt>
    <dgm:pt modelId="{52343FEC-AA8D-4BF5-9E93-7707DB115815}" type="pres">
      <dgm:prSet presAssocID="{0FEACB3B-A947-40A3-97AA-728B24ECD229}" presName="Name25" presStyleLbl="parChTrans1D4" presStyleIdx="11" presStyleCnt="15"/>
      <dgm:spPr/>
      <dgm:t>
        <a:bodyPr/>
        <a:lstStyle/>
        <a:p>
          <a:endParaRPr lang="en-AU"/>
        </a:p>
      </dgm:t>
    </dgm:pt>
    <dgm:pt modelId="{5B163344-A3E7-4BB9-AD7B-EB14991B4C9C}" type="pres">
      <dgm:prSet presAssocID="{0FEACB3B-A947-40A3-97AA-728B24ECD229}" presName="connTx" presStyleLbl="parChTrans1D4" presStyleIdx="11" presStyleCnt="15"/>
      <dgm:spPr/>
      <dgm:t>
        <a:bodyPr/>
        <a:lstStyle/>
        <a:p>
          <a:endParaRPr lang="en-AU"/>
        </a:p>
      </dgm:t>
    </dgm:pt>
    <dgm:pt modelId="{1848A041-F152-400E-867E-C1804786A18C}" type="pres">
      <dgm:prSet presAssocID="{875B664A-794F-4C94-AEB7-EA4976C00961}" presName="Name30" presStyleCnt="0"/>
      <dgm:spPr/>
      <dgm:t>
        <a:bodyPr/>
        <a:lstStyle/>
        <a:p>
          <a:endParaRPr lang="en-AU"/>
        </a:p>
      </dgm:t>
    </dgm:pt>
    <dgm:pt modelId="{D931C509-0F57-4529-BF57-FDB0C6AE86B6}" type="pres">
      <dgm:prSet presAssocID="{875B664A-794F-4C94-AEB7-EA4976C00961}" presName="level2Shape" presStyleLbl="node4" presStyleIdx="11" presStyleCnt="15"/>
      <dgm:spPr/>
      <dgm:t>
        <a:bodyPr/>
        <a:lstStyle/>
        <a:p>
          <a:endParaRPr lang="en-AU"/>
        </a:p>
      </dgm:t>
    </dgm:pt>
    <dgm:pt modelId="{2C06C8F0-7E41-4A81-B616-1AD9F1CA98B1}" type="pres">
      <dgm:prSet presAssocID="{875B664A-794F-4C94-AEB7-EA4976C00961}" presName="hierChild3" presStyleCnt="0"/>
      <dgm:spPr/>
      <dgm:t>
        <a:bodyPr/>
        <a:lstStyle/>
        <a:p>
          <a:endParaRPr lang="en-AU"/>
        </a:p>
      </dgm:t>
    </dgm:pt>
    <dgm:pt modelId="{3B15D8BB-32D8-4C0C-B5A4-15B1E2ED03D9}" type="pres">
      <dgm:prSet presAssocID="{332FDED6-CD9E-49CC-AACD-C1BAE00B9156}" presName="Name25" presStyleLbl="parChTrans1D4" presStyleIdx="12" presStyleCnt="15"/>
      <dgm:spPr/>
      <dgm:t>
        <a:bodyPr/>
        <a:lstStyle/>
        <a:p>
          <a:endParaRPr lang="en-AU"/>
        </a:p>
      </dgm:t>
    </dgm:pt>
    <dgm:pt modelId="{62B2F4FE-0946-4796-90D6-08D67923ADF2}" type="pres">
      <dgm:prSet presAssocID="{332FDED6-CD9E-49CC-AACD-C1BAE00B9156}" presName="connTx" presStyleLbl="parChTrans1D4" presStyleIdx="12" presStyleCnt="15"/>
      <dgm:spPr/>
      <dgm:t>
        <a:bodyPr/>
        <a:lstStyle/>
        <a:p>
          <a:endParaRPr lang="en-AU"/>
        </a:p>
      </dgm:t>
    </dgm:pt>
    <dgm:pt modelId="{DF1C70D5-2AA4-4615-B051-606AF6C72FCA}" type="pres">
      <dgm:prSet presAssocID="{60146B18-7146-4880-AC62-5B408E87CBA3}" presName="Name30" presStyleCnt="0"/>
      <dgm:spPr/>
      <dgm:t>
        <a:bodyPr/>
        <a:lstStyle/>
        <a:p>
          <a:endParaRPr lang="en-AU"/>
        </a:p>
      </dgm:t>
    </dgm:pt>
    <dgm:pt modelId="{F7FF7DE3-1B00-4948-9159-C9A50A6A0476}" type="pres">
      <dgm:prSet presAssocID="{60146B18-7146-4880-AC62-5B408E87CBA3}" presName="level2Shape" presStyleLbl="node4" presStyleIdx="12" presStyleCnt="15"/>
      <dgm:spPr/>
      <dgm:t>
        <a:bodyPr/>
        <a:lstStyle/>
        <a:p>
          <a:endParaRPr lang="en-AU"/>
        </a:p>
      </dgm:t>
    </dgm:pt>
    <dgm:pt modelId="{16DC2570-12FF-4233-A2CB-C556755C3E39}" type="pres">
      <dgm:prSet presAssocID="{60146B18-7146-4880-AC62-5B408E87CBA3}" presName="hierChild3" presStyleCnt="0"/>
      <dgm:spPr/>
      <dgm:t>
        <a:bodyPr/>
        <a:lstStyle/>
        <a:p>
          <a:endParaRPr lang="en-AU"/>
        </a:p>
      </dgm:t>
    </dgm:pt>
    <dgm:pt modelId="{085C8FA5-E351-482C-AC74-D2E4979F5CC5}" type="pres">
      <dgm:prSet presAssocID="{8F765444-7FB8-448F-81C4-AC2DEC01A0AF}" presName="Name25" presStyleLbl="parChTrans1D4" presStyleIdx="13" presStyleCnt="15"/>
      <dgm:spPr/>
      <dgm:t>
        <a:bodyPr/>
        <a:lstStyle/>
        <a:p>
          <a:endParaRPr lang="en-AU"/>
        </a:p>
      </dgm:t>
    </dgm:pt>
    <dgm:pt modelId="{A8F0775E-0028-4068-9358-ADCDF08D0279}" type="pres">
      <dgm:prSet presAssocID="{8F765444-7FB8-448F-81C4-AC2DEC01A0AF}" presName="connTx" presStyleLbl="parChTrans1D4" presStyleIdx="13" presStyleCnt="15"/>
      <dgm:spPr/>
      <dgm:t>
        <a:bodyPr/>
        <a:lstStyle/>
        <a:p>
          <a:endParaRPr lang="en-AU"/>
        </a:p>
      </dgm:t>
    </dgm:pt>
    <dgm:pt modelId="{FF4E7EFE-614C-46E7-ACDD-ADD0F633001F}" type="pres">
      <dgm:prSet presAssocID="{3108EA56-0438-4A8E-8C66-EFA7BD63CD56}" presName="Name30" presStyleCnt="0"/>
      <dgm:spPr/>
      <dgm:t>
        <a:bodyPr/>
        <a:lstStyle/>
        <a:p>
          <a:endParaRPr lang="en-AU"/>
        </a:p>
      </dgm:t>
    </dgm:pt>
    <dgm:pt modelId="{02CFC812-6E0F-4FBA-BBC3-B33E96DFE345}" type="pres">
      <dgm:prSet presAssocID="{3108EA56-0438-4A8E-8C66-EFA7BD63CD56}" presName="level2Shape" presStyleLbl="node4" presStyleIdx="13" presStyleCnt="15"/>
      <dgm:spPr/>
      <dgm:t>
        <a:bodyPr/>
        <a:lstStyle/>
        <a:p>
          <a:endParaRPr lang="en-AU"/>
        </a:p>
      </dgm:t>
    </dgm:pt>
    <dgm:pt modelId="{045D57E5-7606-4A10-8C65-E200A9A5DF75}" type="pres">
      <dgm:prSet presAssocID="{3108EA56-0438-4A8E-8C66-EFA7BD63CD56}" presName="hierChild3" presStyleCnt="0"/>
      <dgm:spPr/>
      <dgm:t>
        <a:bodyPr/>
        <a:lstStyle/>
        <a:p>
          <a:endParaRPr lang="en-AU"/>
        </a:p>
      </dgm:t>
    </dgm:pt>
    <dgm:pt modelId="{870F293D-D118-4EB6-BC47-AC8DCF1AA4CE}" type="pres">
      <dgm:prSet presAssocID="{BB331EF2-F5AF-4E45-A298-905DC42AD62A}" presName="Name25" presStyleLbl="parChTrans1D4" presStyleIdx="14" presStyleCnt="15"/>
      <dgm:spPr/>
      <dgm:t>
        <a:bodyPr/>
        <a:lstStyle/>
        <a:p>
          <a:endParaRPr lang="en-AU"/>
        </a:p>
      </dgm:t>
    </dgm:pt>
    <dgm:pt modelId="{B98B6C76-0144-4B8A-91E2-080D5B452162}" type="pres">
      <dgm:prSet presAssocID="{BB331EF2-F5AF-4E45-A298-905DC42AD62A}" presName="connTx" presStyleLbl="parChTrans1D4" presStyleIdx="14" presStyleCnt="15"/>
      <dgm:spPr/>
      <dgm:t>
        <a:bodyPr/>
        <a:lstStyle/>
        <a:p>
          <a:endParaRPr lang="en-AU"/>
        </a:p>
      </dgm:t>
    </dgm:pt>
    <dgm:pt modelId="{52E321D8-C605-474C-B524-6C0059A760AB}" type="pres">
      <dgm:prSet presAssocID="{81AFA1AD-634F-43B2-AD6C-6AF0C3EC2E9D}" presName="Name30" presStyleCnt="0"/>
      <dgm:spPr/>
      <dgm:t>
        <a:bodyPr/>
        <a:lstStyle/>
        <a:p>
          <a:endParaRPr lang="en-AU"/>
        </a:p>
      </dgm:t>
    </dgm:pt>
    <dgm:pt modelId="{25E7662B-18ED-4B5B-9919-9A2A12702B9D}" type="pres">
      <dgm:prSet presAssocID="{81AFA1AD-634F-43B2-AD6C-6AF0C3EC2E9D}" presName="level2Shape" presStyleLbl="node4" presStyleIdx="14" presStyleCnt="15"/>
      <dgm:spPr/>
      <dgm:t>
        <a:bodyPr/>
        <a:lstStyle/>
        <a:p>
          <a:endParaRPr lang="en-AU"/>
        </a:p>
      </dgm:t>
    </dgm:pt>
    <dgm:pt modelId="{EB98A590-CF9F-4862-A7B1-18D827628EE4}" type="pres">
      <dgm:prSet presAssocID="{81AFA1AD-634F-43B2-AD6C-6AF0C3EC2E9D}" presName="hierChild3" presStyleCnt="0"/>
      <dgm:spPr/>
      <dgm:t>
        <a:bodyPr/>
        <a:lstStyle/>
        <a:p>
          <a:endParaRPr lang="en-AU"/>
        </a:p>
      </dgm:t>
    </dgm:pt>
    <dgm:pt modelId="{0E88DC31-6D65-43E9-9C20-5FF2346D09BD}" type="pres">
      <dgm:prSet presAssocID="{2C7E14AC-789E-400B-BE5D-F3D6F2B748E0}" presName="Name25" presStyleLbl="parChTrans1D2" presStyleIdx="1" presStyleCnt="2"/>
      <dgm:spPr/>
      <dgm:t>
        <a:bodyPr/>
        <a:lstStyle/>
        <a:p>
          <a:endParaRPr lang="en-AU"/>
        </a:p>
      </dgm:t>
    </dgm:pt>
    <dgm:pt modelId="{5B55226A-23ED-4672-917A-6F862247AF97}" type="pres">
      <dgm:prSet presAssocID="{2C7E14AC-789E-400B-BE5D-F3D6F2B748E0}" presName="connTx" presStyleLbl="parChTrans1D2" presStyleIdx="1" presStyleCnt="2"/>
      <dgm:spPr/>
      <dgm:t>
        <a:bodyPr/>
        <a:lstStyle/>
        <a:p>
          <a:endParaRPr lang="en-AU"/>
        </a:p>
      </dgm:t>
    </dgm:pt>
    <dgm:pt modelId="{91724359-A9C9-4845-9045-10CD1E32F49F}" type="pres">
      <dgm:prSet presAssocID="{DA57D6B7-48E7-47BA-9520-413E26BE1F86}" presName="Name30" presStyleCnt="0"/>
      <dgm:spPr/>
      <dgm:t>
        <a:bodyPr/>
        <a:lstStyle/>
        <a:p>
          <a:endParaRPr lang="en-AU"/>
        </a:p>
      </dgm:t>
    </dgm:pt>
    <dgm:pt modelId="{114CA2FF-087D-4CCA-868C-A2D1AC6709F1}" type="pres">
      <dgm:prSet presAssocID="{DA57D6B7-48E7-47BA-9520-413E26BE1F86}" presName="level2Shape" presStyleLbl="node2" presStyleIdx="1" presStyleCnt="2"/>
      <dgm:spPr/>
      <dgm:t>
        <a:bodyPr/>
        <a:lstStyle/>
        <a:p>
          <a:endParaRPr lang="en-AU"/>
        </a:p>
      </dgm:t>
    </dgm:pt>
    <dgm:pt modelId="{5A82B180-8752-405C-BF1E-D99DD98AA7B7}" type="pres">
      <dgm:prSet presAssocID="{DA57D6B7-48E7-47BA-9520-413E26BE1F86}" presName="hierChild3" presStyleCnt="0"/>
      <dgm:spPr/>
      <dgm:t>
        <a:bodyPr/>
        <a:lstStyle/>
        <a:p>
          <a:endParaRPr lang="en-AU"/>
        </a:p>
      </dgm:t>
    </dgm:pt>
    <dgm:pt modelId="{9557F60B-3F99-4495-9680-25B96D6D2685}" type="pres">
      <dgm:prSet presAssocID="{8DFD033E-1C7D-4BEB-8E9C-ABF30DD87A95}" presName="Name25" presStyleLbl="parChTrans1D3" presStyleIdx="3" presStyleCnt="6"/>
      <dgm:spPr/>
      <dgm:t>
        <a:bodyPr/>
        <a:lstStyle/>
        <a:p>
          <a:endParaRPr lang="en-AU"/>
        </a:p>
      </dgm:t>
    </dgm:pt>
    <dgm:pt modelId="{2DA3BB91-2E9E-417F-85BC-BC4458796466}" type="pres">
      <dgm:prSet presAssocID="{8DFD033E-1C7D-4BEB-8E9C-ABF30DD87A95}" presName="connTx" presStyleLbl="parChTrans1D3" presStyleIdx="3" presStyleCnt="6"/>
      <dgm:spPr/>
      <dgm:t>
        <a:bodyPr/>
        <a:lstStyle/>
        <a:p>
          <a:endParaRPr lang="en-AU"/>
        </a:p>
      </dgm:t>
    </dgm:pt>
    <dgm:pt modelId="{C76466DE-0213-491C-8592-197F0161DA93}" type="pres">
      <dgm:prSet presAssocID="{8B2CB265-D489-4A9D-AAD4-887538F3D5E5}" presName="Name30" presStyleCnt="0"/>
      <dgm:spPr/>
      <dgm:t>
        <a:bodyPr/>
        <a:lstStyle/>
        <a:p>
          <a:endParaRPr lang="en-AU"/>
        </a:p>
      </dgm:t>
    </dgm:pt>
    <dgm:pt modelId="{004ADAE1-5E6D-40CD-85F5-C9914C499B2B}" type="pres">
      <dgm:prSet presAssocID="{8B2CB265-D489-4A9D-AAD4-887538F3D5E5}" presName="level2Shape" presStyleLbl="node3" presStyleIdx="3" presStyleCnt="6" custLinFactY="4554" custLinFactNeighborX="1089" custLinFactNeighborY="100000"/>
      <dgm:spPr/>
      <dgm:t>
        <a:bodyPr/>
        <a:lstStyle/>
        <a:p>
          <a:endParaRPr lang="en-AU"/>
        </a:p>
      </dgm:t>
    </dgm:pt>
    <dgm:pt modelId="{0DB8E6CB-2D3D-4869-93D3-4113069B132F}" type="pres">
      <dgm:prSet presAssocID="{8B2CB265-D489-4A9D-AAD4-887538F3D5E5}" presName="hierChild3" presStyleCnt="0"/>
      <dgm:spPr/>
      <dgm:t>
        <a:bodyPr/>
        <a:lstStyle/>
        <a:p>
          <a:endParaRPr lang="en-AU"/>
        </a:p>
      </dgm:t>
    </dgm:pt>
    <dgm:pt modelId="{C6A8B198-EF3F-496A-A90E-CBADB27B70D5}" type="pres">
      <dgm:prSet presAssocID="{C8C52333-8A90-4C5C-BF84-C9AA4906FA1B}" presName="Name25" presStyleLbl="parChTrans1D3" presStyleIdx="4" presStyleCnt="6"/>
      <dgm:spPr/>
      <dgm:t>
        <a:bodyPr/>
        <a:lstStyle/>
        <a:p>
          <a:endParaRPr lang="en-AU"/>
        </a:p>
      </dgm:t>
    </dgm:pt>
    <dgm:pt modelId="{A93E45EB-8AB8-4FC1-BF34-B77FB80B9124}" type="pres">
      <dgm:prSet presAssocID="{C8C52333-8A90-4C5C-BF84-C9AA4906FA1B}" presName="connTx" presStyleLbl="parChTrans1D3" presStyleIdx="4" presStyleCnt="6"/>
      <dgm:spPr/>
      <dgm:t>
        <a:bodyPr/>
        <a:lstStyle/>
        <a:p>
          <a:endParaRPr lang="en-AU"/>
        </a:p>
      </dgm:t>
    </dgm:pt>
    <dgm:pt modelId="{D6135CED-B585-47E7-9CC4-3F0467E3BFF4}" type="pres">
      <dgm:prSet presAssocID="{24F120E7-5E65-4233-9A7A-C96277AFE254}" presName="Name30" presStyleCnt="0"/>
      <dgm:spPr/>
      <dgm:t>
        <a:bodyPr/>
        <a:lstStyle/>
        <a:p>
          <a:endParaRPr lang="en-AU"/>
        </a:p>
      </dgm:t>
    </dgm:pt>
    <dgm:pt modelId="{C6E4AE76-25F9-44B8-A7B0-8C09C5760714}" type="pres">
      <dgm:prSet presAssocID="{24F120E7-5E65-4233-9A7A-C96277AFE254}" presName="level2Shape" presStyleLbl="node3" presStyleIdx="4" presStyleCnt="6" custLinFactY="2375" custLinFactNeighborX="-1089" custLinFactNeighborY="100000"/>
      <dgm:spPr/>
      <dgm:t>
        <a:bodyPr/>
        <a:lstStyle/>
        <a:p>
          <a:endParaRPr lang="en-AU"/>
        </a:p>
      </dgm:t>
    </dgm:pt>
    <dgm:pt modelId="{CAD124F0-F1FD-4751-8A50-7B06557414CD}" type="pres">
      <dgm:prSet presAssocID="{24F120E7-5E65-4233-9A7A-C96277AFE254}" presName="hierChild3" presStyleCnt="0"/>
      <dgm:spPr/>
      <dgm:t>
        <a:bodyPr/>
        <a:lstStyle/>
        <a:p>
          <a:endParaRPr lang="en-AU"/>
        </a:p>
      </dgm:t>
    </dgm:pt>
    <dgm:pt modelId="{EAFB5BB9-B225-4722-811F-4185776E03B1}" type="pres">
      <dgm:prSet presAssocID="{E6ACBB0C-7088-4618-B896-C801C516AA30}" presName="Name25" presStyleLbl="parChTrans1D3" presStyleIdx="5" presStyleCnt="6"/>
      <dgm:spPr/>
      <dgm:t>
        <a:bodyPr/>
        <a:lstStyle/>
        <a:p>
          <a:endParaRPr lang="en-AU"/>
        </a:p>
      </dgm:t>
    </dgm:pt>
    <dgm:pt modelId="{C5D6D3BB-B188-4544-81B1-8BDD98142745}" type="pres">
      <dgm:prSet presAssocID="{E6ACBB0C-7088-4618-B896-C801C516AA30}" presName="connTx" presStyleLbl="parChTrans1D3" presStyleIdx="5" presStyleCnt="6"/>
      <dgm:spPr/>
      <dgm:t>
        <a:bodyPr/>
        <a:lstStyle/>
        <a:p>
          <a:endParaRPr lang="en-AU"/>
        </a:p>
      </dgm:t>
    </dgm:pt>
    <dgm:pt modelId="{3EC2FA3B-B2A5-48D5-B299-DD98F3AA1F2D}" type="pres">
      <dgm:prSet presAssocID="{D451A345-2BF2-43D3-96CD-4F449503705C}" presName="Name30" presStyleCnt="0"/>
      <dgm:spPr/>
      <dgm:t>
        <a:bodyPr/>
        <a:lstStyle/>
        <a:p>
          <a:endParaRPr lang="en-AU"/>
        </a:p>
      </dgm:t>
    </dgm:pt>
    <dgm:pt modelId="{932CB3E0-1829-4AED-9A93-7BE1142878D2}" type="pres">
      <dgm:prSet presAssocID="{D451A345-2BF2-43D3-96CD-4F449503705C}" presName="level2Shape" presStyleLbl="node3" presStyleIdx="5" presStyleCnt="6" custLinFactY="197" custLinFactNeighborX="-1089" custLinFactNeighborY="100000"/>
      <dgm:spPr/>
      <dgm:t>
        <a:bodyPr/>
        <a:lstStyle/>
        <a:p>
          <a:endParaRPr lang="en-AU"/>
        </a:p>
      </dgm:t>
    </dgm:pt>
    <dgm:pt modelId="{CD036085-8800-4835-9094-73A6012F78F6}" type="pres">
      <dgm:prSet presAssocID="{D451A345-2BF2-43D3-96CD-4F449503705C}" presName="hierChild3" presStyleCnt="0"/>
      <dgm:spPr/>
      <dgm:t>
        <a:bodyPr/>
        <a:lstStyle/>
        <a:p>
          <a:endParaRPr lang="en-AU"/>
        </a:p>
      </dgm:t>
    </dgm:pt>
    <dgm:pt modelId="{91C4A373-C1C1-4409-9A4E-954A09F718AF}" type="pres">
      <dgm:prSet presAssocID="{1A81A355-A08B-4A5D-A681-1B373CDA24CF}" presName="bgShapesFlow" presStyleCnt="0"/>
      <dgm:spPr/>
      <dgm:t>
        <a:bodyPr/>
        <a:lstStyle/>
        <a:p>
          <a:endParaRPr lang="en-AU"/>
        </a:p>
      </dgm:t>
    </dgm:pt>
  </dgm:ptLst>
  <dgm:cxnLst>
    <dgm:cxn modelId="{28EB061B-B2B9-4191-807B-05EB7BAC6D30}" srcId="{7A09D59D-B023-41A2-A387-93CCCCEDCC04}" destId="{81AFA1AD-634F-43B2-AD6C-6AF0C3EC2E9D}" srcOrd="1" destOrd="0" parTransId="{BB331EF2-F5AF-4E45-A298-905DC42AD62A}" sibTransId="{4452A863-9F47-40F9-81A1-B34D103372AE}"/>
    <dgm:cxn modelId="{8AC2AAE8-6440-4742-8385-13254F8EA2B4}" type="presOf" srcId="{10EBB0B6-A97E-4573-A118-FC9B4CAB750B}" destId="{D8928978-CA07-4C05-ADBC-DF6F58DB52C3}" srcOrd="0" destOrd="0" presId="urn:microsoft.com/office/officeart/2005/8/layout/hierarchy5"/>
    <dgm:cxn modelId="{B1CBCC37-C740-42F8-A4D0-296F8FC9B929}" type="presOf" srcId="{DCF57280-F9FD-492B-941A-19FA2C2C8138}" destId="{AC1B941B-11EE-4914-B924-7882A9EC33A7}" srcOrd="1" destOrd="0" presId="urn:microsoft.com/office/officeart/2005/8/layout/hierarchy5"/>
    <dgm:cxn modelId="{E046B2DB-1E95-478B-A885-544BD0E497DD}" type="presOf" srcId="{8F765444-7FB8-448F-81C4-AC2DEC01A0AF}" destId="{A8F0775E-0028-4068-9358-ADCDF08D0279}" srcOrd="1" destOrd="0" presId="urn:microsoft.com/office/officeart/2005/8/layout/hierarchy5"/>
    <dgm:cxn modelId="{C8774932-256B-4B2D-9DEF-798E1B11EC6D}" type="presOf" srcId="{42A70311-54DD-422E-ADBD-C4FAB3AF00D4}" destId="{417CE763-226E-421A-A2ED-B13648A6F9B6}" srcOrd="0" destOrd="0" presId="urn:microsoft.com/office/officeart/2005/8/layout/hierarchy5"/>
    <dgm:cxn modelId="{BAD8B89B-287A-4125-95E3-8E0FD35A44C1}" srcId="{1A81A355-A08B-4A5D-A681-1B373CDA24CF}" destId="{08BED413-EF5B-4AF1-809D-45A2FA2D0E93}" srcOrd="0" destOrd="0" parTransId="{58E288F7-002E-4A29-B8D2-41FF714D9FA3}" sibTransId="{992DA58F-CD90-40F5-9492-ACA8863EA224}"/>
    <dgm:cxn modelId="{79E0E77E-83E9-4A80-A4E3-5A9EC7E69C0C}" srcId="{B73A4D79-D610-4619-9822-7F17FEDEC1EF}" destId="{EC82A317-8FE7-4AE3-A1BA-65DA906F756D}" srcOrd="0" destOrd="0" parTransId="{BC5DEE5B-9777-4C47-AA0C-D03402F7C89D}" sibTransId="{62AF0A97-AED4-4333-801A-029D5FFB46E6}"/>
    <dgm:cxn modelId="{E4C49F4E-0CD9-4FCD-9C3D-591EAA94C404}" type="presOf" srcId="{7A09D59D-B023-41A2-A387-93CCCCEDCC04}" destId="{D290BF90-4F32-4016-8A8F-E313C05CE7AC}" srcOrd="0" destOrd="0" presId="urn:microsoft.com/office/officeart/2005/8/layout/hierarchy5"/>
    <dgm:cxn modelId="{F39CB783-7634-4B94-9E93-2518F5BA56A7}" type="presOf" srcId="{5F0A52B8-E0C8-470C-8A70-777EDBE69F50}" destId="{6A8DC63F-8F25-43C5-95BC-A1FFB72D1D85}" srcOrd="1" destOrd="0" presId="urn:microsoft.com/office/officeart/2005/8/layout/hierarchy5"/>
    <dgm:cxn modelId="{21AFE918-C851-46D7-894D-A795E54CFE15}" type="presOf" srcId="{C8C52333-8A90-4C5C-BF84-C9AA4906FA1B}" destId="{C6A8B198-EF3F-496A-A90E-CBADB27B70D5}" srcOrd="0" destOrd="0" presId="urn:microsoft.com/office/officeart/2005/8/layout/hierarchy5"/>
    <dgm:cxn modelId="{BD16FC60-1930-4F57-9BFF-B3F46F9CA458}" type="presOf" srcId="{8B2CB265-D489-4A9D-AAD4-887538F3D5E5}" destId="{004ADAE1-5E6D-40CD-85F5-C9914C499B2B}" srcOrd="0" destOrd="0" presId="urn:microsoft.com/office/officeart/2005/8/layout/hierarchy5"/>
    <dgm:cxn modelId="{F7635F88-617D-46D6-B271-8B4452F6EA37}" type="presOf" srcId="{A2AF0CC2-CE4A-44CE-A00B-F624CCCA61FE}" destId="{CAB301BD-ADCD-43E6-B274-D441FBE12953}" srcOrd="1" destOrd="0" presId="urn:microsoft.com/office/officeart/2005/8/layout/hierarchy5"/>
    <dgm:cxn modelId="{D7A7A8E5-AFF9-42D1-8961-0ABB6BF559C0}" type="presOf" srcId="{DCF57280-F9FD-492B-941A-19FA2C2C8138}" destId="{DE9564A2-42EE-4EBD-86F2-51FDA32BB63A}" srcOrd="0" destOrd="0" presId="urn:microsoft.com/office/officeart/2005/8/layout/hierarchy5"/>
    <dgm:cxn modelId="{80AEB89B-FA05-45B0-BB38-BD047F6F910D}" type="presOf" srcId="{72351A3B-CA4F-46AD-A067-32BAE2663FAE}" destId="{B371E648-3135-4746-899D-54A9997E45A7}" srcOrd="0" destOrd="0" presId="urn:microsoft.com/office/officeart/2005/8/layout/hierarchy5"/>
    <dgm:cxn modelId="{77630FD9-BDE2-4A31-8A64-515F8A05D8F2}" type="presOf" srcId="{B78CE4DF-F17D-44C9-8630-6EFC322266CA}" destId="{66F4DD1F-EEBE-4791-9ACF-62647BE52F1F}" srcOrd="0" destOrd="0" presId="urn:microsoft.com/office/officeart/2005/8/layout/hierarchy5"/>
    <dgm:cxn modelId="{FBC40BDF-7961-4194-A0DC-441B4E3BB424}" type="presOf" srcId="{875B664A-794F-4C94-AEB7-EA4976C00961}" destId="{D931C509-0F57-4529-BF57-FDB0C6AE86B6}" srcOrd="0" destOrd="0" presId="urn:microsoft.com/office/officeart/2005/8/layout/hierarchy5"/>
    <dgm:cxn modelId="{527DB147-F0B0-4726-9D98-E80D4AD284FC}" type="presOf" srcId="{DA57D6B7-48E7-47BA-9520-413E26BE1F86}" destId="{114CA2FF-087D-4CCA-868C-A2D1AC6709F1}" srcOrd="0" destOrd="0" presId="urn:microsoft.com/office/officeart/2005/8/layout/hierarchy5"/>
    <dgm:cxn modelId="{5F6F27B1-B435-4C33-90FD-116C523EFCA0}" type="presOf" srcId="{2C7E14AC-789E-400B-BE5D-F3D6F2B748E0}" destId="{0E88DC31-6D65-43E9-9C20-5FF2346D09BD}" srcOrd="0" destOrd="0" presId="urn:microsoft.com/office/officeart/2005/8/layout/hierarchy5"/>
    <dgm:cxn modelId="{5DA355A5-AD1F-4D87-834C-04A7CED5887A}" srcId="{9FBFFDEB-F4D5-422A-A9B4-B3673B2DBA6E}" destId="{60146B18-7146-4880-AC62-5B408E87CBA3}" srcOrd="1" destOrd="0" parTransId="{332FDED6-CD9E-49CC-AACD-C1BAE00B9156}" sibTransId="{E620B434-3486-4E23-BC49-561D7C0FEEBE}"/>
    <dgm:cxn modelId="{A3D697D9-96B4-4B32-9952-3B633C80AC7E}" type="presOf" srcId="{EC82A317-8FE7-4AE3-A1BA-65DA906F756D}" destId="{A587465A-920E-4954-A298-8146F065C754}" srcOrd="0" destOrd="0" presId="urn:microsoft.com/office/officeart/2005/8/layout/hierarchy5"/>
    <dgm:cxn modelId="{C5DAD90F-7156-42F5-9605-15DB03859609}" type="presOf" srcId="{1BCBE8EF-4B94-488A-8B2D-57B628E2EAE8}" destId="{6EAEEBAD-278B-48E1-A749-7550CE7F5737}" srcOrd="0" destOrd="0" presId="urn:microsoft.com/office/officeart/2005/8/layout/hierarchy5"/>
    <dgm:cxn modelId="{A03BDFAF-4FD4-45AD-8BD9-848AC1187EED}" type="presOf" srcId="{B9493623-8865-4501-BF3B-D7C9D69EFFF1}" destId="{10542345-F55A-45FA-9557-183EEC17BBA2}" srcOrd="0" destOrd="0" presId="urn:microsoft.com/office/officeart/2005/8/layout/hierarchy5"/>
    <dgm:cxn modelId="{0DD4C93A-2B33-4F49-B9C4-C4DD9D0A1134}" type="presOf" srcId="{08BED413-EF5B-4AF1-809D-45A2FA2D0E93}" destId="{BA5B2336-AC11-4855-A94E-5AF90CF28641}" srcOrd="0" destOrd="0" presId="urn:microsoft.com/office/officeart/2005/8/layout/hierarchy5"/>
    <dgm:cxn modelId="{0678AB4B-178A-4D1D-A9F9-C65330471380}" type="presOf" srcId="{B73A4D79-D610-4619-9822-7F17FEDEC1EF}" destId="{2D111339-D58B-4D31-918A-504F61F82AD6}" srcOrd="0" destOrd="0" presId="urn:microsoft.com/office/officeart/2005/8/layout/hierarchy5"/>
    <dgm:cxn modelId="{5EF8F71E-549A-48D7-A0E1-8B783A72D593}" srcId="{B9493623-8865-4501-BF3B-D7C9D69EFFF1}" destId="{B73A4D79-D610-4619-9822-7F17FEDEC1EF}" srcOrd="1" destOrd="0" parTransId="{4918478F-D7A3-4126-A858-ED4AD724A19C}" sibTransId="{56FF8BFF-D891-484D-A160-2B5F9E807D8F}"/>
    <dgm:cxn modelId="{551D34CB-6F8F-48B3-AEE9-DA1BC89D3AB3}" type="presOf" srcId="{77EF115C-9796-473A-A8F7-BC04566CF088}" destId="{9B377034-C2E3-4FB2-BF26-BAE55B85375D}" srcOrd="1" destOrd="0" presId="urn:microsoft.com/office/officeart/2005/8/layout/hierarchy5"/>
    <dgm:cxn modelId="{F8206475-DE28-44F6-B572-1EB4C8A010AC}" type="presOf" srcId="{24F120E7-5E65-4233-9A7A-C96277AFE254}" destId="{C6E4AE76-25F9-44B8-A7B0-8C09C5760714}" srcOrd="0" destOrd="0" presId="urn:microsoft.com/office/officeart/2005/8/layout/hierarchy5"/>
    <dgm:cxn modelId="{767387D3-4B3B-47DE-8109-2519CDD5246F}" type="presOf" srcId="{33FDD9D5-166F-4AC8-9EFE-103FDEC48392}" destId="{FECD328B-D947-4370-A8CB-7CCA71CE1D5C}" srcOrd="0" destOrd="0" presId="urn:microsoft.com/office/officeart/2005/8/layout/hierarchy5"/>
    <dgm:cxn modelId="{79B90581-7F4A-43F7-B0A9-C226EAD388D4}" type="presOf" srcId="{A2AF0CC2-CE4A-44CE-A00B-F624CCCA61FE}" destId="{29452E0A-DEA1-444D-8B10-7DE21E58F3AA}" srcOrd="0" destOrd="0" presId="urn:microsoft.com/office/officeart/2005/8/layout/hierarchy5"/>
    <dgm:cxn modelId="{1AE8A2C9-7F77-4272-AFA7-94760CCBE3BB}" type="presOf" srcId="{BB331EF2-F5AF-4E45-A298-905DC42AD62A}" destId="{870F293D-D118-4EB6-BC47-AC8DCF1AA4CE}" srcOrd="0" destOrd="0" presId="urn:microsoft.com/office/officeart/2005/8/layout/hierarchy5"/>
    <dgm:cxn modelId="{FA50EF65-F3ED-4A0B-959C-FDAC7FAC4223}" srcId="{DA57D6B7-48E7-47BA-9520-413E26BE1F86}" destId="{24F120E7-5E65-4233-9A7A-C96277AFE254}" srcOrd="1" destOrd="0" parTransId="{C8C52333-8A90-4C5C-BF84-C9AA4906FA1B}" sibTransId="{6DB09DEE-2AB0-494E-83E7-4BD9247B21B6}"/>
    <dgm:cxn modelId="{1C6F3B48-22B0-442C-8EDF-31A772C373A7}" type="presOf" srcId="{BB331EF2-F5AF-4E45-A298-905DC42AD62A}" destId="{B98B6C76-0144-4B8A-91E2-080D5B452162}" srcOrd="1" destOrd="0" presId="urn:microsoft.com/office/officeart/2005/8/layout/hierarchy5"/>
    <dgm:cxn modelId="{C3327127-5DD8-4B02-B6D9-FE4C638DE024}" type="presOf" srcId="{4918478F-D7A3-4126-A858-ED4AD724A19C}" destId="{ABE86191-48DC-4857-B8C1-FE4B1B2573E3}" srcOrd="0" destOrd="0" presId="urn:microsoft.com/office/officeart/2005/8/layout/hierarchy5"/>
    <dgm:cxn modelId="{FE9C587C-7320-415C-A6FA-43BDA1CC51A7}" type="presOf" srcId="{1DD64CBB-4A50-41DC-96EA-EB70AFCE00AF}" destId="{8D7C31E9-C3E0-41EE-B20E-2A88ECA12124}" srcOrd="0" destOrd="0" presId="urn:microsoft.com/office/officeart/2005/8/layout/hierarchy5"/>
    <dgm:cxn modelId="{BE0C341D-3029-4FB2-8A83-37563D81C9F0}" type="presOf" srcId="{27C0F39B-42DD-4A98-A74F-AEC5E6192A57}" destId="{90DFE0E2-23E1-4CBF-A0A3-1F890F447F7D}" srcOrd="0" destOrd="0" presId="urn:microsoft.com/office/officeart/2005/8/layout/hierarchy5"/>
    <dgm:cxn modelId="{1A57DD84-2274-4148-83EC-7470725F3B2E}" type="presOf" srcId="{27C0F39B-42DD-4A98-A74F-AEC5E6192A57}" destId="{3C1C5B49-E5A0-4109-87E1-DB1C0665B98C}" srcOrd="1" destOrd="0" presId="urn:microsoft.com/office/officeart/2005/8/layout/hierarchy5"/>
    <dgm:cxn modelId="{D560D95D-9A92-4AC2-B298-C0EF2A5F1095}" type="presOf" srcId="{BC5DEE5B-9777-4C47-AA0C-D03402F7C89D}" destId="{979EF651-D924-40CF-8968-67A002B195D7}" srcOrd="1" destOrd="0" presId="urn:microsoft.com/office/officeart/2005/8/layout/hierarchy5"/>
    <dgm:cxn modelId="{2BF692FC-3CDE-4018-AC81-E4272A39E3C0}" type="presOf" srcId="{3108EA56-0438-4A8E-8C66-EFA7BD63CD56}" destId="{02CFC812-6E0F-4FBA-BBC3-B33E96DFE345}" srcOrd="0" destOrd="0" presId="urn:microsoft.com/office/officeart/2005/8/layout/hierarchy5"/>
    <dgm:cxn modelId="{58FE0647-7573-4DAA-AA89-30AC5D46FD5C}" type="presOf" srcId="{1A81A355-A08B-4A5D-A681-1B373CDA24CF}" destId="{1FFC9314-E0D1-4D26-AD5A-A7F310219F32}" srcOrd="0" destOrd="0" presId="urn:microsoft.com/office/officeart/2005/8/layout/hierarchy5"/>
    <dgm:cxn modelId="{C475ED5A-6194-4697-A556-C1B8B2AC3FA7}" type="presOf" srcId="{BC5DEE5B-9777-4C47-AA0C-D03402F7C89D}" destId="{80346E09-0D6C-4238-A57F-233AE34EFF56}" srcOrd="0" destOrd="0" presId="urn:microsoft.com/office/officeart/2005/8/layout/hierarchy5"/>
    <dgm:cxn modelId="{71FADA43-71F1-4803-8CD2-712A7056CDBF}" type="presOf" srcId="{0FEACB3B-A947-40A3-97AA-728B24ECD229}" destId="{52343FEC-AA8D-4BF5-9E93-7707DB115815}" srcOrd="0" destOrd="0" presId="urn:microsoft.com/office/officeart/2005/8/layout/hierarchy5"/>
    <dgm:cxn modelId="{352FB6CE-9D00-47BF-9A3D-9C2EA5E36C1E}" type="presOf" srcId="{81AFA1AD-634F-43B2-AD6C-6AF0C3EC2E9D}" destId="{25E7662B-18ED-4B5B-9919-9A2A12702B9D}" srcOrd="0" destOrd="0" presId="urn:microsoft.com/office/officeart/2005/8/layout/hierarchy5"/>
    <dgm:cxn modelId="{AC92A3A1-35DB-4E02-929A-E9A039EEA7F2}" type="presOf" srcId="{D451A345-2BF2-43D3-96CD-4F449503705C}" destId="{932CB3E0-1829-4AED-9A93-7BE1142878D2}" srcOrd="0" destOrd="0" presId="urn:microsoft.com/office/officeart/2005/8/layout/hierarchy5"/>
    <dgm:cxn modelId="{334AA4E5-BC73-432B-A7E5-7A3CF78ED0AA}" type="presOf" srcId="{10EBB0B6-A97E-4573-A118-FC9B4CAB750B}" destId="{C3E8BA35-D965-4113-A4A8-A974DDF4F570}" srcOrd="1" destOrd="0" presId="urn:microsoft.com/office/officeart/2005/8/layout/hierarchy5"/>
    <dgm:cxn modelId="{F8D63DD5-45AF-4871-984B-C801B47C2042}" type="presOf" srcId="{60146B18-7146-4880-AC62-5B408E87CBA3}" destId="{F7FF7DE3-1B00-4948-9159-C9A50A6A0476}" srcOrd="0" destOrd="0" presId="urn:microsoft.com/office/officeart/2005/8/layout/hierarchy5"/>
    <dgm:cxn modelId="{73F42F9E-8319-481F-8AFA-D32F13A5CCEA}" srcId="{DA57D6B7-48E7-47BA-9520-413E26BE1F86}" destId="{D451A345-2BF2-43D3-96CD-4F449503705C}" srcOrd="2" destOrd="0" parTransId="{E6ACBB0C-7088-4618-B896-C801C516AA30}" sibTransId="{3301055E-AB15-4D0F-95F8-0CBBE3A1D552}"/>
    <dgm:cxn modelId="{69028818-BA81-4256-8910-B2296752E90C}" type="presOf" srcId="{DF5ABDAF-E91B-4EAD-ADF1-7133E583DC92}" destId="{EC1DD8FD-688C-4E93-89FF-F3B27C362A4B}" srcOrd="0" destOrd="0" presId="urn:microsoft.com/office/officeart/2005/8/layout/hierarchy5"/>
    <dgm:cxn modelId="{F6FAE9DC-15F5-456A-B545-65EB65796DB0}" srcId="{9FBFFDEB-F4D5-422A-A9B4-B3673B2DBA6E}" destId="{3108EA56-0438-4A8E-8C66-EFA7BD63CD56}" srcOrd="2" destOrd="0" parTransId="{8F765444-7FB8-448F-81C4-AC2DEC01A0AF}" sibTransId="{FAB99569-CE09-4B5B-A18A-ED14613DA47B}"/>
    <dgm:cxn modelId="{F7CF5AAD-8714-43B2-9FA6-94CC904AF464}" type="presOf" srcId="{9FBFFDEB-F4D5-422A-A9B4-B3673B2DBA6E}" destId="{C1508B2E-F1E2-4A0D-B325-6FF8E68F662F}" srcOrd="0" destOrd="0" presId="urn:microsoft.com/office/officeart/2005/8/layout/hierarchy5"/>
    <dgm:cxn modelId="{A4F0A5C8-C1C0-4246-91DB-B24F7176497E}" srcId="{08BED413-EF5B-4AF1-809D-45A2FA2D0E93}" destId="{B9493623-8865-4501-BF3B-D7C9D69EFFF1}" srcOrd="0" destOrd="0" parTransId="{A512E62B-C9B4-4604-B76A-E18C8B2F31FD}" sibTransId="{1A192F9E-3115-4B7B-835A-B09929EBAB02}"/>
    <dgm:cxn modelId="{1E320EFC-80C8-4371-AF96-8F28A0615662}" type="presOf" srcId="{87C70866-91FC-4B07-A2E1-7F003996A31D}" destId="{C56A27BC-B4EC-49E2-BC67-551992123AFB}" srcOrd="1" destOrd="0" presId="urn:microsoft.com/office/officeart/2005/8/layout/hierarchy5"/>
    <dgm:cxn modelId="{6A7071A4-A6BF-45DD-85A1-162E7A97072E}" srcId="{B9493623-8865-4501-BF3B-D7C9D69EFFF1}" destId="{7A09D59D-B023-41A2-A387-93CCCCEDCC04}" srcOrd="2" destOrd="0" parTransId="{1BCBE8EF-4B94-488A-8B2D-57B628E2EAE8}" sibTransId="{D0118036-618F-4238-A64E-B32B593E2198}"/>
    <dgm:cxn modelId="{418AC098-3D78-416B-A70C-7CD860019C6A}" type="presOf" srcId="{C8C52333-8A90-4C5C-BF84-C9AA4906FA1B}" destId="{A93E45EB-8AB8-4FC1-BF34-B77FB80B9124}" srcOrd="1" destOrd="0" presId="urn:microsoft.com/office/officeart/2005/8/layout/hierarchy5"/>
    <dgm:cxn modelId="{4CA8B333-806B-4C4E-AE0E-A706BA4939F2}" srcId="{08BED413-EF5B-4AF1-809D-45A2FA2D0E93}" destId="{DA57D6B7-48E7-47BA-9520-413E26BE1F86}" srcOrd="1" destOrd="0" parTransId="{2C7E14AC-789E-400B-BE5D-F3D6F2B748E0}" sibTransId="{D6C904C8-DCFD-4270-8C6B-7E0451639AF4}"/>
    <dgm:cxn modelId="{711B4CE8-EF57-4D68-9A3F-D99690023DDB}" srcId="{181CE218-FDE5-45D6-9BF9-3828F3482521}" destId="{6B4FC7AB-B8F5-4A05-A87A-14B282C351A1}" srcOrd="2" destOrd="0" parTransId="{DCF57280-F9FD-492B-941A-19FA2C2C8138}" sibTransId="{0C73183D-2238-4C82-BC88-ABCA2D31F8CE}"/>
    <dgm:cxn modelId="{3BD9D565-84BC-45DE-8E02-2EB00DA00C2D}" type="presOf" srcId="{E6ACBB0C-7088-4618-B896-C801C516AA30}" destId="{EAFB5BB9-B225-4722-811F-4185776E03B1}" srcOrd="0" destOrd="0" presId="urn:microsoft.com/office/officeart/2005/8/layout/hierarchy5"/>
    <dgm:cxn modelId="{786F4EAA-E018-420E-A240-22B2F1C936D8}" srcId="{DA57D6B7-48E7-47BA-9520-413E26BE1F86}" destId="{8B2CB265-D489-4A9D-AAD4-887538F3D5E5}" srcOrd="0" destOrd="0" parTransId="{8DFD033E-1C7D-4BEB-8E9C-ABF30DD87A95}" sibTransId="{2FEA5AB6-6D9F-4B3A-9C59-DD1CB7578D54}"/>
    <dgm:cxn modelId="{31D14647-05BD-489D-A3C1-106CA75579ED}" type="presOf" srcId="{9ECC1C47-AFB2-42EC-9125-D4AF6B038B19}" destId="{801117D0-30FC-4B1C-8441-CDB82E1D2310}" srcOrd="0" destOrd="0" presId="urn:microsoft.com/office/officeart/2005/8/layout/hierarchy5"/>
    <dgm:cxn modelId="{BED097A7-DF53-4F65-9A1C-4DC135B0BB51}" type="presOf" srcId="{181CE218-FDE5-45D6-9BF9-3828F3482521}" destId="{34069703-A687-4A3A-9882-288D568F4C3A}" srcOrd="0" destOrd="0" presId="urn:microsoft.com/office/officeart/2005/8/layout/hierarchy5"/>
    <dgm:cxn modelId="{2B31C9DA-69A8-485F-A01A-09BED9B552D5}" type="presOf" srcId="{6B4FC7AB-B8F5-4A05-A87A-14B282C351A1}" destId="{2949A10B-E99A-455E-834B-5A1797423AD3}" srcOrd="0" destOrd="0" presId="urn:microsoft.com/office/officeart/2005/8/layout/hierarchy5"/>
    <dgm:cxn modelId="{97155162-B00F-43EC-8340-6CD3B22DE81C}" type="presOf" srcId="{77EF115C-9796-473A-A8F7-BC04566CF088}" destId="{DA3862F4-2803-44FB-8362-FB70B8B3540E}" srcOrd="0" destOrd="0" presId="urn:microsoft.com/office/officeart/2005/8/layout/hierarchy5"/>
    <dgm:cxn modelId="{EC099769-5647-450B-8F1C-0EB4D7DE0F5A}" type="presOf" srcId="{A512E62B-C9B4-4604-B76A-E18C8B2F31FD}" destId="{BE2B20F7-4DC4-4B7E-AAEB-9B28C3E1E3A4}" srcOrd="1" destOrd="0" presId="urn:microsoft.com/office/officeart/2005/8/layout/hierarchy5"/>
    <dgm:cxn modelId="{BDE36E0D-638D-4987-900D-914B9A8FD4EC}" srcId="{B9493623-8865-4501-BF3B-D7C9D69EFFF1}" destId="{7EE0B7FB-9E28-4FFC-B998-175F45EE2739}" srcOrd="0" destOrd="0" parTransId="{10EBB0B6-A97E-4573-A118-FC9B4CAB750B}" sibTransId="{C77033B9-E0BD-4B6E-B308-6D4F856C2CF0}"/>
    <dgm:cxn modelId="{F8C77615-C00F-46AC-9A59-31F30D94D822}" type="presOf" srcId="{8C4F6588-E22C-40EC-B619-ACA17967C22D}" destId="{78008BB3-7250-4CD1-BABC-7C8406C636A6}" srcOrd="1" destOrd="0" presId="urn:microsoft.com/office/officeart/2005/8/layout/hierarchy5"/>
    <dgm:cxn modelId="{E7AABA8B-8E17-41F9-9029-A8A636237116}" type="presOf" srcId="{1DD64CBB-4A50-41DC-96EA-EB70AFCE00AF}" destId="{33FDB367-029F-4BE0-A96E-058E8A137316}" srcOrd="1" destOrd="0" presId="urn:microsoft.com/office/officeart/2005/8/layout/hierarchy5"/>
    <dgm:cxn modelId="{126A284B-4454-4246-8E35-EC2A63889F23}" type="presOf" srcId="{4918478F-D7A3-4126-A858-ED4AD724A19C}" destId="{BB516A11-B309-46E5-8662-525CF7CF8766}" srcOrd="1" destOrd="0" presId="urn:microsoft.com/office/officeart/2005/8/layout/hierarchy5"/>
    <dgm:cxn modelId="{4A59BAD5-0A33-4D43-A764-1BFD4D643BE4}" type="presOf" srcId="{ED41A430-3E9D-414D-B8FA-E525E671AFB2}" destId="{09BD0F80-B05E-4575-B744-037A126F0939}" srcOrd="0" destOrd="0" presId="urn:microsoft.com/office/officeart/2005/8/layout/hierarchy5"/>
    <dgm:cxn modelId="{151F7443-3E62-4503-8FAD-5EFC25D9D647}" srcId="{7EE0B7FB-9E28-4FFC-B998-175F45EE2739}" destId="{181CE218-FDE5-45D6-9BF9-3828F3482521}" srcOrd="0" destOrd="0" parTransId="{33FDD9D5-166F-4AC8-9EFE-103FDEC48392}" sibTransId="{323A573D-94FD-4F91-A53E-D2EE8361AFBF}"/>
    <dgm:cxn modelId="{6C4A7BB1-CF78-43ED-AF9F-77CC4D8C9C79}" srcId="{EC82A317-8FE7-4AE3-A1BA-65DA906F756D}" destId="{42A70311-54DD-422E-ADBD-C4FAB3AF00D4}" srcOrd="2" destOrd="0" parTransId="{8C4F6588-E22C-40EC-B619-ACA17967C22D}" sibTransId="{CB701ABE-FA04-46DC-8700-3BADDCF57595}"/>
    <dgm:cxn modelId="{2FCDFAC1-6E20-4072-AF0F-39637282FC31}" srcId="{9FBFFDEB-F4D5-422A-A9B4-B3673B2DBA6E}" destId="{875B664A-794F-4C94-AEB7-EA4976C00961}" srcOrd="0" destOrd="0" parTransId="{0FEACB3B-A947-40A3-97AA-728B24ECD229}" sibTransId="{BAF79C6A-9C1B-4927-85C1-16001BABD034}"/>
    <dgm:cxn modelId="{845C47B4-0D2B-4EA8-9C0A-DF6381683950}" type="presOf" srcId="{6A96F143-D10F-40F7-A2F6-C388265788A1}" destId="{99326077-B656-4B7A-AB0A-0C5C38597939}" srcOrd="0" destOrd="0" presId="urn:microsoft.com/office/officeart/2005/8/layout/hierarchy5"/>
    <dgm:cxn modelId="{69D25280-0533-47B4-B1B5-3169039AAD60}" type="presOf" srcId="{5F0A52B8-E0C8-470C-8A70-777EDBE69F50}" destId="{812774F8-F848-4EC0-8DB8-26BCBFA53B28}" srcOrd="0" destOrd="0" presId="urn:microsoft.com/office/officeart/2005/8/layout/hierarchy5"/>
    <dgm:cxn modelId="{1C70C292-9D7B-4A72-B6FD-472D0B919506}" srcId="{181CE218-FDE5-45D6-9BF9-3828F3482521}" destId="{ED41A430-3E9D-414D-B8FA-E525E671AFB2}" srcOrd="0" destOrd="0" parTransId="{A2AF0CC2-CE4A-44CE-A00B-F624CCCA61FE}" sibTransId="{840C07F2-115B-4870-BF6C-4732B8CAD334}"/>
    <dgm:cxn modelId="{1EAB0616-EF0E-4FBC-940A-671465FCE496}" type="presOf" srcId="{B2296AC5-921C-4018-B953-888EED88508F}" destId="{EDABB4A0-2E25-4E08-B9B7-9EAFD7F19330}" srcOrd="0" destOrd="0" presId="urn:microsoft.com/office/officeart/2005/8/layout/hierarchy5"/>
    <dgm:cxn modelId="{36A2A7D5-47F4-4AC1-BC14-DDB9A29A9B16}" type="presOf" srcId="{87C70866-91FC-4B07-A2E1-7F003996A31D}" destId="{2B8BEE0C-CE19-4AB9-8BF1-7D734699FF1E}" srcOrd="0" destOrd="0" presId="urn:microsoft.com/office/officeart/2005/8/layout/hierarchy5"/>
    <dgm:cxn modelId="{C5D132DF-5B3E-4480-B8DB-BA7EB4635C74}" type="presOf" srcId="{332FDED6-CD9E-49CC-AACD-C1BAE00B9156}" destId="{62B2F4FE-0946-4796-90D6-08D67923ADF2}" srcOrd="1" destOrd="0" presId="urn:microsoft.com/office/officeart/2005/8/layout/hierarchy5"/>
    <dgm:cxn modelId="{D9C8EAD6-8BFE-4301-92EE-DA05B3B80807}" type="presOf" srcId="{332FDED6-CD9E-49CC-AACD-C1BAE00B9156}" destId="{3B15D8BB-32D8-4C0C-B5A4-15B1E2ED03D9}" srcOrd="0" destOrd="0" presId="urn:microsoft.com/office/officeart/2005/8/layout/hierarchy5"/>
    <dgm:cxn modelId="{3D6A8920-B32B-4F1B-8BBA-D1052AA05E6E}" srcId="{B73A4D79-D610-4619-9822-7F17FEDEC1EF}" destId="{B2296AC5-921C-4018-B953-888EED88508F}" srcOrd="1" destOrd="0" parTransId="{87C70866-91FC-4B07-A2E1-7F003996A31D}" sibTransId="{69D7F6E6-5952-4A3D-8C3A-50934297BD9C}"/>
    <dgm:cxn modelId="{0826193E-0423-48BD-A667-2F8785D1C609}" type="presOf" srcId="{7EE0B7FB-9E28-4FFC-B998-175F45EE2739}" destId="{02AB7DDD-D2FE-41E5-A94D-2D75FE68EF1E}" srcOrd="0" destOrd="0" presId="urn:microsoft.com/office/officeart/2005/8/layout/hierarchy5"/>
    <dgm:cxn modelId="{F420D2CE-EC57-46E3-BA66-5D1C658B0FB2}" type="presOf" srcId="{8F765444-7FB8-448F-81C4-AC2DEC01A0AF}" destId="{085C8FA5-E351-482C-AC74-D2E4979F5CC5}" srcOrd="0" destOrd="0" presId="urn:microsoft.com/office/officeart/2005/8/layout/hierarchy5"/>
    <dgm:cxn modelId="{D44658B4-7AE9-47CC-BDD0-256CD60EC912}" type="presOf" srcId="{A512E62B-C9B4-4604-B76A-E18C8B2F31FD}" destId="{B44AFB69-4BDF-47F6-80A1-234DAB0752F2}" srcOrd="0" destOrd="0" presId="urn:microsoft.com/office/officeart/2005/8/layout/hierarchy5"/>
    <dgm:cxn modelId="{5355D994-581B-4C80-9507-8625A4E8A73C}" type="presOf" srcId="{2C7E14AC-789E-400B-BE5D-F3D6F2B748E0}" destId="{5B55226A-23ED-4672-917A-6F862247AF97}" srcOrd="1" destOrd="0" presId="urn:microsoft.com/office/officeart/2005/8/layout/hierarchy5"/>
    <dgm:cxn modelId="{FE14600E-5423-4D08-A683-37A3FCC3643E}" type="presOf" srcId="{0FEACB3B-A947-40A3-97AA-728B24ECD229}" destId="{5B163344-A3E7-4BB9-AD7B-EB14991B4C9C}" srcOrd="1" destOrd="0" presId="urn:microsoft.com/office/officeart/2005/8/layout/hierarchy5"/>
    <dgm:cxn modelId="{E81B67CF-EC6A-4463-9B7C-291EE5AFDF7B}" srcId="{EC82A317-8FE7-4AE3-A1BA-65DA906F756D}" destId="{DF5ABDAF-E91B-4EAD-ADF1-7133E583DC92}" srcOrd="0" destOrd="0" parTransId="{1DD64CBB-4A50-41DC-96EA-EB70AFCE00AF}" sibTransId="{4ECA505D-4782-434A-8E60-067E2172AB36}"/>
    <dgm:cxn modelId="{03A06303-8F78-4BC8-BA4E-7A6068E261A0}" type="presOf" srcId="{B78CE4DF-F17D-44C9-8630-6EFC322266CA}" destId="{648F6D1A-92CC-4E5D-812E-6477BE777E8E}" srcOrd="1" destOrd="0" presId="urn:microsoft.com/office/officeart/2005/8/layout/hierarchy5"/>
    <dgm:cxn modelId="{C1582766-3B1F-466F-9CA6-9D064CFF8386}" srcId="{EC82A317-8FE7-4AE3-A1BA-65DA906F756D}" destId="{72351A3B-CA4F-46AD-A067-32BAE2663FAE}" srcOrd="1" destOrd="0" parTransId="{77EF115C-9796-473A-A8F7-BC04566CF088}" sibTransId="{9D02BA86-3126-4934-A823-2D7FC82F55E7}"/>
    <dgm:cxn modelId="{6A871F89-02BF-4B79-AD3C-88E5946FC63A}" srcId="{181CE218-FDE5-45D6-9BF9-3828F3482521}" destId="{9ECC1C47-AFB2-42EC-9125-D4AF6B038B19}" srcOrd="1" destOrd="0" parTransId="{5F0A52B8-E0C8-470C-8A70-777EDBE69F50}" sibTransId="{8D983F15-1592-4455-8A55-38799B7B2469}"/>
    <dgm:cxn modelId="{17489B7E-88A0-4861-8FE9-834AF91E5AD3}" type="presOf" srcId="{33FDD9D5-166F-4AC8-9EFE-103FDEC48392}" destId="{D9BB9416-5BFF-4C75-BF81-C806944E6D6E}" srcOrd="1" destOrd="0" presId="urn:microsoft.com/office/officeart/2005/8/layout/hierarchy5"/>
    <dgm:cxn modelId="{AFC1E5D8-5526-4F6A-B7C5-139566A218C6}" type="presOf" srcId="{8DFD033E-1C7D-4BEB-8E9C-ABF30DD87A95}" destId="{9557F60B-3F99-4495-9680-25B96D6D2685}" srcOrd="0" destOrd="0" presId="urn:microsoft.com/office/officeart/2005/8/layout/hierarchy5"/>
    <dgm:cxn modelId="{0DB102C6-5F10-45A3-B7D3-4D7445E4A998}" srcId="{7EE0B7FB-9E28-4FFC-B998-175F45EE2739}" destId="{6A96F143-D10F-40F7-A2F6-C388265788A1}" srcOrd="1" destOrd="0" parTransId="{B78CE4DF-F17D-44C9-8630-6EFC322266CA}" sibTransId="{CF363263-B9B3-4DFA-A477-DBCA8638F3B1}"/>
    <dgm:cxn modelId="{1E3BE82F-5774-404A-9312-399002E22702}" type="presOf" srcId="{8C4F6588-E22C-40EC-B619-ACA17967C22D}" destId="{7815704F-21B9-4D20-8109-94191230A9CB}" srcOrd="0" destOrd="0" presId="urn:microsoft.com/office/officeart/2005/8/layout/hierarchy5"/>
    <dgm:cxn modelId="{D0DFB769-7319-41B3-9278-45B77B0C3833}" type="presOf" srcId="{1BCBE8EF-4B94-488A-8B2D-57B628E2EAE8}" destId="{50138C9B-0159-44C9-B8DB-1A259CDD7DF9}" srcOrd="1" destOrd="0" presId="urn:microsoft.com/office/officeart/2005/8/layout/hierarchy5"/>
    <dgm:cxn modelId="{C8BE1D44-133D-4E96-9C34-F9DC29C31D42}" srcId="{7A09D59D-B023-41A2-A387-93CCCCEDCC04}" destId="{9FBFFDEB-F4D5-422A-A9B4-B3673B2DBA6E}" srcOrd="0" destOrd="0" parTransId="{27C0F39B-42DD-4A98-A74F-AEC5E6192A57}" sibTransId="{EBED2320-7C92-4161-B54F-8D9D46DD5847}"/>
    <dgm:cxn modelId="{572C5091-809C-4D9C-84BF-3D21C394F2B9}" type="presOf" srcId="{E6ACBB0C-7088-4618-B896-C801C516AA30}" destId="{C5D6D3BB-B188-4544-81B1-8BDD98142745}" srcOrd="1" destOrd="0" presId="urn:microsoft.com/office/officeart/2005/8/layout/hierarchy5"/>
    <dgm:cxn modelId="{5ACEEBBD-7EFA-4F40-AA67-A5C6D9543E7D}" type="presOf" srcId="{8DFD033E-1C7D-4BEB-8E9C-ABF30DD87A95}" destId="{2DA3BB91-2E9E-417F-85BC-BC4458796466}" srcOrd="1" destOrd="0" presId="urn:microsoft.com/office/officeart/2005/8/layout/hierarchy5"/>
    <dgm:cxn modelId="{A934612C-A10A-4D56-B7C8-037AED42341F}" type="presParOf" srcId="{1FFC9314-E0D1-4D26-AD5A-A7F310219F32}" destId="{687143A1-7BB4-470B-9227-00A1FEC197A6}" srcOrd="0" destOrd="0" presId="urn:microsoft.com/office/officeart/2005/8/layout/hierarchy5"/>
    <dgm:cxn modelId="{E2B3F4BF-A264-4E92-960B-634481900179}" type="presParOf" srcId="{687143A1-7BB4-470B-9227-00A1FEC197A6}" destId="{37E12A99-D969-4669-B803-7F281906B6FD}" srcOrd="0" destOrd="0" presId="urn:microsoft.com/office/officeart/2005/8/layout/hierarchy5"/>
    <dgm:cxn modelId="{5D55A0C5-A8A2-4887-8037-7A815CED9862}" type="presParOf" srcId="{37E12A99-D969-4669-B803-7F281906B6FD}" destId="{D6BC240F-E7B8-4498-92D8-021288744B5B}" srcOrd="0" destOrd="0" presId="urn:microsoft.com/office/officeart/2005/8/layout/hierarchy5"/>
    <dgm:cxn modelId="{393AAE19-E42F-48A2-8CF4-1E3F51EE17E1}" type="presParOf" srcId="{D6BC240F-E7B8-4498-92D8-021288744B5B}" destId="{BA5B2336-AC11-4855-A94E-5AF90CF28641}" srcOrd="0" destOrd="0" presId="urn:microsoft.com/office/officeart/2005/8/layout/hierarchy5"/>
    <dgm:cxn modelId="{D6A50456-681B-478F-9731-6922B6611220}" type="presParOf" srcId="{D6BC240F-E7B8-4498-92D8-021288744B5B}" destId="{57E84DD7-489B-4024-B17C-0BFF5644CF2D}" srcOrd="1" destOrd="0" presId="urn:microsoft.com/office/officeart/2005/8/layout/hierarchy5"/>
    <dgm:cxn modelId="{AA48C4CA-6DA4-4AA0-8C2B-98FAEC701DF0}" type="presParOf" srcId="{57E84DD7-489B-4024-B17C-0BFF5644CF2D}" destId="{B44AFB69-4BDF-47F6-80A1-234DAB0752F2}" srcOrd="0" destOrd="0" presId="urn:microsoft.com/office/officeart/2005/8/layout/hierarchy5"/>
    <dgm:cxn modelId="{2CC585EA-62FF-4135-BDFE-BBB75BFDBB9C}" type="presParOf" srcId="{B44AFB69-4BDF-47F6-80A1-234DAB0752F2}" destId="{BE2B20F7-4DC4-4B7E-AAEB-9B28C3E1E3A4}" srcOrd="0" destOrd="0" presId="urn:microsoft.com/office/officeart/2005/8/layout/hierarchy5"/>
    <dgm:cxn modelId="{A6B8DD3E-0E77-48CA-AACD-3B798A284F5B}" type="presParOf" srcId="{57E84DD7-489B-4024-B17C-0BFF5644CF2D}" destId="{1F58DC2B-6DFB-4CE8-B977-CB62F590BBF1}" srcOrd="1" destOrd="0" presId="urn:microsoft.com/office/officeart/2005/8/layout/hierarchy5"/>
    <dgm:cxn modelId="{96BEA78D-F380-4956-8A4F-E2E6DA300F57}" type="presParOf" srcId="{1F58DC2B-6DFB-4CE8-B977-CB62F590BBF1}" destId="{10542345-F55A-45FA-9557-183EEC17BBA2}" srcOrd="0" destOrd="0" presId="urn:microsoft.com/office/officeart/2005/8/layout/hierarchy5"/>
    <dgm:cxn modelId="{7C45A304-5C18-4A5D-875C-5138F660CF5F}" type="presParOf" srcId="{1F58DC2B-6DFB-4CE8-B977-CB62F590BBF1}" destId="{0CDA59B7-EE96-4773-86FF-F072D9D6E2B6}" srcOrd="1" destOrd="0" presId="urn:microsoft.com/office/officeart/2005/8/layout/hierarchy5"/>
    <dgm:cxn modelId="{28512D36-3487-4A95-AE0C-463E4122C414}" type="presParOf" srcId="{0CDA59B7-EE96-4773-86FF-F072D9D6E2B6}" destId="{D8928978-CA07-4C05-ADBC-DF6F58DB52C3}" srcOrd="0" destOrd="0" presId="urn:microsoft.com/office/officeart/2005/8/layout/hierarchy5"/>
    <dgm:cxn modelId="{75DCEA17-97F5-4527-8D17-95B1087ABD1E}" type="presParOf" srcId="{D8928978-CA07-4C05-ADBC-DF6F58DB52C3}" destId="{C3E8BA35-D965-4113-A4A8-A974DDF4F570}" srcOrd="0" destOrd="0" presId="urn:microsoft.com/office/officeart/2005/8/layout/hierarchy5"/>
    <dgm:cxn modelId="{17FC4771-731E-414B-9C95-9A3D20786E15}" type="presParOf" srcId="{0CDA59B7-EE96-4773-86FF-F072D9D6E2B6}" destId="{3584C342-11E3-4EC8-BCDA-662EE1D1CB79}" srcOrd="1" destOrd="0" presId="urn:microsoft.com/office/officeart/2005/8/layout/hierarchy5"/>
    <dgm:cxn modelId="{4B73F95D-36EA-408E-8C75-B4CDB8530F39}" type="presParOf" srcId="{3584C342-11E3-4EC8-BCDA-662EE1D1CB79}" destId="{02AB7DDD-D2FE-41E5-A94D-2D75FE68EF1E}" srcOrd="0" destOrd="0" presId="urn:microsoft.com/office/officeart/2005/8/layout/hierarchy5"/>
    <dgm:cxn modelId="{EB27188E-B9D9-4E07-AF2B-A8C0E931AFEB}" type="presParOf" srcId="{3584C342-11E3-4EC8-BCDA-662EE1D1CB79}" destId="{1B360FC1-C7AC-4565-854F-386E495A9161}" srcOrd="1" destOrd="0" presId="urn:microsoft.com/office/officeart/2005/8/layout/hierarchy5"/>
    <dgm:cxn modelId="{12A838AB-E0E6-4BAC-B468-3BC2FA18F810}" type="presParOf" srcId="{1B360FC1-C7AC-4565-854F-386E495A9161}" destId="{FECD328B-D947-4370-A8CB-7CCA71CE1D5C}" srcOrd="0" destOrd="0" presId="urn:microsoft.com/office/officeart/2005/8/layout/hierarchy5"/>
    <dgm:cxn modelId="{484ABD92-EFE7-43F1-BDCB-01B466D8FC56}" type="presParOf" srcId="{FECD328B-D947-4370-A8CB-7CCA71CE1D5C}" destId="{D9BB9416-5BFF-4C75-BF81-C806944E6D6E}" srcOrd="0" destOrd="0" presId="urn:microsoft.com/office/officeart/2005/8/layout/hierarchy5"/>
    <dgm:cxn modelId="{1F84A17F-79EB-4C1D-BFAB-5EB3488578D5}" type="presParOf" srcId="{1B360FC1-C7AC-4565-854F-386E495A9161}" destId="{CDB7DC47-82F5-4BDF-BDBF-E75868C5B00E}" srcOrd="1" destOrd="0" presId="urn:microsoft.com/office/officeart/2005/8/layout/hierarchy5"/>
    <dgm:cxn modelId="{D66940B4-3324-4820-9DE9-B352938644C5}" type="presParOf" srcId="{CDB7DC47-82F5-4BDF-BDBF-E75868C5B00E}" destId="{34069703-A687-4A3A-9882-288D568F4C3A}" srcOrd="0" destOrd="0" presId="urn:microsoft.com/office/officeart/2005/8/layout/hierarchy5"/>
    <dgm:cxn modelId="{E6A8EF1D-5B80-4EE4-B217-BE2F07D39E5B}" type="presParOf" srcId="{CDB7DC47-82F5-4BDF-BDBF-E75868C5B00E}" destId="{8C34EB5E-2248-43BA-B426-87744C44F85B}" srcOrd="1" destOrd="0" presId="urn:microsoft.com/office/officeart/2005/8/layout/hierarchy5"/>
    <dgm:cxn modelId="{AFCCC0E1-4E51-462C-A0C5-1A133005D336}" type="presParOf" srcId="{8C34EB5E-2248-43BA-B426-87744C44F85B}" destId="{29452E0A-DEA1-444D-8B10-7DE21E58F3AA}" srcOrd="0" destOrd="0" presId="urn:microsoft.com/office/officeart/2005/8/layout/hierarchy5"/>
    <dgm:cxn modelId="{AC4F0900-6BA7-427F-AAE9-1EED41F7A440}" type="presParOf" srcId="{29452E0A-DEA1-444D-8B10-7DE21E58F3AA}" destId="{CAB301BD-ADCD-43E6-B274-D441FBE12953}" srcOrd="0" destOrd="0" presId="urn:microsoft.com/office/officeart/2005/8/layout/hierarchy5"/>
    <dgm:cxn modelId="{7F09F6AC-F8DA-450F-95D3-E01C7358802A}" type="presParOf" srcId="{8C34EB5E-2248-43BA-B426-87744C44F85B}" destId="{2C3580EE-5E8A-4066-87B0-41E91886E07C}" srcOrd="1" destOrd="0" presId="urn:microsoft.com/office/officeart/2005/8/layout/hierarchy5"/>
    <dgm:cxn modelId="{538FA9A6-3736-4AE8-8A80-8A8749520CD5}" type="presParOf" srcId="{2C3580EE-5E8A-4066-87B0-41E91886E07C}" destId="{09BD0F80-B05E-4575-B744-037A126F0939}" srcOrd="0" destOrd="0" presId="urn:microsoft.com/office/officeart/2005/8/layout/hierarchy5"/>
    <dgm:cxn modelId="{4F0A2930-4565-468F-8F24-75CBF43B10BF}" type="presParOf" srcId="{2C3580EE-5E8A-4066-87B0-41E91886E07C}" destId="{301517C0-3504-4409-842C-C882CE41623A}" srcOrd="1" destOrd="0" presId="urn:microsoft.com/office/officeart/2005/8/layout/hierarchy5"/>
    <dgm:cxn modelId="{034EC7B0-676A-4F12-B485-47224BE2E7ED}" type="presParOf" srcId="{8C34EB5E-2248-43BA-B426-87744C44F85B}" destId="{812774F8-F848-4EC0-8DB8-26BCBFA53B28}" srcOrd="2" destOrd="0" presId="urn:microsoft.com/office/officeart/2005/8/layout/hierarchy5"/>
    <dgm:cxn modelId="{1F78400A-0D5B-4373-B68B-BEA4030F8EDC}" type="presParOf" srcId="{812774F8-F848-4EC0-8DB8-26BCBFA53B28}" destId="{6A8DC63F-8F25-43C5-95BC-A1FFB72D1D85}" srcOrd="0" destOrd="0" presId="urn:microsoft.com/office/officeart/2005/8/layout/hierarchy5"/>
    <dgm:cxn modelId="{98493DCB-EDDA-4D84-9031-AEBCD7890F5F}" type="presParOf" srcId="{8C34EB5E-2248-43BA-B426-87744C44F85B}" destId="{2AA59832-7871-426D-BA5D-DB44EA26FADC}" srcOrd="3" destOrd="0" presId="urn:microsoft.com/office/officeart/2005/8/layout/hierarchy5"/>
    <dgm:cxn modelId="{3F4025D0-6C2A-4413-AB40-C97AEF1C7D9A}" type="presParOf" srcId="{2AA59832-7871-426D-BA5D-DB44EA26FADC}" destId="{801117D0-30FC-4B1C-8441-CDB82E1D2310}" srcOrd="0" destOrd="0" presId="urn:microsoft.com/office/officeart/2005/8/layout/hierarchy5"/>
    <dgm:cxn modelId="{CA40EA29-53BC-4589-898D-FCDA6F8B96F1}" type="presParOf" srcId="{2AA59832-7871-426D-BA5D-DB44EA26FADC}" destId="{790F1D6C-ACFE-4DD7-8AEE-1BD9171E45DB}" srcOrd="1" destOrd="0" presId="urn:microsoft.com/office/officeart/2005/8/layout/hierarchy5"/>
    <dgm:cxn modelId="{DADE0213-D753-4C2F-B13F-83FFC2F6C7A5}" type="presParOf" srcId="{8C34EB5E-2248-43BA-B426-87744C44F85B}" destId="{DE9564A2-42EE-4EBD-86F2-51FDA32BB63A}" srcOrd="4" destOrd="0" presId="urn:microsoft.com/office/officeart/2005/8/layout/hierarchy5"/>
    <dgm:cxn modelId="{C23CE3AB-4A02-4694-9698-6BA703C3E35C}" type="presParOf" srcId="{DE9564A2-42EE-4EBD-86F2-51FDA32BB63A}" destId="{AC1B941B-11EE-4914-B924-7882A9EC33A7}" srcOrd="0" destOrd="0" presId="urn:microsoft.com/office/officeart/2005/8/layout/hierarchy5"/>
    <dgm:cxn modelId="{E2470E06-A52F-402A-BC19-3F93DD2C85C9}" type="presParOf" srcId="{8C34EB5E-2248-43BA-B426-87744C44F85B}" destId="{AA34BD37-D70A-4130-A0C9-D1A666925CCC}" srcOrd="5" destOrd="0" presId="urn:microsoft.com/office/officeart/2005/8/layout/hierarchy5"/>
    <dgm:cxn modelId="{3B276C45-84E7-4B6A-BF79-35D0F50EFAE2}" type="presParOf" srcId="{AA34BD37-D70A-4130-A0C9-D1A666925CCC}" destId="{2949A10B-E99A-455E-834B-5A1797423AD3}" srcOrd="0" destOrd="0" presId="urn:microsoft.com/office/officeart/2005/8/layout/hierarchy5"/>
    <dgm:cxn modelId="{7E85B48F-CCCC-4318-BDF5-D9FD1BDB2E93}" type="presParOf" srcId="{AA34BD37-D70A-4130-A0C9-D1A666925CCC}" destId="{A28C3209-0154-41AA-8825-BFBBFBE44B83}" srcOrd="1" destOrd="0" presId="urn:microsoft.com/office/officeart/2005/8/layout/hierarchy5"/>
    <dgm:cxn modelId="{294B30EE-3164-4528-B6AE-8B989A96345E}" type="presParOf" srcId="{1B360FC1-C7AC-4565-854F-386E495A9161}" destId="{66F4DD1F-EEBE-4791-9ACF-62647BE52F1F}" srcOrd="2" destOrd="0" presId="urn:microsoft.com/office/officeart/2005/8/layout/hierarchy5"/>
    <dgm:cxn modelId="{DF8680BE-9306-48BC-BF1C-FF1B04567524}" type="presParOf" srcId="{66F4DD1F-EEBE-4791-9ACF-62647BE52F1F}" destId="{648F6D1A-92CC-4E5D-812E-6477BE777E8E}" srcOrd="0" destOrd="0" presId="urn:microsoft.com/office/officeart/2005/8/layout/hierarchy5"/>
    <dgm:cxn modelId="{1ECDB2F2-F2CF-4FF1-AB54-70D20227762F}" type="presParOf" srcId="{1B360FC1-C7AC-4565-854F-386E495A9161}" destId="{D49C4C43-C7EB-4A20-8B3A-DF747B535FED}" srcOrd="3" destOrd="0" presId="urn:microsoft.com/office/officeart/2005/8/layout/hierarchy5"/>
    <dgm:cxn modelId="{ADB4FF66-6B9F-43BA-B031-8781ABAC85CA}" type="presParOf" srcId="{D49C4C43-C7EB-4A20-8B3A-DF747B535FED}" destId="{99326077-B656-4B7A-AB0A-0C5C38597939}" srcOrd="0" destOrd="0" presId="urn:microsoft.com/office/officeart/2005/8/layout/hierarchy5"/>
    <dgm:cxn modelId="{79CFA714-57AF-404C-B653-1EF1E083EC2A}" type="presParOf" srcId="{D49C4C43-C7EB-4A20-8B3A-DF747B535FED}" destId="{F9F9BA09-E361-4414-B7FF-2E148B9E50AE}" srcOrd="1" destOrd="0" presId="urn:microsoft.com/office/officeart/2005/8/layout/hierarchy5"/>
    <dgm:cxn modelId="{11061174-00F0-45CD-A060-B9AA71DA9FAA}" type="presParOf" srcId="{0CDA59B7-EE96-4773-86FF-F072D9D6E2B6}" destId="{ABE86191-48DC-4857-B8C1-FE4B1B2573E3}" srcOrd="2" destOrd="0" presId="urn:microsoft.com/office/officeart/2005/8/layout/hierarchy5"/>
    <dgm:cxn modelId="{DBA9A716-1D54-4CB0-B0F8-4A60B5A5AECE}" type="presParOf" srcId="{ABE86191-48DC-4857-B8C1-FE4B1B2573E3}" destId="{BB516A11-B309-46E5-8662-525CF7CF8766}" srcOrd="0" destOrd="0" presId="urn:microsoft.com/office/officeart/2005/8/layout/hierarchy5"/>
    <dgm:cxn modelId="{F1FB9DA0-784D-446E-A738-7588A1E5E9D5}" type="presParOf" srcId="{0CDA59B7-EE96-4773-86FF-F072D9D6E2B6}" destId="{8F5E04EC-D139-477E-A50E-831369B915EE}" srcOrd="3" destOrd="0" presId="urn:microsoft.com/office/officeart/2005/8/layout/hierarchy5"/>
    <dgm:cxn modelId="{BA121DF2-7051-4F16-8768-B40496664FCD}" type="presParOf" srcId="{8F5E04EC-D139-477E-A50E-831369B915EE}" destId="{2D111339-D58B-4D31-918A-504F61F82AD6}" srcOrd="0" destOrd="0" presId="urn:microsoft.com/office/officeart/2005/8/layout/hierarchy5"/>
    <dgm:cxn modelId="{31933062-2780-4D2D-A502-B491F945754E}" type="presParOf" srcId="{8F5E04EC-D139-477E-A50E-831369B915EE}" destId="{AA14474E-F7ED-4DC0-A278-1220C2758AE6}" srcOrd="1" destOrd="0" presId="urn:microsoft.com/office/officeart/2005/8/layout/hierarchy5"/>
    <dgm:cxn modelId="{8581F793-3163-4EB8-8816-BC6040BF96D3}" type="presParOf" srcId="{AA14474E-F7ED-4DC0-A278-1220C2758AE6}" destId="{80346E09-0D6C-4238-A57F-233AE34EFF56}" srcOrd="0" destOrd="0" presId="urn:microsoft.com/office/officeart/2005/8/layout/hierarchy5"/>
    <dgm:cxn modelId="{72384A9D-84E7-4663-9BB9-0A8C535D2D5A}" type="presParOf" srcId="{80346E09-0D6C-4238-A57F-233AE34EFF56}" destId="{979EF651-D924-40CF-8968-67A002B195D7}" srcOrd="0" destOrd="0" presId="urn:microsoft.com/office/officeart/2005/8/layout/hierarchy5"/>
    <dgm:cxn modelId="{B3264307-43E9-4B7F-967A-718ED068639A}" type="presParOf" srcId="{AA14474E-F7ED-4DC0-A278-1220C2758AE6}" destId="{DECB7C98-7D4E-41E0-B049-36B08CF8C032}" srcOrd="1" destOrd="0" presId="urn:microsoft.com/office/officeart/2005/8/layout/hierarchy5"/>
    <dgm:cxn modelId="{723F50AD-69AB-4E0D-8669-799E3A1E398C}" type="presParOf" srcId="{DECB7C98-7D4E-41E0-B049-36B08CF8C032}" destId="{A587465A-920E-4954-A298-8146F065C754}" srcOrd="0" destOrd="0" presId="urn:microsoft.com/office/officeart/2005/8/layout/hierarchy5"/>
    <dgm:cxn modelId="{8C137BEB-CE53-458B-8BAA-77F68CE4B803}" type="presParOf" srcId="{DECB7C98-7D4E-41E0-B049-36B08CF8C032}" destId="{8E1F29B2-1D8E-466D-A610-E588FE199CB8}" srcOrd="1" destOrd="0" presId="urn:microsoft.com/office/officeart/2005/8/layout/hierarchy5"/>
    <dgm:cxn modelId="{1F241012-BB97-48B8-8745-16D5C16C8FD0}" type="presParOf" srcId="{8E1F29B2-1D8E-466D-A610-E588FE199CB8}" destId="{8D7C31E9-C3E0-41EE-B20E-2A88ECA12124}" srcOrd="0" destOrd="0" presId="urn:microsoft.com/office/officeart/2005/8/layout/hierarchy5"/>
    <dgm:cxn modelId="{6FA84F21-1EF9-437A-B3F3-BAF1DE01BB87}" type="presParOf" srcId="{8D7C31E9-C3E0-41EE-B20E-2A88ECA12124}" destId="{33FDB367-029F-4BE0-A96E-058E8A137316}" srcOrd="0" destOrd="0" presId="urn:microsoft.com/office/officeart/2005/8/layout/hierarchy5"/>
    <dgm:cxn modelId="{E08B25D8-7E21-4C4E-A9CE-E6F1AE2FF2E0}" type="presParOf" srcId="{8E1F29B2-1D8E-466D-A610-E588FE199CB8}" destId="{8571F01C-C251-4CCC-8D81-5C647C69FC94}" srcOrd="1" destOrd="0" presId="urn:microsoft.com/office/officeart/2005/8/layout/hierarchy5"/>
    <dgm:cxn modelId="{9E10E1FC-86D2-4FA2-A371-2B19292F5AAA}" type="presParOf" srcId="{8571F01C-C251-4CCC-8D81-5C647C69FC94}" destId="{EC1DD8FD-688C-4E93-89FF-F3B27C362A4B}" srcOrd="0" destOrd="0" presId="urn:microsoft.com/office/officeart/2005/8/layout/hierarchy5"/>
    <dgm:cxn modelId="{5E1A0F4D-6EAF-4CC7-9F08-CC547D6E9B93}" type="presParOf" srcId="{8571F01C-C251-4CCC-8D81-5C647C69FC94}" destId="{FE5F6AC6-E1D1-4658-98CE-06240C9B7D1F}" srcOrd="1" destOrd="0" presId="urn:microsoft.com/office/officeart/2005/8/layout/hierarchy5"/>
    <dgm:cxn modelId="{396246C0-032A-46E7-A484-6DB8F19A9B00}" type="presParOf" srcId="{8E1F29B2-1D8E-466D-A610-E588FE199CB8}" destId="{DA3862F4-2803-44FB-8362-FB70B8B3540E}" srcOrd="2" destOrd="0" presId="urn:microsoft.com/office/officeart/2005/8/layout/hierarchy5"/>
    <dgm:cxn modelId="{4E07493B-6733-4A11-B71E-6EDDBE9B56DD}" type="presParOf" srcId="{DA3862F4-2803-44FB-8362-FB70B8B3540E}" destId="{9B377034-C2E3-4FB2-BF26-BAE55B85375D}" srcOrd="0" destOrd="0" presId="urn:microsoft.com/office/officeart/2005/8/layout/hierarchy5"/>
    <dgm:cxn modelId="{EB09C8C2-F47A-4427-A984-33E14A9FDE25}" type="presParOf" srcId="{8E1F29B2-1D8E-466D-A610-E588FE199CB8}" destId="{F5DD80D8-0CE9-4DE7-AF61-5B5CEECFB6C2}" srcOrd="3" destOrd="0" presId="urn:microsoft.com/office/officeart/2005/8/layout/hierarchy5"/>
    <dgm:cxn modelId="{37BD16A8-97FC-4D19-A1D2-50425C6EE2D0}" type="presParOf" srcId="{F5DD80D8-0CE9-4DE7-AF61-5B5CEECFB6C2}" destId="{B371E648-3135-4746-899D-54A9997E45A7}" srcOrd="0" destOrd="0" presId="urn:microsoft.com/office/officeart/2005/8/layout/hierarchy5"/>
    <dgm:cxn modelId="{9D379EB2-3F4C-40A9-875B-89DAF89CCC36}" type="presParOf" srcId="{F5DD80D8-0CE9-4DE7-AF61-5B5CEECFB6C2}" destId="{1427B5F4-692B-46A0-846D-269D9231D810}" srcOrd="1" destOrd="0" presId="urn:microsoft.com/office/officeart/2005/8/layout/hierarchy5"/>
    <dgm:cxn modelId="{D9E3A87B-76C9-45A2-82CD-84B42F1A56FC}" type="presParOf" srcId="{8E1F29B2-1D8E-466D-A610-E588FE199CB8}" destId="{7815704F-21B9-4D20-8109-94191230A9CB}" srcOrd="4" destOrd="0" presId="urn:microsoft.com/office/officeart/2005/8/layout/hierarchy5"/>
    <dgm:cxn modelId="{1C68E93A-DB46-4C95-A6AD-A72E22A283F4}" type="presParOf" srcId="{7815704F-21B9-4D20-8109-94191230A9CB}" destId="{78008BB3-7250-4CD1-BABC-7C8406C636A6}" srcOrd="0" destOrd="0" presId="urn:microsoft.com/office/officeart/2005/8/layout/hierarchy5"/>
    <dgm:cxn modelId="{569D5C25-ED79-453D-9D89-B314ED908D16}" type="presParOf" srcId="{8E1F29B2-1D8E-466D-A610-E588FE199CB8}" destId="{AAE9C2E5-12D5-4D72-8264-435F89C893FA}" srcOrd="5" destOrd="0" presId="urn:microsoft.com/office/officeart/2005/8/layout/hierarchy5"/>
    <dgm:cxn modelId="{03C90C6A-94D8-47E6-82F3-D8392415AB0F}" type="presParOf" srcId="{AAE9C2E5-12D5-4D72-8264-435F89C893FA}" destId="{417CE763-226E-421A-A2ED-B13648A6F9B6}" srcOrd="0" destOrd="0" presId="urn:microsoft.com/office/officeart/2005/8/layout/hierarchy5"/>
    <dgm:cxn modelId="{9D9F2A2E-554D-4D70-8A99-72D6027B88A2}" type="presParOf" srcId="{AAE9C2E5-12D5-4D72-8264-435F89C893FA}" destId="{D42F8746-2C29-4E34-B49B-D093FB5FDCAA}" srcOrd="1" destOrd="0" presId="urn:microsoft.com/office/officeart/2005/8/layout/hierarchy5"/>
    <dgm:cxn modelId="{E7B28E3E-6E0A-4872-B074-6EEEACC8388A}" type="presParOf" srcId="{AA14474E-F7ED-4DC0-A278-1220C2758AE6}" destId="{2B8BEE0C-CE19-4AB9-8BF1-7D734699FF1E}" srcOrd="2" destOrd="0" presId="urn:microsoft.com/office/officeart/2005/8/layout/hierarchy5"/>
    <dgm:cxn modelId="{4F6686BF-8A1A-46F6-BCE8-0EF61C0E5576}" type="presParOf" srcId="{2B8BEE0C-CE19-4AB9-8BF1-7D734699FF1E}" destId="{C56A27BC-B4EC-49E2-BC67-551992123AFB}" srcOrd="0" destOrd="0" presId="urn:microsoft.com/office/officeart/2005/8/layout/hierarchy5"/>
    <dgm:cxn modelId="{FD7D49BE-5B0B-4C5B-B5CE-A7E461FD0419}" type="presParOf" srcId="{AA14474E-F7ED-4DC0-A278-1220C2758AE6}" destId="{92B02756-01CC-4F19-B72C-2B1533FCF8EE}" srcOrd="3" destOrd="0" presId="urn:microsoft.com/office/officeart/2005/8/layout/hierarchy5"/>
    <dgm:cxn modelId="{B291B778-A675-4D54-BFF0-44102D4783EE}" type="presParOf" srcId="{92B02756-01CC-4F19-B72C-2B1533FCF8EE}" destId="{EDABB4A0-2E25-4E08-B9B7-9EAFD7F19330}" srcOrd="0" destOrd="0" presId="urn:microsoft.com/office/officeart/2005/8/layout/hierarchy5"/>
    <dgm:cxn modelId="{2CE6E421-6E12-4365-8920-98D052B56661}" type="presParOf" srcId="{92B02756-01CC-4F19-B72C-2B1533FCF8EE}" destId="{F3E9A30E-AC98-443E-876B-A5EA7D5890C0}" srcOrd="1" destOrd="0" presId="urn:microsoft.com/office/officeart/2005/8/layout/hierarchy5"/>
    <dgm:cxn modelId="{22539B32-3FEB-46AF-93A8-00BF592986CB}" type="presParOf" srcId="{0CDA59B7-EE96-4773-86FF-F072D9D6E2B6}" destId="{6EAEEBAD-278B-48E1-A749-7550CE7F5737}" srcOrd="4" destOrd="0" presId="urn:microsoft.com/office/officeart/2005/8/layout/hierarchy5"/>
    <dgm:cxn modelId="{6FD9725D-C0C8-4C92-8AB2-8665C0EEF4CB}" type="presParOf" srcId="{6EAEEBAD-278B-48E1-A749-7550CE7F5737}" destId="{50138C9B-0159-44C9-B8DB-1A259CDD7DF9}" srcOrd="0" destOrd="0" presId="urn:microsoft.com/office/officeart/2005/8/layout/hierarchy5"/>
    <dgm:cxn modelId="{BDE67FC8-3F90-4611-8FA4-2F2929803C22}" type="presParOf" srcId="{0CDA59B7-EE96-4773-86FF-F072D9D6E2B6}" destId="{2CA589F4-1765-45CB-84C5-35CC65B03ACB}" srcOrd="5" destOrd="0" presId="urn:microsoft.com/office/officeart/2005/8/layout/hierarchy5"/>
    <dgm:cxn modelId="{7BF24EF3-5F21-4D7A-90C8-847C58D7BBF5}" type="presParOf" srcId="{2CA589F4-1765-45CB-84C5-35CC65B03ACB}" destId="{D290BF90-4F32-4016-8A8F-E313C05CE7AC}" srcOrd="0" destOrd="0" presId="urn:microsoft.com/office/officeart/2005/8/layout/hierarchy5"/>
    <dgm:cxn modelId="{8CFC75E5-957D-4AFC-8FAE-CAF423B36B79}" type="presParOf" srcId="{2CA589F4-1765-45CB-84C5-35CC65B03ACB}" destId="{8ECA93E4-32BC-45DC-A77D-AD25C011EC7A}" srcOrd="1" destOrd="0" presId="urn:microsoft.com/office/officeart/2005/8/layout/hierarchy5"/>
    <dgm:cxn modelId="{2D874023-057E-42BE-8B22-CC99AB6CFAD2}" type="presParOf" srcId="{8ECA93E4-32BC-45DC-A77D-AD25C011EC7A}" destId="{90DFE0E2-23E1-4CBF-A0A3-1F890F447F7D}" srcOrd="0" destOrd="0" presId="urn:microsoft.com/office/officeart/2005/8/layout/hierarchy5"/>
    <dgm:cxn modelId="{87C9A06F-BA88-4D16-8FE1-712B603BA687}" type="presParOf" srcId="{90DFE0E2-23E1-4CBF-A0A3-1F890F447F7D}" destId="{3C1C5B49-E5A0-4109-87E1-DB1C0665B98C}" srcOrd="0" destOrd="0" presId="urn:microsoft.com/office/officeart/2005/8/layout/hierarchy5"/>
    <dgm:cxn modelId="{4745032F-CF88-459C-81A5-58AAB3395AA9}" type="presParOf" srcId="{8ECA93E4-32BC-45DC-A77D-AD25C011EC7A}" destId="{1FD27FE1-A79C-4574-B0A0-EC7F918719E0}" srcOrd="1" destOrd="0" presId="urn:microsoft.com/office/officeart/2005/8/layout/hierarchy5"/>
    <dgm:cxn modelId="{24129EA2-7A4A-4013-8A78-C920598058ED}" type="presParOf" srcId="{1FD27FE1-A79C-4574-B0A0-EC7F918719E0}" destId="{C1508B2E-F1E2-4A0D-B325-6FF8E68F662F}" srcOrd="0" destOrd="0" presId="urn:microsoft.com/office/officeart/2005/8/layout/hierarchy5"/>
    <dgm:cxn modelId="{EC52A281-FB47-4429-ABBF-8B05CD18E171}" type="presParOf" srcId="{1FD27FE1-A79C-4574-B0A0-EC7F918719E0}" destId="{575276E7-515B-4C1C-ABEA-7BF6A9B64C56}" srcOrd="1" destOrd="0" presId="urn:microsoft.com/office/officeart/2005/8/layout/hierarchy5"/>
    <dgm:cxn modelId="{287898F9-3C19-48AA-B1B1-6D22E3D83C8B}" type="presParOf" srcId="{575276E7-515B-4C1C-ABEA-7BF6A9B64C56}" destId="{52343FEC-AA8D-4BF5-9E93-7707DB115815}" srcOrd="0" destOrd="0" presId="urn:microsoft.com/office/officeart/2005/8/layout/hierarchy5"/>
    <dgm:cxn modelId="{B3C183E2-E02C-46F7-AF68-124204E8BA88}" type="presParOf" srcId="{52343FEC-AA8D-4BF5-9E93-7707DB115815}" destId="{5B163344-A3E7-4BB9-AD7B-EB14991B4C9C}" srcOrd="0" destOrd="0" presId="urn:microsoft.com/office/officeart/2005/8/layout/hierarchy5"/>
    <dgm:cxn modelId="{392CC2D0-52FF-4BAA-B5A5-5C6EDFDB2560}" type="presParOf" srcId="{575276E7-515B-4C1C-ABEA-7BF6A9B64C56}" destId="{1848A041-F152-400E-867E-C1804786A18C}" srcOrd="1" destOrd="0" presId="urn:microsoft.com/office/officeart/2005/8/layout/hierarchy5"/>
    <dgm:cxn modelId="{D6393566-3A6F-40B9-962D-E892FCD77463}" type="presParOf" srcId="{1848A041-F152-400E-867E-C1804786A18C}" destId="{D931C509-0F57-4529-BF57-FDB0C6AE86B6}" srcOrd="0" destOrd="0" presId="urn:microsoft.com/office/officeart/2005/8/layout/hierarchy5"/>
    <dgm:cxn modelId="{DB6D67DA-B82C-490E-9ED2-04ECBF0E6AD4}" type="presParOf" srcId="{1848A041-F152-400E-867E-C1804786A18C}" destId="{2C06C8F0-7E41-4A81-B616-1AD9F1CA98B1}" srcOrd="1" destOrd="0" presId="urn:microsoft.com/office/officeart/2005/8/layout/hierarchy5"/>
    <dgm:cxn modelId="{7C32B649-CC3B-4EC7-8E58-8A41F423FA45}" type="presParOf" srcId="{575276E7-515B-4C1C-ABEA-7BF6A9B64C56}" destId="{3B15D8BB-32D8-4C0C-B5A4-15B1E2ED03D9}" srcOrd="2" destOrd="0" presId="urn:microsoft.com/office/officeart/2005/8/layout/hierarchy5"/>
    <dgm:cxn modelId="{8C5CDA3B-4C57-48CE-8E6C-648869D3FD2B}" type="presParOf" srcId="{3B15D8BB-32D8-4C0C-B5A4-15B1E2ED03D9}" destId="{62B2F4FE-0946-4796-90D6-08D67923ADF2}" srcOrd="0" destOrd="0" presId="urn:microsoft.com/office/officeart/2005/8/layout/hierarchy5"/>
    <dgm:cxn modelId="{8BC1B903-B822-4AAA-AABD-3239E60880FE}" type="presParOf" srcId="{575276E7-515B-4C1C-ABEA-7BF6A9B64C56}" destId="{DF1C70D5-2AA4-4615-B051-606AF6C72FCA}" srcOrd="3" destOrd="0" presId="urn:microsoft.com/office/officeart/2005/8/layout/hierarchy5"/>
    <dgm:cxn modelId="{2C5B1729-7CDE-4A8F-AAB0-8690CFEEC160}" type="presParOf" srcId="{DF1C70D5-2AA4-4615-B051-606AF6C72FCA}" destId="{F7FF7DE3-1B00-4948-9159-C9A50A6A0476}" srcOrd="0" destOrd="0" presId="urn:microsoft.com/office/officeart/2005/8/layout/hierarchy5"/>
    <dgm:cxn modelId="{32EA7E8F-5D59-4C9A-8CA3-404DC69786BE}" type="presParOf" srcId="{DF1C70D5-2AA4-4615-B051-606AF6C72FCA}" destId="{16DC2570-12FF-4233-A2CB-C556755C3E39}" srcOrd="1" destOrd="0" presId="urn:microsoft.com/office/officeart/2005/8/layout/hierarchy5"/>
    <dgm:cxn modelId="{66B48CAC-69C0-4A47-B485-423321799D0F}" type="presParOf" srcId="{575276E7-515B-4C1C-ABEA-7BF6A9B64C56}" destId="{085C8FA5-E351-482C-AC74-D2E4979F5CC5}" srcOrd="4" destOrd="0" presId="urn:microsoft.com/office/officeart/2005/8/layout/hierarchy5"/>
    <dgm:cxn modelId="{2F370FE2-A9F5-41B1-A46A-AA614E736783}" type="presParOf" srcId="{085C8FA5-E351-482C-AC74-D2E4979F5CC5}" destId="{A8F0775E-0028-4068-9358-ADCDF08D0279}" srcOrd="0" destOrd="0" presId="urn:microsoft.com/office/officeart/2005/8/layout/hierarchy5"/>
    <dgm:cxn modelId="{DEE62EED-C26F-4923-B62E-E8834C96D0E8}" type="presParOf" srcId="{575276E7-515B-4C1C-ABEA-7BF6A9B64C56}" destId="{FF4E7EFE-614C-46E7-ACDD-ADD0F633001F}" srcOrd="5" destOrd="0" presId="urn:microsoft.com/office/officeart/2005/8/layout/hierarchy5"/>
    <dgm:cxn modelId="{673C9081-F35E-497D-B1D0-568EFE6DC362}" type="presParOf" srcId="{FF4E7EFE-614C-46E7-ACDD-ADD0F633001F}" destId="{02CFC812-6E0F-4FBA-BBC3-B33E96DFE345}" srcOrd="0" destOrd="0" presId="urn:microsoft.com/office/officeart/2005/8/layout/hierarchy5"/>
    <dgm:cxn modelId="{8611697E-05C5-4AC8-9CE2-8569694F7539}" type="presParOf" srcId="{FF4E7EFE-614C-46E7-ACDD-ADD0F633001F}" destId="{045D57E5-7606-4A10-8C65-E200A9A5DF75}" srcOrd="1" destOrd="0" presId="urn:microsoft.com/office/officeart/2005/8/layout/hierarchy5"/>
    <dgm:cxn modelId="{F56927A6-3C87-4B95-80CD-D93B1126B713}" type="presParOf" srcId="{8ECA93E4-32BC-45DC-A77D-AD25C011EC7A}" destId="{870F293D-D118-4EB6-BC47-AC8DCF1AA4CE}" srcOrd="2" destOrd="0" presId="urn:microsoft.com/office/officeart/2005/8/layout/hierarchy5"/>
    <dgm:cxn modelId="{FD36F227-B1E9-4204-9550-9799838A51C1}" type="presParOf" srcId="{870F293D-D118-4EB6-BC47-AC8DCF1AA4CE}" destId="{B98B6C76-0144-4B8A-91E2-080D5B452162}" srcOrd="0" destOrd="0" presId="urn:microsoft.com/office/officeart/2005/8/layout/hierarchy5"/>
    <dgm:cxn modelId="{34F1B480-B83F-4E66-969A-DD720718E099}" type="presParOf" srcId="{8ECA93E4-32BC-45DC-A77D-AD25C011EC7A}" destId="{52E321D8-C605-474C-B524-6C0059A760AB}" srcOrd="3" destOrd="0" presId="urn:microsoft.com/office/officeart/2005/8/layout/hierarchy5"/>
    <dgm:cxn modelId="{C0074E83-4352-4DAE-87A4-8A53D9FF757F}" type="presParOf" srcId="{52E321D8-C605-474C-B524-6C0059A760AB}" destId="{25E7662B-18ED-4B5B-9919-9A2A12702B9D}" srcOrd="0" destOrd="0" presId="urn:microsoft.com/office/officeart/2005/8/layout/hierarchy5"/>
    <dgm:cxn modelId="{8E398191-D3BA-44B6-AC59-0D61C393B359}" type="presParOf" srcId="{52E321D8-C605-474C-B524-6C0059A760AB}" destId="{EB98A590-CF9F-4862-A7B1-18D827628EE4}" srcOrd="1" destOrd="0" presId="urn:microsoft.com/office/officeart/2005/8/layout/hierarchy5"/>
    <dgm:cxn modelId="{6ADF1822-6868-4E50-A513-3BD262960A74}" type="presParOf" srcId="{57E84DD7-489B-4024-B17C-0BFF5644CF2D}" destId="{0E88DC31-6D65-43E9-9C20-5FF2346D09BD}" srcOrd="2" destOrd="0" presId="urn:microsoft.com/office/officeart/2005/8/layout/hierarchy5"/>
    <dgm:cxn modelId="{15B76448-1617-4F5E-A9D0-51687E12824A}" type="presParOf" srcId="{0E88DC31-6D65-43E9-9C20-5FF2346D09BD}" destId="{5B55226A-23ED-4672-917A-6F862247AF97}" srcOrd="0" destOrd="0" presId="urn:microsoft.com/office/officeart/2005/8/layout/hierarchy5"/>
    <dgm:cxn modelId="{9643A65D-42BC-4F8F-8E52-A8B0F4954F9B}" type="presParOf" srcId="{57E84DD7-489B-4024-B17C-0BFF5644CF2D}" destId="{91724359-A9C9-4845-9045-10CD1E32F49F}" srcOrd="3" destOrd="0" presId="urn:microsoft.com/office/officeart/2005/8/layout/hierarchy5"/>
    <dgm:cxn modelId="{3F04708A-29C8-4DF1-9B37-B1B00855FF29}" type="presParOf" srcId="{91724359-A9C9-4845-9045-10CD1E32F49F}" destId="{114CA2FF-087D-4CCA-868C-A2D1AC6709F1}" srcOrd="0" destOrd="0" presId="urn:microsoft.com/office/officeart/2005/8/layout/hierarchy5"/>
    <dgm:cxn modelId="{D6591C58-E55F-4B00-B614-763EEF7AAAFC}" type="presParOf" srcId="{91724359-A9C9-4845-9045-10CD1E32F49F}" destId="{5A82B180-8752-405C-BF1E-D99DD98AA7B7}" srcOrd="1" destOrd="0" presId="urn:microsoft.com/office/officeart/2005/8/layout/hierarchy5"/>
    <dgm:cxn modelId="{967EA703-A927-428B-90C1-EB10776FA061}" type="presParOf" srcId="{5A82B180-8752-405C-BF1E-D99DD98AA7B7}" destId="{9557F60B-3F99-4495-9680-25B96D6D2685}" srcOrd="0" destOrd="0" presId="urn:microsoft.com/office/officeart/2005/8/layout/hierarchy5"/>
    <dgm:cxn modelId="{C48B702C-ED59-4902-B3D2-246050C2FCAF}" type="presParOf" srcId="{9557F60B-3F99-4495-9680-25B96D6D2685}" destId="{2DA3BB91-2E9E-417F-85BC-BC4458796466}" srcOrd="0" destOrd="0" presId="urn:microsoft.com/office/officeart/2005/8/layout/hierarchy5"/>
    <dgm:cxn modelId="{F8A2DE68-EA8B-411C-8A7E-2954692AA082}" type="presParOf" srcId="{5A82B180-8752-405C-BF1E-D99DD98AA7B7}" destId="{C76466DE-0213-491C-8592-197F0161DA93}" srcOrd="1" destOrd="0" presId="urn:microsoft.com/office/officeart/2005/8/layout/hierarchy5"/>
    <dgm:cxn modelId="{A3392F49-225B-47D0-A6A7-8DA77626F8F6}" type="presParOf" srcId="{C76466DE-0213-491C-8592-197F0161DA93}" destId="{004ADAE1-5E6D-40CD-85F5-C9914C499B2B}" srcOrd="0" destOrd="0" presId="urn:microsoft.com/office/officeart/2005/8/layout/hierarchy5"/>
    <dgm:cxn modelId="{E039A0AB-388E-405A-A920-6C965F5AEEC2}" type="presParOf" srcId="{C76466DE-0213-491C-8592-197F0161DA93}" destId="{0DB8E6CB-2D3D-4869-93D3-4113069B132F}" srcOrd="1" destOrd="0" presId="urn:microsoft.com/office/officeart/2005/8/layout/hierarchy5"/>
    <dgm:cxn modelId="{8ED8C2B3-F8DA-4426-90FA-AC748EC51320}" type="presParOf" srcId="{5A82B180-8752-405C-BF1E-D99DD98AA7B7}" destId="{C6A8B198-EF3F-496A-A90E-CBADB27B70D5}" srcOrd="2" destOrd="0" presId="urn:microsoft.com/office/officeart/2005/8/layout/hierarchy5"/>
    <dgm:cxn modelId="{A613DEF8-08FB-4451-9449-D28910A7209B}" type="presParOf" srcId="{C6A8B198-EF3F-496A-A90E-CBADB27B70D5}" destId="{A93E45EB-8AB8-4FC1-BF34-B77FB80B9124}" srcOrd="0" destOrd="0" presId="urn:microsoft.com/office/officeart/2005/8/layout/hierarchy5"/>
    <dgm:cxn modelId="{E38B1A09-4517-4967-A6AE-82EE55008C6A}" type="presParOf" srcId="{5A82B180-8752-405C-BF1E-D99DD98AA7B7}" destId="{D6135CED-B585-47E7-9CC4-3F0467E3BFF4}" srcOrd="3" destOrd="0" presId="urn:microsoft.com/office/officeart/2005/8/layout/hierarchy5"/>
    <dgm:cxn modelId="{529476B9-4B3A-42D6-A533-49C5B8DA4A49}" type="presParOf" srcId="{D6135CED-B585-47E7-9CC4-3F0467E3BFF4}" destId="{C6E4AE76-25F9-44B8-A7B0-8C09C5760714}" srcOrd="0" destOrd="0" presId="urn:microsoft.com/office/officeart/2005/8/layout/hierarchy5"/>
    <dgm:cxn modelId="{58B548F2-3E1A-44E4-B446-30747734D207}" type="presParOf" srcId="{D6135CED-B585-47E7-9CC4-3F0467E3BFF4}" destId="{CAD124F0-F1FD-4751-8A50-7B06557414CD}" srcOrd="1" destOrd="0" presId="urn:microsoft.com/office/officeart/2005/8/layout/hierarchy5"/>
    <dgm:cxn modelId="{0F4E69C4-F1D5-4A74-9316-E301CA903A4B}" type="presParOf" srcId="{5A82B180-8752-405C-BF1E-D99DD98AA7B7}" destId="{EAFB5BB9-B225-4722-811F-4185776E03B1}" srcOrd="4" destOrd="0" presId="urn:microsoft.com/office/officeart/2005/8/layout/hierarchy5"/>
    <dgm:cxn modelId="{953E7842-5A26-4B56-9753-628B3B0A03A0}" type="presParOf" srcId="{EAFB5BB9-B225-4722-811F-4185776E03B1}" destId="{C5D6D3BB-B188-4544-81B1-8BDD98142745}" srcOrd="0" destOrd="0" presId="urn:microsoft.com/office/officeart/2005/8/layout/hierarchy5"/>
    <dgm:cxn modelId="{97F5791A-0487-486E-B1A0-EC7E3DDC50D9}" type="presParOf" srcId="{5A82B180-8752-405C-BF1E-D99DD98AA7B7}" destId="{3EC2FA3B-B2A5-48D5-B299-DD98F3AA1F2D}" srcOrd="5" destOrd="0" presId="urn:microsoft.com/office/officeart/2005/8/layout/hierarchy5"/>
    <dgm:cxn modelId="{9F5566F1-B6AE-45D6-9BB6-3E059B5D3B9E}" type="presParOf" srcId="{3EC2FA3B-B2A5-48D5-B299-DD98F3AA1F2D}" destId="{932CB3E0-1829-4AED-9A93-7BE1142878D2}" srcOrd="0" destOrd="0" presId="urn:microsoft.com/office/officeart/2005/8/layout/hierarchy5"/>
    <dgm:cxn modelId="{4C602BE8-363F-41A1-9707-3A1FB3B32D04}" type="presParOf" srcId="{3EC2FA3B-B2A5-48D5-B299-DD98F3AA1F2D}" destId="{CD036085-8800-4835-9094-73A6012F78F6}" srcOrd="1" destOrd="0" presId="urn:microsoft.com/office/officeart/2005/8/layout/hierarchy5"/>
    <dgm:cxn modelId="{438DC152-2118-47FD-AC24-C704A692C2FA}" type="presParOf" srcId="{1FFC9314-E0D1-4D26-AD5A-A7F310219F32}" destId="{91C4A373-C1C1-4409-9A4E-954A09F718AF}" srcOrd="1" destOrd="0" presId="urn:microsoft.com/office/officeart/2005/8/layout/hierarchy5"/>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A5B2336-AC11-4855-A94E-5AF90CF28641}">
      <dsp:nvSpPr>
        <dsp:cNvPr id="0" name=""/>
        <dsp:cNvSpPr/>
      </dsp:nvSpPr>
      <dsp:spPr>
        <a:xfrm>
          <a:off x="0" y="4031300"/>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1054</a:t>
          </a:r>
        </a:p>
        <a:p>
          <a:pPr lvl="0" algn="ctr" defTabSz="355600">
            <a:lnSpc>
              <a:spcPct val="90000"/>
            </a:lnSpc>
            <a:spcBef>
              <a:spcPct val="0"/>
            </a:spcBef>
            <a:spcAft>
              <a:spcPct val="35000"/>
            </a:spcAft>
          </a:pPr>
          <a:r>
            <a:rPr lang="en-AU" sz="800" b="1" kern="1200"/>
            <a:t>Referred for screening</a:t>
          </a:r>
        </a:p>
      </dsp:txBody>
      <dsp:txXfrm>
        <a:off x="12697" y="4043997"/>
        <a:ext cx="841592" cy="408099"/>
      </dsp:txXfrm>
    </dsp:sp>
    <dsp:sp modelId="{B44AFB69-4BDF-47F6-80A1-234DAB0752F2}">
      <dsp:nvSpPr>
        <dsp:cNvPr id="0" name=""/>
        <dsp:cNvSpPr/>
      </dsp:nvSpPr>
      <dsp:spPr>
        <a:xfrm rot="17132988">
          <a:off x="393562" y="3619121"/>
          <a:ext cx="1293642" cy="11557"/>
        </a:xfrm>
        <a:custGeom>
          <a:avLst/>
          <a:gdLst/>
          <a:ahLst/>
          <a:cxnLst/>
          <a:rect l="0" t="0" r="0" b="0"/>
          <a:pathLst>
            <a:path>
              <a:moveTo>
                <a:pt x="0" y="5778"/>
              </a:moveTo>
              <a:lnTo>
                <a:pt x="1293642" y="577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1008042" y="3592559"/>
        <a:ext cx="64682" cy="64682"/>
      </dsp:txXfrm>
    </dsp:sp>
    <dsp:sp modelId="{10542345-F55A-45FA-9557-183EEC17BBA2}">
      <dsp:nvSpPr>
        <dsp:cNvPr id="0" name=""/>
        <dsp:cNvSpPr/>
      </dsp:nvSpPr>
      <dsp:spPr>
        <a:xfrm>
          <a:off x="1213780" y="2785007"/>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796</a:t>
          </a:r>
        </a:p>
        <a:p>
          <a:pPr lvl="0" algn="ctr" defTabSz="355600">
            <a:lnSpc>
              <a:spcPct val="90000"/>
            </a:lnSpc>
            <a:spcBef>
              <a:spcPct val="0"/>
            </a:spcBef>
            <a:spcAft>
              <a:spcPct val="35000"/>
            </a:spcAft>
          </a:pPr>
          <a:r>
            <a:rPr lang="en-AU" sz="800" b="1" kern="1200"/>
            <a:t>Completed</a:t>
          </a:r>
        </a:p>
      </dsp:txBody>
      <dsp:txXfrm>
        <a:off x="1226477" y="2797704"/>
        <a:ext cx="841592" cy="408099"/>
      </dsp:txXfrm>
    </dsp:sp>
    <dsp:sp modelId="{D8928978-CA07-4C05-ADBC-DF6F58DB52C3}">
      <dsp:nvSpPr>
        <dsp:cNvPr id="0" name=""/>
        <dsp:cNvSpPr/>
      </dsp:nvSpPr>
      <dsp:spPr>
        <a:xfrm rot="16983315">
          <a:off x="1486547" y="2248199"/>
          <a:ext cx="1535232" cy="11557"/>
        </a:xfrm>
        <a:custGeom>
          <a:avLst/>
          <a:gdLst/>
          <a:ahLst/>
          <a:cxnLst/>
          <a:rect l="0" t="0" r="0" b="0"/>
          <a:pathLst>
            <a:path>
              <a:moveTo>
                <a:pt x="0" y="5778"/>
              </a:moveTo>
              <a:lnTo>
                <a:pt x="1535232"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2215783" y="2215597"/>
        <a:ext cx="76761" cy="76761"/>
      </dsp:txXfrm>
    </dsp:sp>
    <dsp:sp modelId="{02AB7DDD-D2FE-41E5-A94D-2D75FE68EF1E}">
      <dsp:nvSpPr>
        <dsp:cNvPr id="0" name=""/>
        <dsp:cNvSpPr/>
      </dsp:nvSpPr>
      <dsp:spPr>
        <a:xfrm>
          <a:off x="2427561" y="1289456"/>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214 </a:t>
          </a:r>
        </a:p>
        <a:p>
          <a:pPr lvl="0" algn="ctr" defTabSz="355600">
            <a:lnSpc>
              <a:spcPct val="90000"/>
            </a:lnSpc>
            <a:spcBef>
              <a:spcPct val="0"/>
            </a:spcBef>
            <a:spcAft>
              <a:spcPct val="35000"/>
            </a:spcAft>
          </a:pPr>
          <a:r>
            <a:rPr lang="en-AU" sz="800" b="1" kern="1200"/>
            <a:t>Outpatient</a:t>
          </a:r>
        </a:p>
      </dsp:txBody>
      <dsp:txXfrm>
        <a:off x="2440258" y="1302153"/>
        <a:ext cx="841592" cy="408099"/>
      </dsp:txXfrm>
    </dsp:sp>
    <dsp:sp modelId="{FECD328B-D947-4370-A8CB-7CCA71CE1D5C}">
      <dsp:nvSpPr>
        <dsp:cNvPr id="0" name=""/>
        <dsp:cNvSpPr/>
      </dsp:nvSpPr>
      <dsp:spPr>
        <a:xfrm rot="19457599">
          <a:off x="3254405" y="1375794"/>
          <a:ext cx="427078" cy="11557"/>
        </a:xfrm>
        <a:custGeom>
          <a:avLst/>
          <a:gdLst/>
          <a:ahLst/>
          <a:cxnLst/>
          <a:rect l="0" t="0" r="0" b="0"/>
          <a:pathLst>
            <a:path>
              <a:moveTo>
                <a:pt x="0" y="5778"/>
              </a:moveTo>
              <a:lnTo>
                <a:pt x="427078"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3457267" y="1370896"/>
        <a:ext cx="21353" cy="21353"/>
      </dsp:txXfrm>
    </dsp:sp>
    <dsp:sp modelId="{34069703-A687-4A3A-9882-288D568F4C3A}">
      <dsp:nvSpPr>
        <dsp:cNvPr id="0" name=""/>
        <dsp:cNvSpPr/>
      </dsp:nvSpPr>
      <dsp:spPr>
        <a:xfrm>
          <a:off x="3641341" y="1040197"/>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176</a:t>
          </a:r>
        </a:p>
        <a:p>
          <a:pPr lvl="0" algn="ctr" defTabSz="355600">
            <a:lnSpc>
              <a:spcPct val="90000"/>
            </a:lnSpc>
            <a:spcBef>
              <a:spcPct val="0"/>
            </a:spcBef>
            <a:spcAft>
              <a:spcPct val="35000"/>
            </a:spcAft>
          </a:pPr>
          <a:r>
            <a:rPr lang="en-AU" sz="800" b="1" kern="1200"/>
            <a:t>Followed up</a:t>
          </a:r>
        </a:p>
      </dsp:txBody>
      <dsp:txXfrm>
        <a:off x="3654038" y="1052894"/>
        <a:ext cx="841592" cy="408099"/>
      </dsp:txXfrm>
    </dsp:sp>
    <dsp:sp modelId="{29452E0A-DEA1-444D-8B10-7DE21E58F3AA}">
      <dsp:nvSpPr>
        <dsp:cNvPr id="0" name=""/>
        <dsp:cNvSpPr/>
      </dsp:nvSpPr>
      <dsp:spPr>
        <a:xfrm rot="18289469">
          <a:off x="4378086" y="1001907"/>
          <a:ext cx="607277" cy="11557"/>
        </a:xfrm>
        <a:custGeom>
          <a:avLst/>
          <a:gdLst/>
          <a:ahLst/>
          <a:cxnLst/>
          <a:rect l="0" t="0" r="0" b="0"/>
          <a:pathLst>
            <a:path>
              <a:moveTo>
                <a:pt x="0" y="5778"/>
              </a:moveTo>
              <a:lnTo>
                <a:pt x="607277"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4666543" y="992504"/>
        <a:ext cx="30363" cy="30363"/>
      </dsp:txXfrm>
    </dsp:sp>
    <dsp:sp modelId="{09BD0F80-B05E-4575-B744-037A126F0939}">
      <dsp:nvSpPr>
        <dsp:cNvPr id="0" name=""/>
        <dsp:cNvSpPr/>
      </dsp:nvSpPr>
      <dsp:spPr>
        <a:xfrm>
          <a:off x="4855122" y="541680"/>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84</a:t>
          </a:r>
        </a:p>
        <a:p>
          <a:pPr lvl="0" algn="ctr" defTabSz="355600">
            <a:lnSpc>
              <a:spcPct val="90000"/>
            </a:lnSpc>
            <a:spcBef>
              <a:spcPct val="0"/>
            </a:spcBef>
            <a:spcAft>
              <a:spcPct val="35000"/>
            </a:spcAft>
          </a:pPr>
          <a:r>
            <a:rPr lang="en-AU" sz="800" b="1" kern="1200"/>
            <a:t>Sucessful</a:t>
          </a:r>
        </a:p>
      </dsp:txBody>
      <dsp:txXfrm>
        <a:off x="4867819" y="554377"/>
        <a:ext cx="841592" cy="408099"/>
      </dsp:txXfrm>
    </dsp:sp>
    <dsp:sp modelId="{812774F8-F848-4EC0-8DB8-26BCBFA53B28}">
      <dsp:nvSpPr>
        <dsp:cNvPr id="0" name=""/>
        <dsp:cNvSpPr/>
      </dsp:nvSpPr>
      <dsp:spPr>
        <a:xfrm>
          <a:off x="4508328" y="1251165"/>
          <a:ext cx="346794" cy="11557"/>
        </a:xfrm>
        <a:custGeom>
          <a:avLst/>
          <a:gdLst/>
          <a:ahLst/>
          <a:cxnLst/>
          <a:rect l="0" t="0" r="0" b="0"/>
          <a:pathLst>
            <a:path>
              <a:moveTo>
                <a:pt x="0" y="5778"/>
              </a:moveTo>
              <a:lnTo>
                <a:pt x="346794"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4673055" y="1248274"/>
        <a:ext cx="17339" cy="17339"/>
      </dsp:txXfrm>
    </dsp:sp>
    <dsp:sp modelId="{801117D0-30FC-4B1C-8441-CDB82E1D2310}">
      <dsp:nvSpPr>
        <dsp:cNvPr id="0" name=""/>
        <dsp:cNvSpPr/>
      </dsp:nvSpPr>
      <dsp:spPr>
        <a:xfrm>
          <a:off x="4855122" y="1040197"/>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endParaRPr lang="en-AU" sz="800" b="1" kern="1200"/>
        </a:p>
        <a:p>
          <a:pPr lvl="0" algn="ctr" defTabSz="355600">
            <a:lnSpc>
              <a:spcPct val="90000"/>
            </a:lnSpc>
            <a:spcBef>
              <a:spcPct val="0"/>
            </a:spcBef>
            <a:spcAft>
              <a:spcPct val="35000"/>
            </a:spcAft>
          </a:pPr>
          <a:r>
            <a:rPr lang="en-AU" sz="800" b="1" kern="1200"/>
            <a:t>83</a:t>
          </a:r>
        </a:p>
        <a:p>
          <a:pPr lvl="0" algn="ctr" defTabSz="355600">
            <a:lnSpc>
              <a:spcPct val="90000"/>
            </a:lnSpc>
            <a:spcBef>
              <a:spcPct val="0"/>
            </a:spcBef>
            <a:spcAft>
              <a:spcPct val="35000"/>
            </a:spcAft>
          </a:pPr>
          <a:r>
            <a:rPr lang="en-AU" sz="800" b="1" kern="1200"/>
            <a:t>Unsuccessful</a:t>
          </a:r>
        </a:p>
        <a:p>
          <a:pPr lvl="0" algn="ctr" defTabSz="355600">
            <a:lnSpc>
              <a:spcPct val="90000"/>
            </a:lnSpc>
            <a:spcBef>
              <a:spcPct val="0"/>
            </a:spcBef>
            <a:spcAft>
              <a:spcPct val="35000"/>
            </a:spcAft>
          </a:pPr>
          <a:endParaRPr lang="en-AU" sz="800" b="1" kern="1200"/>
        </a:p>
      </dsp:txBody>
      <dsp:txXfrm>
        <a:off x="4867819" y="1052894"/>
        <a:ext cx="841592" cy="408099"/>
      </dsp:txXfrm>
    </dsp:sp>
    <dsp:sp modelId="{DE9564A2-42EE-4EBD-86F2-51FDA32BB63A}">
      <dsp:nvSpPr>
        <dsp:cNvPr id="0" name=""/>
        <dsp:cNvSpPr/>
      </dsp:nvSpPr>
      <dsp:spPr>
        <a:xfrm rot="3310531">
          <a:off x="4378086" y="1500424"/>
          <a:ext cx="607277" cy="11557"/>
        </a:xfrm>
        <a:custGeom>
          <a:avLst/>
          <a:gdLst/>
          <a:ahLst/>
          <a:cxnLst/>
          <a:rect l="0" t="0" r="0" b="0"/>
          <a:pathLst>
            <a:path>
              <a:moveTo>
                <a:pt x="0" y="5778"/>
              </a:moveTo>
              <a:lnTo>
                <a:pt x="607277"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4666543" y="1491021"/>
        <a:ext cx="30363" cy="30363"/>
      </dsp:txXfrm>
    </dsp:sp>
    <dsp:sp modelId="{2949A10B-E99A-455E-834B-5A1797423AD3}">
      <dsp:nvSpPr>
        <dsp:cNvPr id="0" name=""/>
        <dsp:cNvSpPr/>
      </dsp:nvSpPr>
      <dsp:spPr>
        <a:xfrm>
          <a:off x="4855122" y="1538715"/>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9</a:t>
          </a:r>
        </a:p>
        <a:p>
          <a:pPr lvl="0" algn="ctr" defTabSz="355600">
            <a:lnSpc>
              <a:spcPct val="90000"/>
            </a:lnSpc>
            <a:spcBef>
              <a:spcPct val="0"/>
            </a:spcBef>
            <a:spcAft>
              <a:spcPct val="35000"/>
            </a:spcAft>
          </a:pPr>
          <a:r>
            <a:rPr lang="en-AU" sz="800" b="1" kern="1200"/>
            <a:t>Missing</a:t>
          </a:r>
        </a:p>
      </dsp:txBody>
      <dsp:txXfrm>
        <a:off x="4867819" y="1551412"/>
        <a:ext cx="841592" cy="408099"/>
      </dsp:txXfrm>
    </dsp:sp>
    <dsp:sp modelId="{66F4DD1F-EEBE-4791-9ACF-62647BE52F1F}">
      <dsp:nvSpPr>
        <dsp:cNvPr id="0" name=""/>
        <dsp:cNvSpPr/>
      </dsp:nvSpPr>
      <dsp:spPr>
        <a:xfrm rot="2142401">
          <a:off x="3254405" y="1625053"/>
          <a:ext cx="427078" cy="11557"/>
        </a:xfrm>
        <a:custGeom>
          <a:avLst/>
          <a:gdLst/>
          <a:ahLst/>
          <a:cxnLst/>
          <a:rect l="0" t="0" r="0" b="0"/>
          <a:pathLst>
            <a:path>
              <a:moveTo>
                <a:pt x="0" y="5778"/>
              </a:moveTo>
              <a:lnTo>
                <a:pt x="427078"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3457267" y="1620155"/>
        <a:ext cx="21353" cy="21353"/>
      </dsp:txXfrm>
    </dsp:sp>
    <dsp:sp modelId="{99326077-B656-4B7A-AB0A-0C5C38597939}">
      <dsp:nvSpPr>
        <dsp:cNvPr id="0" name=""/>
        <dsp:cNvSpPr/>
      </dsp:nvSpPr>
      <dsp:spPr>
        <a:xfrm>
          <a:off x="3641341" y="1538715"/>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38</a:t>
          </a:r>
        </a:p>
        <a:p>
          <a:pPr lvl="0" algn="ctr" defTabSz="355600">
            <a:lnSpc>
              <a:spcPct val="90000"/>
            </a:lnSpc>
            <a:spcBef>
              <a:spcPct val="0"/>
            </a:spcBef>
            <a:spcAft>
              <a:spcPct val="35000"/>
            </a:spcAft>
          </a:pPr>
          <a:r>
            <a:rPr lang="en-AU" sz="800" b="1" kern="1200"/>
            <a:t>Lost</a:t>
          </a:r>
        </a:p>
      </dsp:txBody>
      <dsp:txXfrm>
        <a:off x="3654038" y="1551412"/>
        <a:ext cx="841592" cy="408099"/>
      </dsp:txXfrm>
    </dsp:sp>
    <dsp:sp modelId="{ABE86191-48DC-4857-B8C1-FE4B1B2573E3}">
      <dsp:nvSpPr>
        <dsp:cNvPr id="0" name=""/>
        <dsp:cNvSpPr/>
      </dsp:nvSpPr>
      <dsp:spPr>
        <a:xfrm>
          <a:off x="2080766" y="2995975"/>
          <a:ext cx="346794" cy="11557"/>
        </a:xfrm>
        <a:custGeom>
          <a:avLst/>
          <a:gdLst/>
          <a:ahLst/>
          <a:cxnLst/>
          <a:rect l="0" t="0" r="0" b="0"/>
          <a:pathLst>
            <a:path>
              <a:moveTo>
                <a:pt x="0" y="5778"/>
              </a:moveTo>
              <a:lnTo>
                <a:pt x="346794"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2245494" y="2993084"/>
        <a:ext cx="17339" cy="17339"/>
      </dsp:txXfrm>
    </dsp:sp>
    <dsp:sp modelId="{2D111339-D58B-4D31-918A-504F61F82AD6}">
      <dsp:nvSpPr>
        <dsp:cNvPr id="0" name=""/>
        <dsp:cNvSpPr/>
      </dsp:nvSpPr>
      <dsp:spPr>
        <a:xfrm>
          <a:off x="2427561" y="2785007"/>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350 </a:t>
          </a:r>
        </a:p>
        <a:p>
          <a:pPr lvl="0" algn="ctr" defTabSz="355600">
            <a:lnSpc>
              <a:spcPct val="90000"/>
            </a:lnSpc>
            <a:spcBef>
              <a:spcPct val="0"/>
            </a:spcBef>
            <a:spcAft>
              <a:spcPct val="35000"/>
            </a:spcAft>
          </a:pPr>
          <a:r>
            <a:rPr lang="en-AU" sz="800" b="1" kern="1200"/>
            <a:t>Inpatient Detox</a:t>
          </a:r>
        </a:p>
      </dsp:txBody>
      <dsp:txXfrm>
        <a:off x="2440258" y="2797704"/>
        <a:ext cx="841592" cy="408099"/>
      </dsp:txXfrm>
    </dsp:sp>
    <dsp:sp modelId="{80346E09-0D6C-4238-A57F-233AE34EFF56}">
      <dsp:nvSpPr>
        <dsp:cNvPr id="0" name=""/>
        <dsp:cNvSpPr/>
      </dsp:nvSpPr>
      <dsp:spPr>
        <a:xfrm rot="19457599">
          <a:off x="3254405" y="2871346"/>
          <a:ext cx="427078" cy="11557"/>
        </a:xfrm>
        <a:custGeom>
          <a:avLst/>
          <a:gdLst/>
          <a:ahLst/>
          <a:cxnLst/>
          <a:rect l="0" t="0" r="0" b="0"/>
          <a:pathLst>
            <a:path>
              <a:moveTo>
                <a:pt x="0" y="5778"/>
              </a:moveTo>
              <a:lnTo>
                <a:pt x="427078"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3457267" y="2866447"/>
        <a:ext cx="21353" cy="21353"/>
      </dsp:txXfrm>
    </dsp:sp>
    <dsp:sp modelId="{A587465A-920E-4954-A298-8146F065C754}">
      <dsp:nvSpPr>
        <dsp:cNvPr id="0" name=""/>
        <dsp:cNvSpPr/>
      </dsp:nvSpPr>
      <dsp:spPr>
        <a:xfrm>
          <a:off x="3641341" y="2535749"/>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241</a:t>
          </a:r>
        </a:p>
        <a:p>
          <a:pPr lvl="0" algn="ctr" defTabSz="355600">
            <a:lnSpc>
              <a:spcPct val="90000"/>
            </a:lnSpc>
            <a:spcBef>
              <a:spcPct val="0"/>
            </a:spcBef>
            <a:spcAft>
              <a:spcPct val="35000"/>
            </a:spcAft>
          </a:pPr>
          <a:r>
            <a:rPr lang="en-AU" sz="800" b="1" kern="1200"/>
            <a:t>Followed up</a:t>
          </a:r>
        </a:p>
      </dsp:txBody>
      <dsp:txXfrm>
        <a:off x="3654038" y="2548446"/>
        <a:ext cx="841592" cy="408099"/>
      </dsp:txXfrm>
    </dsp:sp>
    <dsp:sp modelId="{8D7C31E9-C3E0-41EE-B20E-2A88ECA12124}">
      <dsp:nvSpPr>
        <dsp:cNvPr id="0" name=""/>
        <dsp:cNvSpPr/>
      </dsp:nvSpPr>
      <dsp:spPr>
        <a:xfrm rot="18289469">
          <a:off x="4378086" y="2497458"/>
          <a:ext cx="607277" cy="11557"/>
        </a:xfrm>
        <a:custGeom>
          <a:avLst/>
          <a:gdLst/>
          <a:ahLst/>
          <a:cxnLst/>
          <a:rect l="0" t="0" r="0" b="0"/>
          <a:pathLst>
            <a:path>
              <a:moveTo>
                <a:pt x="0" y="5778"/>
              </a:moveTo>
              <a:lnTo>
                <a:pt x="607277"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4666543" y="2488055"/>
        <a:ext cx="30363" cy="30363"/>
      </dsp:txXfrm>
    </dsp:sp>
    <dsp:sp modelId="{EC1DD8FD-688C-4E93-89FF-F3B27C362A4B}">
      <dsp:nvSpPr>
        <dsp:cNvPr id="0" name=""/>
        <dsp:cNvSpPr/>
      </dsp:nvSpPr>
      <dsp:spPr>
        <a:xfrm>
          <a:off x="4855122" y="2037232"/>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118</a:t>
          </a:r>
        </a:p>
        <a:p>
          <a:pPr lvl="0" algn="ctr" defTabSz="355600">
            <a:lnSpc>
              <a:spcPct val="90000"/>
            </a:lnSpc>
            <a:spcBef>
              <a:spcPct val="0"/>
            </a:spcBef>
            <a:spcAft>
              <a:spcPct val="35000"/>
            </a:spcAft>
          </a:pPr>
          <a:r>
            <a:rPr lang="en-AU" sz="800" b="1" kern="1200"/>
            <a:t>Successful</a:t>
          </a:r>
        </a:p>
      </dsp:txBody>
      <dsp:txXfrm>
        <a:off x="4867819" y="2049929"/>
        <a:ext cx="841592" cy="408099"/>
      </dsp:txXfrm>
    </dsp:sp>
    <dsp:sp modelId="{DA3862F4-2803-44FB-8362-FB70B8B3540E}">
      <dsp:nvSpPr>
        <dsp:cNvPr id="0" name=""/>
        <dsp:cNvSpPr/>
      </dsp:nvSpPr>
      <dsp:spPr>
        <a:xfrm>
          <a:off x="4508328" y="2746716"/>
          <a:ext cx="346794" cy="11557"/>
        </a:xfrm>
        <a:custGeom>
          <a:avLst/>
          <a:gdLst/>
          <a:ahLst/>
          <a:cxnLst/>
          <a:rect l="0" t="0" r="0" b="0"/>
          <a:pathLst>
            <a:path>
              <a:moveTo>
                <a:pt x="0" y="5778"/>
              </a:moveTo>
              <a:lnTo>
                <a:pt x="346794"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4673055" y="2743825"/>
        <a:ext cx="17339" cy="17339"/>
      </dsp:txXfrm>
    </dsp:sp>
    <dsp:sp modelId="{B371E648-3135-4746-899D-54A9997E45A7}">
      <dsp:nvSpPr>
        <dsp:cNvPr id="0" name=""/>
        <dsp:cNvSpPr/>
      </dsp:nvSpPr>
      <dsp:spPr>
        <a:xfrm>
          <a:off x="4855122" y="2535749"/>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116</a:t>
          </a:r>
        </a:p>
        <a:p>
          <a:pPr lvl="0" algn="ctr" defTabSz="355600">
            <a:lnSpc>
              <a:spcPct val="90000"/>
            </a:lnSpc>
            <a:spcBef>
              <a:spcPct val="0"/>
            </a:spcBef>
            <a:spcAft>
              <a:spcPct val="35000"/>
            </a:spcAft>
          </a:pPr>
          <a:r>
            <a:rPr lang="en-AU" sz="800" b="1" kern="1200"/>
            <a:t>Unsuccessful</a:t>
          </a:r>
        </a:p>
      </dsp:txBody>
      <dsp:txXfrm>
        <a:off x="4867819" y="2548446"/>
        <a:ext cx="841592" cy="408099"/>
      </dsp:txXfrm>
    </dsp:sp>
    <dsp:sp modelId="{7815704F-21B9-4D20-8109-94191230A9CB}">
      <dsp:nvSpPr>
        <dsp:cNvPr id="0" name=""/>
        <dsp:cNvSpPr/>
      </dsp:nvSpPr>
      <dsp:spPr>
        <a:xfrm rot="3310531">
          <a:off x="4378086" y="2995975"/>
          <a:ext cx="607277" cy="11557"/>
        </a:xfrm>
        <a:custGeom>
          <a:avLst/>
          <a:gdLst/>
          <a:ahLst/>
          <a:cxnLst/>
          <a:rect l="0" t="0" r="0" b="0"/>
          <a:pathLst>
            <a:path>
              <a:moveTo>
                <a:pt x="0" y="5778"/>
              </a:moveTo>
              <a:lnTo>
                <a:pt x="607277"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4666543" y="2986572"/>
        <a:ext cx="30363" cy="30363"/>
      </dsp:txXfrm>
    </dsp:sp>
    <dsp:sp modelId="{417CE763-226E-421A-A2ED-B13648A6F9B6}">
      <dsp:nvSpPr>
        <dsp:cNvPr id="0" name=""/>
        <dsp:cNvSpPr/>
      </dsp:nvSpPr>
      <dsp:spPr>
        <a:xfrm>
          <a:off x="4855122" y="3034266"/>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7</a:t>
          </a:r>
        </a:p>
        <a:p>
          <a:pPr lvl="0" algn="ctr" defTabSz="355600">
            <a:lnSpc>
              <a:spcPct val="90000"/>
            </a:lnSpc>
            <a:spcBef>
              <a:spcPct val="0"/>
            </a:spcBef>
            <a:spcAft>
              <a:spcPct val="35000"/>
            </a:spcAft>
          </a:pPr>
          <a:r>
            <a:rPr lang="en-AU" sz="800" b="1" kern="1200"/>
            <a:t>Missing</a:t>
          </a:r>
        </a:p>
      </dsp:txBody>
      <dsp:txXfrm>
        <a:off x="4867819" y="3046963"/>
        <a:ext cx="841592" cy="408099"/>
      </dsp:txXfrm>
    </dsp:sp>
    <dsp:sp modelId="{2B8BEE0C-CE19-4AB9-8BF1-7D734699FF1E}">
      <dsp:nvSpPr>
        <dsp:cNvPr id="0" name=""/>
        <dsp:cNvSpPr/>
      </dsp:nvSpPr>
      <dsp:spPr>
        <a:xfrm rot="2142401">
          <a:off x="3254405" y="3120604"/>
          <a:ext cx="427078" cy="11557"/>
        </a:xfrm>
        <a:custGeom>
          <a:avLst/>
          <a:gdLst/>
          <a:ahLst/>
          <a:cxnLst/>
          <a:rect l="0" t="0" r="0" b="0"/>
          <a:pathLst>
            <a:path>
              <a:moveTo>
                <a:pt x="0" y="5778"/>
              </a:moveTo>
              <a:lnTo>
                <a:pt x="427078"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3457267" y="3115706"/>
        <a:ext cx="21353" cy="21353"/>
      </dsp:txXfrm>
    </dsp:sp>
    <dsp:sp modelId="{EDABB4A0-2E25-4E08-B9B7-9EAFD7F19330}">
      <dsp:nvSpPr>
        <dsp:cNvPr id="0" name=""/>
        <dsp:cNvSpPr/>
      </dsp:nvSpPr>
      <dsp:spPr>
        <a:xfrm>
          <a:off x="3641341" y="3034266"/>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109</a:t>
          </a:r>
        </a:p>
        <a:p>
          <a:pPr lvl="0" algn="ctr" defTabSz="355600">
            <a:lnSpc>
              <a:spcPct val="90000"/>
            </a:lnSpc>
            <a:spcBef>
              <a:spcPct val="0"/>
            </a:spcBef>
            <a:spcAft>
              <a:spcPct val="35000"/>
            </a:spcAft>
          </a:pPr>
          <a:r>
            <a:rPr lang="en-AU" sz="800" b="1" kern="1200"/>
            <a:t>Lost</a:t>
          </a:r>
        </a:p>
      </dsp:txBody>
      <dsp:txXfrm>
        <a:off x="3654038" y="3046963"/>
        <a:ext cx="841592" cy="408099"/>
      </dsp:txXfrm>
    </dsp:sp>
    <dsp:sp modelId="{6EAEEBAD-278B-48E1-A749-7550CE7F5737}">
      <dsp:nvSpPr>
        <dsp:cNvPr id="0" name=""/>
        <dsp:cNvSpPr/>
      </dsp:nvSpPr>
      <dsp:spPr>
        <a:xfrm rot="4616685">
          <a:off x="1486547" y="3743750"/>
          <a:ext cx="1535232" cy="11557"/>
        </a:xfrm>
        <a:custGeom>
          <a:avLst/>
          <a:gdLst/>
          <a:ahLst/>
          <a:cxnLst/>
          <a:rect l="0" t="0" r="0" b="0"/>
          <a:pathLst>
            <a:path>
              <a:moveTo>
                <a:pt x="0" y="5778"/>
              </a:moveTo>
              <a:lnTo>
                <a:pt x="1535232"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2215783" y="3711148"/>
        <a:ext cx="76761" cy="76761"/>
      </dsp:txXfrm>
    </dsp:sp>
    <dsp:sp modelId="{D290BF90-4F32-4016-8A8F-E313C05CE7AC}">
      <dsp:nvSpPr>
        <dsp:cNvPr id="0" name=""/>
        <dsp:cNvSpPr/>
      </dsp:nvSpPr>
      <dsp:spPr>
        <a:xfrm>
          <a:off x="2427561" y="4280558"/>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232</a:t>
          </a:r>
        </a:p>
        <a:p>
          <a:pPr lvl="0" algn="ctr" defTabSz="355600">
            <a:lnSpc>
              <a:spcPct val="90000"/>
            </a:lnSpc>
            <a:spcBef>
              <a:spcPct val="0"/>
            </a:spcBef>
            <a:spcAft>
              <a:spcPct val="35000"/>
            </a:spcAft>
          </a:pPr>
          <a:r>
            <a:rPr lang="en-AU" sz="800" b="1" kern="1200"/>
            <a:t>Residential Rehab</a:t>
          </a:r>
        </a:p>
      </dsp:txBody>
      <dsp:txXfrm>
        <a:off x="2440258" y="4293255"/>
        <a:ext cx="841592" cy="408099"/>
      </dsp:txXfrm>
    </dsp:sp>
    <dsp:sp modelId="{90DFE0E2-23E1-4CBF-A0A3-1F890F447F7D}">
      <dsp:nvSpPr>
        <dsp:cNvPr id="0" name=""/>
        <dsp:cNvSpPr/>
      </dsp:nvSpPr>
      <dsp:spPr>
        <a:xfrm rot="19457599">
          <a:off x="3254405" y="4366897"/>
          <a:ext cx="427078" cy="11557"/>
        </a:xfrm>
        <a:custGeom>
          <a:avLst/>
          <a:gdLst/>
          <a:ahLst/>
          <a:cxnLst/>
          <a:rect l="0" t="0" r="0" b="0"/>
          <a:pathLst>
            <a:path>
              <a:moveTo>
                <a:pt x="0" y="5778"/>
              </a:moveTo>
              <a:lnTo>
                <a:pt x="427078"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3457267" y="4361999"/>
        <a:ext cx="21353" cy="21353"/>
      </dsp:txXfrm>
    </dsp:sp>
    <dsp:sp modelId="{C1508B2E-F1E2-4A0D-B325-6FF8E68F662F}">
      <dsp:nvSpPr>
        <dsp:cNvPr id="0" name=""/>
        <dsp:cNvSpPr/>
      </dsp:nvSpPr>
      <dsp:spPr>
        <a:xfrm>
          <a:off x="3641341" y="4031300"/>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138</a:t>
          </a:r>
        </a:p>
        <a:p>
          <a:pPr lvl="0" algn="ctr" defTabSz="355600">
            <a:lnSpc>
              <a:spcPct val="90000"/>
            </a:lnSpc>
            <a:spcBef>
              <a:spcPct val="0"/>
            </a:spcBef>
            <a:spcAft>
              <a:spcPct val="35000"/>
            </a:spcAft>
          </a:pPr>
          <a:r>
            <a:rPr lang="en-AU" sz="800" b="1" kern="1200"/>
            <a:t>Followed up</a:t>
          </a:r>
        </a:p>
      </dsp:txBody>
      <dsp:txXfrm>
        <a:off x="3654038" y="4043997"/>
        <a:ext cx="841592" cy="408099"/>
      </dsp:txXfrm>
    </dsp:sp>
    <dsp:sp modelId="{52343FEC-AA8D-4BF5-9E93-7707DB115815}">
      <dsp:nvSpPr>
        <dsp:cNvPr id="0" name=""/>
        <dsp:cNvSpPr/>
      </dsp:nvSpPr>
      <dsp:spPr>
        <a:xfrm rot="18289469">
          <a:off x="4378086" y="3993009"/>
          <a:ext cx="607277" cy="11557"/>
        </a:xfrm>
        <a:custGeom>
          <a:avLst/>
          <a:gdLst/>
          <a:ahLst/>
          <a:cxnLst/>
          <a:rect l="0" t="0" r="0" b="0"/>
          <a:pathLst>
            <a:path>
              <a:moveTo>
                <a:pt x="0" y="5778"/>
              </a:moveTo>
              <a:lnTo>
                <a:pt x="607277"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4666543" y="3983606"/>
        <a:ext cx="30363" cy="30363"/>
      </dsp:txXfrm>
    </dsp:sp>
    <dsp:sp modelId="{D931C509-0F57-4529-BF57-FDB0C6AE86B6}">
      <dsp:nvSpPr>
        <dsp:cNvPr id="0" name=""/>
        <dsp:cNvSpPr/>
      </dsp:nvSpPr>
      <dsp:spPr>
        <a:xfrm>
          <a:off x="4855122" y="3532783"/>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85</a:t>
          </a:r>
        </a:p>
        <a:p>
          <a:pPr lvl="0" algn="ctr" defTabSz="355600">
            <a:lnSpc>
              <a:spcPct val="90000"/>
            </a:lnSpc>
            <a:spcBef>
              <a:spcPct val="0"/>
            </a:spcBef>
            <a:spcAft>
              <a:spcPct val="35000"/>
            </a:spcAft>
          </a:pPr>
          <a:r>
            <a:rPr lang="en-AU" sz="800" b="1" kern="1200"/>
            <a:t>Sucessful</a:t>
          </a:r>
        </a:p>
      </dsp:txBody>
      <dsp:txXfrm>
        <a:off x="4867819" y="3545480"/>
        <a:ext cx="841592" cy="408099"/>
      </dsp:txXfrm>
    </dsp:sp>
    <dsp:sp modelId="{3B15D8BB-32D8-4C0C-B5A4-15B1E2ED03D9}">
      <dsp:nvSpPr>
        <dsp:cNvPr id="0" name=""/>
        <dsp:cNvSpPr/>
      </dsp:nvSpPr>
      <dsp:spPr>
        <a:xfrm>
          <a:off x="4508328" y="4242268"/>
          <a:ext cx="346794" cy="11557"/>
        </a:xfrm>
        <a:custGeom>
          <a:avLst/>
          <a:gdLst/>
          <a:ahLst/>
          <a:cxnLst/>
          <a:rect l="0" t="0" r="0" b="0"/>
          <a:pathLst>
            <a:path>
              <a:moveTo>
                <a:pt x="0" y="5778"/>
              </a:moveTo>
              <a:lnTo>
                <a:pt x="346794"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4673055" y="4239376"/>
        <a:ext cx="17339" cy="17339"/>
      </dsp:txXfrm>
    </dsp:sp>
    <dsp:sp modelId="{F7FF7DE3-1B00-4948-9159-C9A50A6A0476}">
      <dsp:nvSpPr>
        <dsp:cNvPr id="0" name=""/>
        <dsp:cNvSpPr/>
      </dsp:nvSpPr>
      <dsp:spPr>
        <a:xfrm>
          <a:off x="4855122" y="4031300"/>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52</a:t>
          </a:r>
        </a:p>
        <a:p>
          <a:pPr lvl="0" algn="ctr" defTabSz="355600">
            <a:lnSpc>
              <a:spcPct val="90000"/>
            </a:lnSpc>
            <a:spcBef>
              <a:spcPct val="0"/>
            </a:spcBef>
            <a:spcAft>
              <a:spcPct val="35000"/>
            </a:spcAft>
          </a:pPr>
          <a:r>
            <a:rPr lang="en-AU" sz="800" b="1" kern="1200"/>
            <a:t>Unsucessful</a:t>
          </a:r>
        </a:p>
      </dsp:txBody>
      <dsp:txXfrm>
        <a:off x="4867819" y="4043997"/>
        <a:ext cx="841592" cy="408099"/>
      </dsp:txXfrm>
    </dsp:sp>
    <dsp:sp modelId="{085C8FA5-E351-482C-AC74-D2E4979F5CC5}">
      <dsp:nvSpPr>
        <dsp:cNvPr id="0" name=""/>
        <dsp:cNvSpPr/>
      </dsp:nvSpPr>
      <dsp:spPr>
        <a:xfrm rot="3310531">
          <a:off x="4378086" y="4491526"/>
          <a:ext cx="607277" cy="11557"/>
        </a:xfrm>
        <a:custGeom>
          <a:avLst/>
          <a:gdLst/>
          <a:ahLst/>
          <a:cxnLst/>
          <a:rect l="0" t="0" r="0" b="0"/>
          <a:pathLst>
            <a:path>
              <a:moveTo>
                <a:pt x="0" y="5778"/>
              </a:moveTo>
              <a:lnTo>
                <a:pt x="607277"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4666543" y="4482123"/>
        <a:ext cx="30363" cy="30363"/>
      </dsp:txXfrm>
    </dsp:sp>
    <dsp:sp modelId="{02CFC812-6E0F-4FBA-BBC3-B33E96DFE345}">
      <dsp:nvSpPr>
        <dsp:cNvPr id="0" name=""/>
        <dsp:cNvSpPr/>
      </dsp:nvSpPr>
      <dsp:spPr>
        <a:xfrm>
          <a:off x="4855122" y="4529817"/>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1</a:t>
          </a:r>
        </a:p>
        <a:p>
          <a:pPr lvl="0" algn="ctr" defTabSz="355600">
            <a:lnSpc>
              <a:spcPct val="90000"/>
            </a:lnSpc>
            <a:spcBef>
              <a:spcPct val="0"/>
            </a:spcBef>
            <a:spcAft>
              <a:spcPct val="35000"/>
            </a:spcAft>
          </a:pPr>
          <a:r>
            <a:rPr lang="en-AU" sz="800" b="1" kern="1200"/>
            <a:t>Missing</a:t>
          </a:r>
        </a:p>
      </dsp:txBody>
      <dsp:txXfrm>
        <a:off x="4867819" y="4542514"/>
        <a:ext cx="841592" cy="408099"/>
      </dsp:txXfrm>
    </dsp:sp>
    <dsp:sp modelId="{870F293D-D118-4EB6-BC47-AC8DCF1AA4CE}">
      <dsp:nvSpPr>
        <dsp:cNvPr id="0" name=""/>
        <dsp:cNvSpPr/>
      </dsp:nvSpPr>
      <dsp:spPr>
        <a:xfrm rot="2142401">
          <a:off x="3254405" y="4616155"/>
          <a:ext cx="427078" cy="11557"/>
        </a:xfrm>
        <a:custGeom>
          <a:avLst/>
          <a:gdLst/>
          <a:ahLst/>
          <a:cxnLst/>
          <a:rect l="0" t="0" r="0" b="0"/>
          <a:pathLst>
            <a:path>
              <a:moveTo>
                <a:pt x="0" y="5778"/>
              </a:moveTo>
              <a:lnTo>
                <a:pt x="427078"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3457267" y="4611257"/>
        <a:ext cx="21353" cy="21353"/>
      </dsp:txXfrm>
    </dsp:sp>
    <dsp:sp modelId="{25E7662B-18ED-4B5B-9919-9A2A12702B9D}">
      <dsp:nvSpPr>
        <dsp:cNvPr id="0" name=""/>
        <dsp:cNvSpPr/>
      </dsp:nvSpPr>
      <dsp:spPr>
        <a:xfrm>
          <a:off x="3641341" y="4529817"/>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94</a:t>
          </a:r>
        </a:p>
        <a:p>
          <a:pPr lvl="0" algn="ctr" defTabSz="355600">
            <a:lnSpc>
              <a:spcPct val="90000"/>
            </a:lnSpc>
            <a:spcBef>
              <a:spcPct val="0"/>
            </a:spcBef>
            <a:spcAft>
              <a:spcPct val="35000"/>
            </a:spcAft>
          </a:pPr>
          <a:r>
            <a:rPr lang="en-AU" sz="800" b="1" kern="1200"/>
            <a:t>Lost</a:t>
          </a:r>
        </a:p>
      </dsp:txBody>
      <dsp:txXfrm>
        <a:off x="3654038" y="4542514"/>
        <a:ext cx="841592" cy="408099"/>
      </dsp:txXfrm>
    </dsp:sp>
    <dsp:sp modelId="{0E88DC31-6D65-43E9-9C20-5FF2346D09BD}">
      <dsp:nvSpPr>
        <dsp:cNvPr id="0" name=""/>
        <dsp:cNvSpPr/>
      </dsp:nvSpPr>
      <dsp:spPr>
        <a:xfrm rot="4467012">
          <a:off x="393562" y="4865414"/>
          <a:ext cx="1293642" cy="11557"/>
        </a:xfrm>
        <a:custGeom>
          <a:avLst/>
          <a:gdLst/>
          <a:ahLst/>
          <a:cxnLst/>
          <a:rect l="0" t="0" r="0" b="0"/>
          <a:pathLst>
            <a:path>
              <a:moveTo>
                <a:pt x="0" y="5778"/>
              </a:moveTo>
              <a:lnTo>
                <a:pt x="1293642" y="577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1008042" y="4838852"/>
        <a:ext cx="64682" cy="64682"/>
      </dsp:txXfrm>
    </dsp:sp>
    <dsp:sp modelId="{114CA2FF-087D-4CCA-868C-A2D1AC6709F1}">
      <dsp:nvSpPr>
        <dsp:cNvPr id="0" name=""/>
        <dsp:cNvSpPr/>
      </dsp:nvSpPr>
      <dsp:spPr>
        <a:xfrm>
          <a:off x="1213780" y="5277592"/>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258 </a:t>
          </a:r>
        </a:p>
        <a:p>
          <a:pPr lvl="0" algn="ctr" defTabSz="355600">
            <a:lnSpc>
              <a:spcPct val="90000"/>
            </a:lnSpc>
            <a:spcBef>
              <a:spcPct val="0"/>
            </a:spcBef>
            <a:spcAft>
              <a:spcPct val="35000"/>
            </a:spcAft>
          </a:pPr>
          <a:r>
            <a:rPr lang="en-AU" sz="800" b="1" kern="1200"/>
            <a:t>Failed to complete screen</a:t>
          </a:r>
        </a:p>
      </dsp:txBody>
      <dsp:txXfrm>
        <a:off x="1226477" y="5290289"/>
        <a:ext cx="841592" cy="408099"/>
      </dsp:txXfrm>
    </dsp:sp>
    <dsp:sp modelId="{9557F60B-3F99-4495-9680-25B96D6D2685}">
      <dsp:nvSpPr>
        <dsp:cNvPr id="0" name=""/>
        <dsp:cNvSpPr/>
      </dsp:nvSpPr>
      <dsp:spPr>
        <a:xfrm rot="21165344">
          <a:off x="2079333" y="5465919"/>
          <a:ext cx="359102" cy="11557"/>
        </a:xfrm>
        <a:custGeom>
          <a:avLst/>
          <a:gdLst/>
          <a:ahLst/>
          <a:cxnLst/>
          <a:rect l="0" t="0" r="0" b="0"/>
          <a:pathLst>
            <a:path>
              <a:moveTo>
                <a:pt x="0" y="5778"/>
              </a:moveTo>
              <a:lnTo>
                <a:pt x="359102"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2249907" y="5462720"/>
        <a:ext cx="17955" cy="17955"/>
      </dsp:txXfrm>
    </dsp:sp>
    <dsp:sp modelId="{004ADAE1-5E6D-40CD-85F5-C9914C499B2B}">
      <dsp:nvSpPr>
        <dsp:cNvPr id="0" name=""/>
        <dsp:cNvSpPr/>
      </dsp:nvSpPr>
      <dsp:spPr>
        <a:xfrm>
          <a:off x="2437002" y="5232310"/>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81 </a:t>
          </a:r>
        </a:p>
        <a:p>
          <a:pPr lvl="0" algn="ctr" defTabSz="355600">
            <a:lnSpc>
              <a:spcPct val="90000"/>
            </a:lnSpc>
            <a:spcBef>
              <a:spcPct val="0"/>
            </a:spcBef>
            <a:spcAft>
              <a:spcPct val="35000"/>
            </a:spcAft>
          </a:pPr>
          <a:r>
            <a:rPr lang="en-AU" sz="800" b="1" kern="1200"/>
            <a:t>Ineligable</a:t>
          </a:r>
        </a:p>
      </dsp:txBody>
      <dsp:txXfrm>
        <a:off x="2449699" y="5245007"/>
        <a:ext cx="841592" cy="408099"/>
      </dsp:txXfrm>
    </dsp:sp>
    <dsp:sp modelId="{C6A8B198-EF3F-496A-A90E-CBADB27B70D5}">
      <dsp:nvSpPr>
        <dsp:cNvPr id="0" name=""/>
        <dsp:cNvSpPr/>
      </dsp:nvSpPr>
      <dsp:spPr>
        <a:xfrm rot="3165548">
          <a:off x="1970716" y="5710454"/>
          <a:ext cx="557454" cy="11557"/>
        </a:xfrm>
        <a:custGeom>
          <a:avLst/>
          <a:gdLst/>
          <a:ahLst/>
          <a:cxnLst/>
          <a:rect l="0" t="0" r="0" b="0"/>
          <a:pathLst>
            <a:path>
              <a:moveTo>
                <a:pt x="0" y="5778"/>
              </a:moveTo>
              <a:lnTo>
                <a:pt x="557454"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2235506" y="5702297"/>
        <a:ext cx="27872" cy="27872"/>
      </dsp:txXfrm>
    </dsp:sp>
    <dsp:sp modelId="{C6E4AE76-25F9-44B8-A7B0-8C09C5760714}">
      <dsp:nvSpPr>
        <dsp:cNvPr id="0" name=""/>
        <dsp:cNvSpPr/>
      </dsp:nvSpPr>
      <dsp:spPr>
        <a:xfrm>
          <a:off x="2418119" y="5721381"/>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26 </a:t>
          </a:r>
        </a:p>
        <a:p>
          <a:pPr lvl="0" algn="ctr" defTabSz="355600">
            <a:lnSpc>
              <a:spcPct val="90000"/>
            </a:lnSpc>
            <a:spcBef>
              <a:spcPct val="0"/>
            </a:spcBef>
            <a:spcAft>
              <a:spcPct val="35000"/>
            </a:spcAft>
          </a:pPr>
          <a:r>
            <a:rPr lang="en-AU" sz="800" b="1" kern="1200"/>
            <a:t>Declined</a:t>
          </a:r>
        </a:p>
      </dsp:txBody>
      <dsp:txXfrm>
        <a:off x="2430816" y="5734078"/>
        <a:ext cx="841592" cy="408099"/>
      </dsp:txXfrm>
    </dsp:sp>
    <dsp:sp modelId="{EAFB5BB9-B225-4722-811F-4185776E03B1}">
      <dsp:nvSpPr>
        <dsp:cNvPr id="0" name=""/>
        <dsp:cNvSpPr/>
      </dsp:nvSpPr>
      <dsp:spPr>
        <a:xfrm rot="4207105">
          <a:off x="1753448" y="5954992"/>
          <a:ext cx="991989" cy="11557"/>
        </a:xfrm>
        <a:custGeom>
          <a:avLst/>
          <a:gdLst/>
          <a:ahLst/>
          <a:cxnLst/>
          <a:rect l="0" t="0" r="0" b="0"/>
          <a:pathLst>
            <a:path>
              <a:moveTo>
                <a:pt x="0" y="5778"/>
              </a:moveTo>
              <a:lnTo>
                <a:pt x="991989" y="577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11150">
            <a:lnSpc>
              <a:spcPct val="90000"/>
            </a:lnSpc>
            <a:spcBef>
              <a:spcPct val="0"/>
            </a:spcBef>
            <a:spcAft>
              <a:spcPct val="35000"/>
            </a:spcAft>
          </a:pPr>
          <a:endParaRPr lang="en-AU" sz="700" b="1" kern="1200"/>
        </a:p>
      </dsp:txBody>
      <dsp:txXfrm>
        <a:off x="2224643" y="5935971"/>
        <a:ext cx="49599" cy="49599"/>
      </dsp:txXfrm>
    </dsp:sp>
    <dsp:sp modelId="{932CB3E0-1829-4AED-9A93-7BE1142878D2}">
      <dsp:nvSpPr>
        <dsp:cNvPr id="0" name=""/>
        <dsp:cNvSpPr/>
      </dsp:nvSpPr>
      <dsp:spPr>
        <a:xfrm>
          <a:off x="2418119" y="6210457"/>
          <a:ext cx="866986" cy="43349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AU" sz="800" b="1" kern="1200"/>
            <a:t>151</a:t>
          </a:r>
        </a:p>
        <a:p>
          <a:pPr lvl="0" algn="ctr" defTabSz="355600">
            <a:lnSpc>
              <a:spcPct val="90000"/>
            </a:lnSpc>
            <a:spcBef>
              <a:spcPct val="0"/>
            </a:spcBef>
            <a:spcAft>
              <a:spcPct val="35000"/>
            </a:spcAft>
          </a:pPr>
          <a:r>
            <a:rPr lang="en-AU" sz="800" b="1" kern="1200"/>
            <a:t>Non-contactable</a:t>
          </a:r>
        </a:p>
      </dsp:txBody>
      <dsp:txXfrm>
        <a:off x="2430816" y="6223154"/>
        <a:ext cx="841592" cy="40809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5">
  <dgm:title val=""/>
  <dgm:desc val=""/>
  <dgm:catLst>
    <dgm:cat type="hierarchy" pri="6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resOf/>
    <dgm:shape xmlns:r="http://schemas.openxmlformats.org/officeDocument/2006/relationships" r:blip="">
      <dgm:adjLst/>
    </dgm:shape>
    <dgm:choose name="Name0">
      <dgm:if name="Name1" axis="ch" ptType="node" func="cnt" op="gte" val="2">
        <dgm:choose name="Name2">
          <dgm:if name="Name3" func="var" arg="dir" op="equ" val="norm">
            <dgm:constrLst>
              <dgm:constr type="l" for="ch" forName="hierFlow"/>
              <dgm:constr type="t" for="ch" forName="hierFlow" refType="h" fact="0.3"/>
              <dgm:constr type="r" for="ch" forName="hierFlow" refType="w" fact="0.98"/>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if>
          <dgm:else name="Name4">
            <dgm:constrLst>
              <dgm:constr type="l" for="ch" forName="hierFlow" refType="w" fact="0.02"/>
              <dgm:constr type="t" for="ch" forName="hierFlow" refType="h" fact="0.3"/>
              <dgm:constr type="r" for="ch" forName="hierFlow" refType="w"/>
              <dgm:constr type="b" for="ch" forName="hierFlow" refType="h" fact="0.96"/>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h" for="des" forName="level1Shape" refType="h"/>
          <dgm:constr type="w" for="des" forName="level1Shape" refType="h" refFor="des" refForName="level1Shape" fact="2"/>
          <dgm:constr type="w" for="des" forName="level2Shape" refType="w" refFor="des" refForName="level1Shape" op="equ"/>
          <dgm:constr type="h" for="des" forName="level2Shape" refType="h" refFor="des" refForName="level1Shape" op="equ"/>
          <dgm:constr type="sp" for="des" refType="w" refFor="des" refForName="level1Shape" op="equ" fact="0.4"/>
          <dgm:constr type="sibSp" for="des" forName="hierChild1" refType="h" refFor="des" refForName="level1Shape" op="equ" fact="0.15"/>
          <dgm:constr type="sibSp" for="des" forName="hierChild2" refType="sibSp" refFor="des" refForName="hierChild1" op="equ"/>
          <dgm:constr type="sibSp" for="des" forName="hierChild3" refType="sibSp" refFor="des" refForName="hierChild1" op="equ"/>
          <dgm:constr type="userA" for="des" refType="w" refFor="des" refForName="level1Shape" op="equ"/>
          <dgm:constr type="userB" for="des" refType="sp" refFor="des" op="equ"/>
          <dgm:constr type="w" for="des" forName="firstBuf" refType="w" refFor="des" refForName="level1Shape" fact="0.1"/>
        </dgm:constrLst>
      </dgm:else>
    </dgm:choose>
    <dgm:ruleLst/>
    <dgm:layoutNode name="hierFlow">
      <dgm:choose name="Name6">
        <dgm:if name="Name7" func="var" arg="dir" op="equ" val="norm">
          <dgm:alg type="lin">
            <dgm:param type="linDir" val="fromL"/>
            <dgm:param type="nodeVertAlign" val="mid"/>
            <dgm:param type="vertAlign" val="mid"/>
            <dgm:param type="nodeHorzAlign" val="l"/>
            <dgm:param type="horzAlign" val="l"/>
            <dgm:param type="fallback" val="2D"/>
          </dgm:alg>
        </dgm:if>
        <dgm:else name="Name8">
          <dgm:alg type="lin">
            <dgm:param type="linDir" val="fromR"/>
            <dgm:param type="nodeVertAlign" val="mid"/>
            <dgm:param type="vertAlign" val="mid"/>
            <dgm:param type="nodeHorzAlign" val="r"/>
            <dgm:param type="horzAlign" val="r"/>
            <dgm:param type="fallback" val="2D"/>
          </dgm:alg>
        </dgm:else>
      </dgm:choose>
      <dgm:shape xmlns:r="http://schemas.openxmlformats.org/officeDocument/2006/relationships" r:blip="">
        <dgm:adjLst/>
      </dgm:shape>
      <dgm:presOf/>
      <dgm:constrLst>
        <dgm:constr type="primFontSz" for="des" ptType="node" op="equ" val="65"/>
        <dgm:constr type="primFontSz" for="des" forName="connTx" op="equ" val="55"/>
        <dgm:constr type="primFontSz" for="des" forName="connTx" refType="primFontSz" refFor="des" refPtType="node" op="lte" fact="0.8"/>
      </dgm:constrLst>
      <dgm:ruleLst/>
      <dgm:choose name="Name9">
        <dgm:if name="Name10" axis="ch" ptType="node" func="cnt" op="gte" val="2">
          <dgm:layoutNode name="firstBuf">
            <dgm:alg type="sp"/>
            <dgm:shape xmlns:r="http://schemas.openxmlformats.org/officeDocument/2006/relationships" r:blip="">
              <dgm:adjLst/>
            </dgm:shape>
            <dgm:presOf/>
            <dgm:constrLst/>
            <dgm:ruleLst/>
          </dgm:layoutNode>
        </dgm:if>
        <dgm:else name="Name11"/>
      </dgm:choose>
      <dgm:layoutNode name="hierChild1">
        <dgm:varLst>
          <dgm:chPref val="1"/>
          <dgm:animOne val="branch"/>
          <dgm:animLvl val="lvl"/>
        </dgm:varLst>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constrLst/>
        <dgm:ruleLst/>
        <dgm:forEach name="Name15" axis="ch" cnt="3">
          <dgm:forEach name="Name16" axis="self" ptType="node">
            <dgm:layoutNode name="Name17">
              <dgm:choose name="Name18">
                <dgm:if name="Name19" func="var" arg="dir" op="equ" val="norm">
                  <dgm:alg type="hierRoot">
                    <dgm:param type="hierAlign" val="lCtrCh"/>
                  </dgm:alg>
                </dgm:if>
                <dgm:else name="Name20">
                  <dgm:alg type="hierRoot">
                    <dgm:param type="hierAlign" val="rCtrCh"/>
                  </dgm:alg>
                </dgm:else>
              </dgm:choose>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2">
                <dgm:choose name="Name21">
                  <dgm:if name="Name22" func="var" arg="dir" op="equ" val="norm">
                    <dgm:alg type="hierChild">
                      <dgm:param type="linDir" val="fromT"/>
                      <dgm:param type="chAlign" val="l"/>
                    </dgm:alg>
                  </dgm:if>
                  <dgm:else name="Name23">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24" axis="self" ptType="parTrans" cnt="1">
                    <dgm:layoutNode name="Name25">
                      <dgm:choose name="Name26">
                        <dgm:if name="Name27" func="var" arg="dir" op="equ" val="norm">
                          <dgm:alg type="conn">
                            <dgm:param type="dim" val="1D"/>
                            <dgm:param type="begPts" val="midR"/>
                            <dgm:param type="endPts" val="midL"/>
                            <dgm:param type="endSty" val="noArr"/>
                          </dgm:alg>
                        </dgm:if>
                        <dgm:else name="Name28">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29" axis="self" ptType="node">
                    <dgm:layoutNode name="Name30">
                      <dgm:choose name="Name31">
                        <dgm:if name="Name32" func="var" arg="dir" op="equ" val="norm">
                          <dgm:alg type="hierRoot">
                            <dgm:param type="hierAlign" val="lCtrCh"/>
                          </dgm:alg>
                        </dgm:if>
                        <dgm:else name="Name33">
                          <dgm:alg type="hierRoot">
                            <dgm:param type="hierAlign" val="rCtrCh"/>
                          </dgm:alg>
                        </dgm:else>
                      </dgm:choose>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hierChild3">
                        <dgm:choose name="Name34">
                          <dgm:if name="Name35" func="var" arg="dir" op="equ" val="norm">
                            <dgm:alg type="hierChild">
                              <dgm:param type="linDir" val="fromT"/>
                              <dgm:param type="chAlign" val="l"/>
                            </dgm:alg>
                          </dgm:if>
                          <dgm:else name="Name36">
                            <dgm:alg type="hierChild">
                              <dgm:param type="linDir" val="fromT"/>
                              <dgm:param type="chAlign" val="r"/>
                            </dgm:alg>
                          </dgm:else>
                        </dgm:choose>
                        <dgm:shape xmlns:r="http://schemas.openxmlformats.org/officeDocument/2006/relationships" r:blip="">
                          <dgm:adjLst/>
                        </dgm:shape>
                        <dgm:presOf/>
                        <dgm:constrLst/>
                        <dgm:ruleLst/>
                        <dgm:forEach name="Name37" ref="repeat"/>
                      </dgm:layoutNode>
                    </dgm:layoutNode>
                  </dgm:forEach>
                </dgm:forEach>
              </dgm:layoutNode>
            </dgm:layoutNode>
          </dgm:forEach>
        </dgm:forEach>
      </dgm:layoutNode>
    </dgm:layoutNode>
    <dgm:layoutNode name="bgShapesFlow">
      <dgm:choose name="Name38">
        <dgm:if name="Name39" func="var" arg="dir" op="equ" val="norm">
          <dgm:alg type="lin">
            <dgm:param type="linDir" val="fromL"/>
            <dgm:param type="nodeVertAlign" val="mid"/>
            <dgm:param type="vertAlign" val="mid"/>
            <dgm:param type="nodeHorzAlign" val="l"/>
            <dgm:param type="horzAlign" val="l"/>
          </dgm:alg>
        </dgm:if>
        <dgm:else name="Name40">
          <dgm:alg type="lin">
            <dgm:param type="linDir" val="fromR"/>
            <dgm:param type="nodeVertAlign" val="mid"/>
            <dgm:param type="vertAlign" val="mid"/>
            <dgm:param type="nodeHorzAlign" val="r"/>
            <dgm:param type="horzAlign" val="r"/>
          </dgm:alg>
        </dgm:else>
      </dgm:choose>
      <dgm:shape xmlns:r="http://schemas.openxmlformats.org/officeDocument/2006/relationships" r:blip="">
        <dgm:adjLst/>
      </dgm:shape>
      <dgm:presOf/>
      <dgm:constrLst>
        <dgm:constr type="w" for="ch" forName="rectComp" refType="w"/>
        <dgm:constr type="h" for="ch" forName="rectComp" refType="h"/>
        <dgm:constr type="h" for="des" forName="bgRect" refType="h"/>
        <dgm:constr type="primFontSz" for="des" forName="bgRectTx" op="equ" val="65"/>
      </dgm:constrLst>
      <dgm:ruleLst/>
      <dgm:forEach name="Name41" axis="ch" ptType="node" st="2">
        <dgm:layoutNode name="rectComp">
          <dgm:alg type="composite"/>
          <dgm:shape xmlns:r="http://schemas.openxmlformats.org/officeDocument/2006/relationships" r:blip="">
            <dgm:adjLst/>
          </dgm:shape>
          <dgm:presOf/>
          <dgm:constrLst>
            <dgm:constr type="userA"/>
            <dgm:constr type="l" for="ch" forName="bgRect"/>
            <dgm:constr type="t" for="ch" forName="bgRect"/>
            <dgm:constr type="w" for="ch" forName="bgRect" refType="userA" fact="1.2"/>
            <dgm:constr type="l" for="ch" forName="bgRectTx"/>
            <dgm:constr type="t" for="ch" forName="bgRectTx"/>
            <dgm:constr type="h" for="ch" forName="bgRectTx" refType="h" refFor="ch" refForName="bgRect" fact="0.3"/>
            <dgm:constr type="w" for="ch" forName="bgRectTx" refType="w" refFor="ch" refForName="bgRect" op="equ"/>
          </dgm:constrLst>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shape xmlns:r="http://schemas.openxmlformats.org/officeDocument/2006/relationships" type="rect" r:blip="" zOrderOff="-999" hideGeom="1">
              <dgm:adjLst/>
            </dgm:shape>
            <dgm:presOf axis="desOrSelf" ptType="node"/>
            <dgm:constrLst/>
            <dgm:ruleLst>
              <dgm:rule type="primFontSz" val="5" fact="NaN" max="NaN"/>
            </dgm:ruleLst>
          </dgm:layoutNode>
        </dgm:layoutNode>
        <dgm:choose name="Name42">
          <dgm:if name="Name43" axis="self" ptType="node" func="revPos" op="gte" val="2">
            <dgm:layoutNode name="spComp">
              <dgm:alg type="composite"/>
              <dgm:shape xmlns:r="http://schemas.openxmlformats.org/officeDocument/2006/relationships" r:blip="">
                <dgm:adjLst/>
              </dgm:shape>
              <dgm:presOf/>
              <dgm:constrLst>
                <dgm:constr type="userA"/>
                <dgm:constr type="userB"/>
                <dgm:constr type="l" for="ch" forName="hSp"/>
                <dgm:constr type="t" for="ch" forName="hSp"/>
                <dgm:constr type="w" for="ch" forName="hSp" refType="userB"/>
                <dgm:constr type="wOff" for="ch" forName="hSp" refType="userA" fact="-0.2"/>
              </dgm:constrLst>
              <dgm:ruleLst/>
              <dgm:layoutNode name="hSp">
                <dgm:alg type="sp"/>
                <dgm:shape xmlns:r="http://schemas.openxmlformats.org/officeDocument/2006/relationships" r:blip="">
                  <dgm:adjLst/>
                </dgm:shape>
                <dgm:presOf/>
                <dgm:constrLst/>
                <dgm:ruleLst/>
              </dgm:layoutNode>
            </dgm:layoutNode>
          </dgm:if>
          <dgm:else name="Name44"/>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A2D2AB-E4C4-48D8-A142-C432603D7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147</Pages>
  <Words>57723</Words>
  <Characters>329022</Characters>
  <Application>Microsoft Office Word</Application>
  <DocSecurity>0</DocSecurity>
  <Lines>2741</Lines>
  <Paragraphs>771</Paragraphs>
  <ScaleCrop>false</ScaleCrop>
  <HeadingPairs>
    <vt:vector size="2" baseType="variant">
      <vt:variant>
        <vt:lpstr>Title</vt:lpstr>
      </vt:variant>
      <vt:variant>
        <vt:i4>1</vt:i4>
      </vt:variant>
    </vt:vector>
  </HeadingPairs>
  <TitlesOfParts>
    <vt:vector size="1" baseType="lpstr">
      <vt:lpstr/>
    </vt:vector>
  </TitlesOfParts>
  <Company>Eastern Health</Company>
  <LinksUpToDate>false</LinksUpToDate>
  <CharactersWithSpaces>385974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jasonj</dc:creator>
  <cp:lastModifiedBy>Ward, Brian</cp:lastModifiedBy>
  <cp:revision>5</cp:revision>
  <cp:lastPrinted>2014-12-23T01:40:00Z</cp:lastPrinted>
  <dcterms:created xsi:type="dcterms:W3CDTF">2018-06-05T00:09:00Z</dcterms:created>
  <dcterms:modified xsi:type="dcterms:W3CDTF">2018-06-05T00:24:00Z</dcterms:modified>
</cp:coreProperties>
</file>